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This work provides a reproducible, synthetic-data-based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three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Statutory Regulatory Barriers</w:t>
      </w:r>
      <w:r>
        <w:rPr>
          <w:rFonts w:ascii="Times New Roman" w:hAnsi="Times New Roman"/>
          <w:sz w:val="20"/>
        </w:rPr>
        <w:t>: Statutory regulations—such as the Family Educational Rights and Privacy Act (FERPA) in the United States and the General Data Protection Regulation (GDPR) in the European Union—prohibit the public distribution of authentic student academic records containing personally identifiable information (PII).</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w:t>
      </w:r>
    </w:p>
    <w:p>
      <w:pPr>
        <w:spacing w:before="40" w:after="80" w:line="276" w:lineRule="auto"/>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Scientific Novelty Statement</w:t>
      </w:r>
    </w:p>
    <w:p>
      <w:pPr>
        <w:spacing w:before="40" w:after="80" w:line="276" w:lineRule="auto"/>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pPr>
        <w:spacing w:before="40" w:after="80" w:line="276" w:lineRule="auto"/>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Previous benchmark contributions in document analysis (e.g., SROIE, CORD, FUNSD, DocVQA) evaluate models on static document collections. In contrast, academic credential evaluation requires resolving statutory privacy constraints while insulating performance metrics from superficial representation variations.</w:t>
      </w:r>
    </w:p>
    <w:p>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protocol, this work establishes a reproducible foundation to evaluate classical OCR engines, Large Language Models (LLMs), and Vision-Language Models (VLMs) under controlled experimental conditions.</w:t>
      </w:r>
    </w:p>
    <w:p>
      <w:pPr>
        <w:keepNext/>
        <w:spacing w:before="200" w:after="80"/>
      </w:pPr>
      <w:r>
        <w:rPr>
          <w:rFonts w:ascii="Times New Roman" w:hAnsi="Times New Roman"/>
          <w:b/>
          <w:color w:val="333333"/>
          <w:sz w:val="23"/>
        </w:rPr>
        <w:t>1.5 Paper Organization</w:t>
      </w:r>
    </w:p>
    <w:p>
      <w:pPr>
        <w:spacing w:before="40" w:after="80" w:line="276" w:lineRule="auto"/>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Foundational Document AI Models &amp; Benchmarks (Historical Context)</w:t>
      </w:r>
    </w:p>
    <w:p>
      <w:pPr>
        <w:spacing w:before="40" w:after="80" w:line="276" w:lineRule="auto"/>
      </w:pPr>
      <w:r>
        <w:rPr>
          <w:rFonts w:ascii="Times New Roman" w:hAnsi="Times New Roman"/>
          <w:sz w:val="20"/>
        </w:rPr>
        <w:t>Early research in Document Artificial Intelligence (Document AI) focused primarily on static scanned administrative forms, business invoices, and commercial receipts. Foundational benchmark datasets established core evaluation paradigms:</w:t>
      </w:r>
    </w:p>
    <w:p>
      <w:pPr>
        <w:pStyle w:val="ListBullet"/>
        <w:spacing w:before="20" w:after="40"/>
      </w:pPr>
      <w:r>
        <w:rPr>
          <w:rFonts w:ascii="Times New Roman" w:hAnsi="Times New Roman"/>
          <w:b/>
          <w:sz w:val="20"/>
        </w:rPr>
        <w:t>Receipt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introduced key-value extraction tasks for point-of-sale receipt images.</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provided entity-level spatial relationship annotations for scanned administrative forms.</w:t>
      </w:r>
    </w:p>
    <w:p>
      <w:pPr>
        <w:pStyle w:val="ListBullet"/>
        <w:spacing w:before="20" w:after="40"/>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established visual question answering across mixed industry document images.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benchmarked document image classification across 16 administrative categories.</w:t>
      </w:r>
    </w:p>
    <w:p>
      <w:pPr>
        <w:spacing w:before="40" w:after="80" w:line="276" w:lineRule="auto"/>
      </w:pPr>
      <w:r>
        <w:rPr>
          <w:rFonts w:ascii="Times New Roman" w:hAnsi="Times New Roman"/>
          <w:sz w:val="20"/>
        </w:rPr>
        <w:t xml:space="preserve">To process these document datasets, early multimodal architectures integrated visual features, OCR text, and spatial layout coordinates. </w:t>
      </w:r>
      <w:r>
        <w:rPr>
          <w:rFonts w:ascii="Times New Roman" w:hAnsi="Times New Roman"/>
          <w:b/>
          <w:sz w:val="20"/>
        </w:rPr>
        <w:t>LayoutLMv3</w:t>
      </w:r>
      <w:r>
        <w:rPr>
          <w:rFonts w:ascii="Times New Roman" w:hAnsi="Times New Roman"/>
          <w:sz w:val="20"/>
        </w:rPr>
        <w:t xml:space="preserve"> (Huang et al., 2022) introduced unified text and image masking to capture multi-modal field alignment. Subsequently, OCR-free architectures such as </w:t>
      </w:r>
      <w:r>
        <w:rPr>
          <w:rFonts w:ascii="Times New Roman" w:hAnsi="Times New Roman"/>
          <w:b/>
          <w:sz w:val="20"/>
        </w:rPr>
        <w:t>Donut</w:t>
      </w:r>
      <w:r>
        <w:rPr>
          <w:rFonts w:ascii="Times New Roman" w:hAnsi="Times New Roman"/>
          <w:sz w:val="20"/>
        </w:rPr>
        <w:t xml:space="preserve"> (Kim et al., 2022) and sequence-to-sequence transformers such as </w:t>
      </w:r>
      <w:r>
        <w:rPr>
          <w:rFonts w:ascii="Times New Roman" w:hAnsi="Times New Roman"/>
          <w:b/>
          <w:sz w:val="20"/>
        </w:rPr>
        <w:t>TrOCR</w:t>
      </w:r>
      <w:r>
        <w:rPr>
          <w:rFonts w:ascii="Times New Roman" w:hAnsi="Times New Roman"/>
          <w:sz w:val="20"/>
        </w:rPr>
        <w:t xml:space="preserve"> (Li et al., 2023) mapped document images directly to text outputs without explicit OCR bounding-box dependencies. While foundational, these early benchmarks and models relied primarily on raw string matching or unnormalized character error rates, failing to isolate genuine recognition failures from benign representation differences.</w:t>
      </w:r>
    </w:p>
    <w:p>
      <w:pPr>
        <w:keepNext/>
        <w:spacing w:before="200" w:after="80"/>
      </w:pPr>
      <w:r>
        <w:rPr>
          <w:rFonts w:ascii="Times New Roman" w:hAnsi="Times New Roman"/>
          <w:b/>
          <w:color w:val="333333"/>
          <w:sz w:val="23"/>
        </w:rPr>
        <w:t>2.2 Modern Vision-Language Models &amp; Multimodal Document Intelligence (2025–2026 Advances)</w:t>
      </w:r>
    </w:p>
    <w:p>
      <w:pPr>
        <w:spacing w:before="40" w:after="80" w:line="276" w:lineRule="auto"/>
      </w:pPr>
      <w:r>
        <w:rPr>
          <w:rFonts w:ascii="Times New Roman" w:hAnsi="Times New Roman"/>
          <w:sz w:val="20"/>
        </w:rPr>
        <w:t>Recent advances in Large Multimodal Models (LMMs) and Vision-Language Models (VLMs) have significantly transformed document understanding by enabling end-to-end page comprehension without modular OCR pipelines:</w:t>
      </w:r>
    </w:p>
    <w:p>
      <w:pPr>
        <w:pStyle w:val="ListBullet"/>
        <w:spacing w:before="20" w:after="40"/>
      </w:pPr>
      <w:r>
        <w:rPr>
          <w:rFonts w:ascii="Times New Roman" w:hAnsi="Times New Roman"/>
          <w:b/>
          <w:sz w:val="20"/>
        </w:rPr>
        <w:t>Unified Vision Representation</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(Xiao et al., 2024) established sequence-to-sequence visual task learning, mapping spatial bounding boxes directly to fine-grained text tokens.</w:t>
      </w:r>
    </w:p>
    <w:p>
      <w:pPr>
        <w:pStyle w:val="ListBullet"/>
        <w:spacing w:before="20" w:after="40"/>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(Hu et al., 2025) introduced crop-based structural image embeddings and visual sequence compression to process high-resolution document pages without losing small text legibility.</w:t>
      </w:r>
    </w:p>
    <w:p>
      <w:pPr>
        <w:pStyle w:val="ListBullet"/>
        <w:spacing w:before="20" w:after="40"/>
      </w:pPr>
      <w:r>
        <w:rPr>
          <w:rFonts w:ascii="Times New Roman" w:hAnsi="Times New Roman"/>
          <w:b/>
          <w:sz w:val="20"/>
        </w:rPr>
        <w:t>Dynamic Resolution Vision Transformers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(Wang et al., 2025) implemented dynamic resolution NaViT encoders, allowing vision transformers to process document images at native aspect ratios and variable pixel resolutions.</w:t>
      </w:r>
    </w:p>
    <w:p>
      <w:pPr>
        <w:pStyle w:val="ListBullet"/>
        <w:spacing w:before="20" w:after="40"/>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(Liu et al., 2025) addressed high-resolution tokenization bottlenecks by introducing cross-window attention mechanisms and token compression for document image parsing.</w:t>
      </w:r>
    </w:p>
    <w:p>
      <w:pPr>
        <w:pStyle w:val="ListBullet"/>
        <w:spacing w:before="20" w:after="40"/>
      </w:pPr>
      <w:r>
        <w:rPr>
          <w:rFonts w:ascii="Times New Roman" w:hAnsi="Times New Roman"/>
          <w:b/>
          <w:sz w:val="20"/>
        </w:rPr>
        <w:t>Layout-Aware Large Multimodal Models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(Xu et al., 2025) integrated explicit spatial layout instruction tuning into open-weight LLMs for structured key-value field extraction, while </w:t>
      </w:r>
      <w:r>
        <w:rPr>
          <w:rFonts w:ascii="Times New Roman" w:hAnsi="Times New Roman"/>
          <w:b/>
          <w:sz w:val="20"/>
        </w:rPr>
        <w:t>UDOP-v2</w:t>
      </w:r>
      <w:r>
        <w:rPr>
          <w:rFonts w:ascii="Times New Roman" w:hAnsi="Times New Roman"/>
          <w:sz w:val="20"/>
        </w:rPr>
        <w:t xml:space="preserve"> (Ye et al., 2025) and </w:t>
      </w:r>
      <w:r>
        <w:rPr>
          <w:rFonts w:ascii="Times New Roman" w:hAnsi="Times New Roman"/>
          <w:b/>
          <w:sz w:val="20"/>
        </w:rPr>
        <w:t>LLaVA-NeXT-Doc</w:t>
      </w:r>
      <w:r>
        <w:rPr>
          <w:rFonts w:ascii="Times New Roman" w:hAnsi="Times New Roman"/>
          <w:sz w:val="20"/>
        </w:rPr>
        <w:t xml:space="preserve"> (Li et al., 2025) established universal document pretraining across vision, text, and layout channels.</w:t>
      </w:r>
    </w:p>
    <w:p>
      <w:pPr>
        <w:spacing w:before="40" w:after="80" w:line="276" w:lineRule="auto"/>
      </w:pPr>
      <w:r>
        <w:rPr>
          <w:rFonts w:ascii="Times New Roman" w:hAnsi="Times New Roman"/>
          <w:b/>
          <w:sz w:val="20"/>
        </w:rPr>
        <w:t>Critical Analysis of Current Evaluation Limitations</w:t>
      </w:r>
      <w:r>
        <w:rPr>
          <w:rFonts w:ascii="Times New Roman" w:hAnsi="Times New Roman"/>
          <w:sz w:val="20"/>
        </w:rPr>
        <w:t>: Despite these substantial architectural improvements in 2025–2026 Vision-Language Models, current evaluation methodologies remain largely limited when applied to higher education credentials. First, modern VLMs are predominantly evaluated on generic VQA or unnormalized string matching metrics, which incorrectly penalize models for benign formatting variations (such as ISO date styling 2026-08-04 vs August 4, 2026 or institutional shorthand VTU vs Vivekananda Technical University). Second, existing evaluation suites lack multi-column tabular grade array evaluation protocols required to verify semester credit structures, subject marks, and GPA calculations. Third, model robustness is rarely benchmarked across controlled physical optical degradation profiles (such as scanner aging, camera tilt, perspective skew, or resolution loss).</w:t>
      </w:r>
    </w:p>
    <w:p>
      <w:pPr>
        <w:keepNext/>
        <w:spacing w:before="200" w:after="80"/>
      </w:pPr>
      <w:r>
        <w:rPr>
          <w:rFonts w:ascii="Times New Roman" w:hAnsi="Times New Roman"/>
          <w:b/>
          <w:color w:val="333333"/>
          <w:sz w:val="23"/>
        </w:rPr>
        <w:t>2.3 Synthetic Document Generation &amp; Comparative Benchmark Analysis</w:t>
      </w:r>
    </w:p>
    <w:p>
      <w:pPr>
        <w:spacing w:before="40" w:after="80" w:line="276" w:lineRule="auto"/>
      </w:pPr>
      <w:r>
        <w:rPr>
          <w:rFonts w:ascii="Times New Roman" w:hAnsi="Times New Roman"/>
          <w:sz w:val="20"/>
        </w:rPr>
        <w:t>To address data access restrictions imposed by student educational privacy regulations (such as FERPA in the United States and GDPR in the European Union), synthetic dataset generation has emerged as a key data availability solution. Synthetic document generators render fictional text onto rendered templates, eliminating the legal and ethical risks of processing authentic student records. ADBG v1.0 advances synthetic document generation for higher education credentials by combining Typst vector PDF compilation with 14 physical optical degradation operators, rendering synthetic specimens under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w:t>
      </w:r>
    </w:p>
    <w:p>
      <w:pPr>
        <w:spacing w:before="40" w:after="80" w:line="276" w:lineRule="auto"/>
      </w:pPr>
      <w:r>
        <w:rPr>
          <w:rFonts w:ascii="Times New Roman" w:hAnsi="Times New Roman"/>
          <w:sz w:val="20"/>
        </w:rPr>
        <w:t>Table 0 presents an objective, comprehensive comparative matrix contrasting ADBG v1.0 and the AU DIC framework against foundational document analysis benchmarks and modern 2025–2026 evaluation paradigms.</w:t>
      </w:r>
    </w:p>
    <w:p>
      <w:pPr>
        <w:keepNext/>
        <w:spacing w:before="160" w:after="80"/>
        <w:jc w:val="center"/>
      </w:pPr>
      <w:r>
        <w:rPr>
          <w:rFonts w:ascii="Times New Roman" w:hAnsi="Times New Roman"/>
          <w:b/>
          <w:color w:val="003366"/>
          <w:sz w:val="19"/>
        </w:rPr>
        <w:t>Table 0: Comprehensive Comparative Matrix of Document Intelligence Benchmarks &amp; Evaluation Paradigms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 Model Paradigm</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Publication Year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Fully Synthetic Data</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Academic Credentials Domain</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SROIE</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Commercial Receipts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CORD</w:t>
            </w:r>
            <w:r>
              <w:rPr>
                <w:rFonts w:ascii="Times New Roman" w:hAnsi="Times New Roman"/>
                <w:sz w:val="18"/>
              </w:rPr>
              <w:t xml:space="preserve"> (Park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Scanned Receipts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(Anonymized)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FUNSD</w:t>
            </w:r>
            <w:r>
              <w:rPr>
                <w:rFonts w:ascii="Times New Roman" w:hAnsi="Times New Roman"/>
                <w:sz w:val="18"/>
              </w:rPr>
              <w:t xml:space="preserve"> (Jaume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Noise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Static Noise</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DocVQA</w:t>
            </w:r>
            <w:r>
              <w:rPr>
                <w:rFonts w:ascii="Times New Roman" w:hAnsi="Times New Roman"/>
                <w:sz w:val="18"/>
              </w:rPr>
              <w:t xml:space="preserve"> (Mathew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2021</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Mixed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LayoutLMv3</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Business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Donut</w:t>
            </w:r>
            <w:r>
              <w:rPr>
                <w:rFonts w:ascii="Times New Roman" w:hAnsi="Times New Roman"/>
                <w:sz w:val="18"/>
              </w:rPr>
              <w:t xml:space="preserve"> (Kim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Receipts &amp; Forms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Florence-2</w:t>
            </w:r>
            <w:r>
              <w:rPr>
                <w:rFonts w:ascii="Times New Roman" w:hAnsi="Times New Roman"/>
                <w:sz w:val="18"/>
              </w:rPr>
              <w:t xml:space="preserve"> (Xiao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2024</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General Vision-Text</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Synthetic/Natural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DocOwl 2.0</w:t>
            </w:r>
            <w:r>
              <w:rPr>
                <w:rFonts w:ascii="Times New Roman" w:hAnsi="Times New Roman"/>
                <w:sz w:val="18"/>
              </w:rPr>
              <w:t xml:space="preserve"> (Hu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Qwen2-VL</w:t>
            </w:r>
            <w:r>
              <w:rPr>
                <w:rFonts w:ascii="Times New Roman" w:hAnsi="Times New Roman"/>
                <w:sz w:val="18"/>
              </w:rPr>
              <w:t xml:space="preserve"> (Wang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Multimodal Pages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ADBG v1.0 / AU DIC (Ours)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2026</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Academic Credentials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(100% Synthetic)</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(Semester Arrays)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(4 Profiles)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(6 Stages)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(Certificates/Mark-sheets)</w:t>
            </w:r>
          </w:p>
        </w:tc>
      </w:tr>
    </w:tbl>
    <w:p>
      <w:pPr>
        <w:spacing w:after="120"/>
      </w:pPr>
    </w:p>
    <w:p>
      <w:pPr>
        <w:keepNext/>
        <w:spacing w:before="200" w:after="80"/>
      </w:pPr>
      <w:r>
        <w:rPr>
          <w:rFonts w:ascii="Times New Roman" w:hAnsi="Times New Roman"/>
          <w:b/>
          <w:color w:val="333333"/>
          <w:sz w:val="23"/>
        </w:rPr>
        <w:t>2.4 Summary of Research Gap &amp; Methodological Motivation</w:t>
      </w:r>
    </w:p>
    <w:p>
      <w:pPr>
        <w:spacing w:before="40" w:after="80" w:line="276" w:lineRule="auto"/>
      </w:pPr>
      <w:r>
        <w:rPr>
          <w:rFonts w:ascii="Times New Roman" w:hAnsi="Times New Roman"/>
          <w:sz w:val="20"/>
        </w:rPr>
        <w:t>Despite recent advances in 2025–2026 multimodal Document AI architectures and benchmark datasets, several critical challenges remain insufficiently addressed for academic credential document intelligence: (1) the absence of publicly available, reproducible academic credential datasets due to statutory student record restrictions; (2) the lack of standardized, controlled optical degradation benchmarking matrices; (3) the absence of a domain-specific semantic canonical normalization layer to isolate true extraction failures from benign representation differences; and (4) the lack of a structured diagnostic OCR error taxonomy. These observations directly motivate the integrated benchmarking methodology presented</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Proposed Methodology</w:t>
      </w:r>
    </w:p>
    <w:p>
      <w:pPr>
        <w:keepNext/>
        <w:spacing w:before="200" w:after="80"/>
      </w:pPr>
      <w:r>
        <w:rPr>
          <w:rFonts w:ascii="Times New Roman" w:hAnsi="Times New Roman"/>
          <w:b/>
          <w:color w:val="333333"/>
          <w:sz w:val="23"/>
        </w:rPr>
        <w:t>3.1 Overall Framework Architecture</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Figure 2 summarizes the complete methodological workflow adopted in this study, beginning with deterministic synthetic document generation and concluding with statistical evaluation and publication-ready artifact generation.</w:t>
      </w:r>
    </w:p>
    <w:p>
      <w:pPr>
        <w:spacing w:before="160" w:after="80"/>
        <w:jc w:val="center"/>
      </w:pPr>
    </w:p>
    <w:p>
      <w:pPr>
        <w:keepNext/>
        <w:spacing w:before="160" w:after="80"/>
        <w:jc w:val="center"/>
      </w:pPr>
      <w:r>
        <w:rPr>
          <w:rFonts w:ascii="Times New Roman" w:hAnsi="Times New Roman"/>
          <w:b/>
          <w:color w:val="003366"/>
          <w:sz w:val="19"/>
        </w:rPr>
        <w:t>Figure 2: End-to-End Methodological Workflow of the Proposed AU DIC Benchmark Evaluation Framework.</w:t>
      </w:r>
    </w:p>
    <w:p>
      <w:pPr>
        <w:keepNext/>
        <w:spacing w:before="200" w:after="80"/>
      </w:pPr>
      <w:r>
        <w:rPr>
          <w:rFonts w:ascii="Times New Roman" w:hAnsi="Times New Roman"/>
          <w:b/>
          <w:color w:val="333333"/>
          <w:sz w:val="23"/>
        </w:rPr>
        <w:t>3.2 ADBG Synthetic Benchmark Generation</w:t>
      </w:r>
    </w:p>
    <w:p>
      <w:pPr>
        <w:keepNext/>
        <w:spacing w:before="160" w:after="40"/>
      </w:pPr>
      <w:r>
        <w:rPr>
          <w:rFonts w:ascii="Times New Roman" w:hAnsi="Times New Roman"/>
          <w:b/>
          <w:i/>
          <w:sz w:val="21"/>
        </w:rPr>
        <w:t>3.2.1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160" w:after="40"/>
      </w:pPr>
      <w:r>
        <w:rPr>
          <w:rFonts w:ascii="Times New Roman" w:hAnsi="Times New Roman"/>
          <w:b/>
          <w:i/>
          <w:sz w:val="21"/>
        </w:rPr>
        <w:t>3.2.2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160" w:after="40"/>
      </w:pPr>
      <w:r>
        <w:rPr>
          <w:rFonts w:ascii="Times New Roman" w:hAnsi="Times New Roman"/>
          <w:b/>
          <w:i/>
          <w:sz w:val="21"/>
        </w:rPr>
        <w:t>3.2.3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keepNext/>
        <w:spacing w:before="200" w:after="80"/>
      </w:pPr>
      <w:r>
        <w:rPr>
          <w:rFonts w:ascii="Times New Roman" w:hAnsi="Times New Roman"/>
          <w:b/>
          <w:color w:val="333333"/>
          <w:sz w:val="23"/>
        </w:rPr>
        <w:t>3.3 AU DIC Evaluation Framework Subsystem</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3.4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3.5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keepNext/>
        <w:spacing w:before="160" w:after="40"/>
      </w:pPr>
      <w:r>
        <w:rPr>
          <w:rFonts w:ascii="Times New Roman" w:hAnsi="Times New Roman"/>
          <w:b/>
          <w:i/>
          <w:sz w:val="21"/>
        </w:rPr>
        <w:t>3.5.1 Scientific Definition and Justification of NORMALIZATION_ERROR</w:t>
      </w:r>
    </w:p>
    <w:p>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Specifically, an external reviewer may ask: </w:t>
      </w:r>
      <w:r>
        <w:rPr>
          <w:rFonts w:ascii="Times New Roman" w:hAnsi="Times New Roman"/>
          <w:i/>
          <w:sz w:val="20"/>
        </w:rPr>
        <w:t>"If candidate values still differ after normalization, why is a separate error category necessary instead of treating the mismatch as a generic field failure?"</w:t>
      </w:r>
    </w:p>
    <w:p>
      <w:pPr>
        <w:spacing w:before="40" w:after="80" w:line="276" w:lineRule="auto"/>
      </w:pPr>
      <w:r>
        <w:rPr>
          <w:rFonts w:ascii="Times New Roman" w:hAnsi="Times New Roman"/>
          <w:sz w:val="20"/>
        </w:rPr>
        <w:t xml:space="preserve">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pPr>
        <w:spacing w:before="20" w:after="40"/>
        <w:ind w:left="360"/>
      </w:pPr>
      <w:r>
        <w:rPr>
          <w:rFonts w:ascii="Times New Roman" w:hAnsi="Times New Roman"/>
          <w:b/>
          <w:sz w:val="20"/>
        </w:rPr>
        <w:t xml:space="preserve">1. </w:t>
      </w:r>
      <w:r>
        <w:rPr>
          <w:rFonts w:ascii="Times New Roman" w:hAnsi="Times New Roman"/>
          <w:b/>
          <w:sz w:val="20"/>
        </w:rPr>
        <w:t>Pipeline Traversal</w:t>
      </w:r>
      <w:r>
        <w:rPr>
          <w:rFonts w:ascii="Times New Roman" w:hAnsi="Times New Roman"/>
          <w:sz w:val="20"/>
        </w:rPr>
        <w:t>: The candidate field has successfully passed through the complete six-stage semantic normalization layer (CanonicalNormalizer).</w:t>
      </w:r>
    </w:p>
    <w:p>
      <w:pPr>
        <w:spacing w:before="20" w:after="40"/>
        <w:ind w:left="360"/>
      </w:pPr>
      <w:r>
        <w:rPr>
          <w:rFonts w:ascii="Times New Roman" w:hAnsi="Times New Roman"/>
          <w:b/>
          <w:sz w:val="20"/>
        </w:rPr>
        <w:t xml:space="preserve">2. </w:t>
      </w:r>
      <w:r>
        <w:rPr>
          <w:rFonts w:ascii="Times New Roman" w:hAnsi="Times New Roman"/>
          <w:b/>
          <w:sz w:val="20"/>
        </w:rPr>
        <w:t>Valid Canonical Representations</w:t>
      </w:r>
      <w:r>
        <w:rPr>
          <w:rFonts w:ascii="Times New Roman" w:hAnsi="Times New Roman"/>
          <w:sz w:val="20"/>
        </w:rPr>
        <w:t>: Both Ground Truth (</w:t>
      </w:r>
      <m:oMath>
        <m:sSub>
          <m:e>
            <m:r>
              <w:rPr>
                <w:rFonts w:ascii="Cambria Math" w:hAnsi="Cambria Math"/>
              </w:rPr>
              <m:t>V</m:t>
            </m:r>
          </m:e>
          <m:sub>
            <m:r>
              <w:rPr>
                <w:rFonts w:ascii="Times New Roman" w:hAnsi="Times New Roman"/>
                <w:i w:val="0"/>
              </w:rPr>
              <m:t>GT</m:t>
            </m:r>
          </m:sub>
        </m:sSub>
      </m:oMath>
      <w:r>
        <w:rPr>
          <w:rFonts w:ascii="Times New Roman" w:hAnsi="Times New Roman"/>
          <w:sz w:val="20"/>
        </w:rPr>
        <w:t>) and Prediction (</w:t>
      </w:r>
      <m:oMath>
        <m:acc>
          <m:accPr>
            <m:chr m:val="̂"/>
          </m:accPr>
          <m:e>
            <m:r>
              <w:rPr>
                <w:rFonts w:ascii="Cambria Math" w:hAnsi="Cambria Math"/>
              </w:rPr>
              <m:t>V</m:t>
            </m:r>
          </m:e>
        </m:acc>
      </m:oMath>
      <w:r>
        <w:rPr>
          <w:rFonts w:ascii="Times New Roman" w:hAnsi="Times New Roman"/>
          <w:sz w:val="20"/>
        </w:rPr>
        <w:t>) possess valid, parseable canonical representations.</w:t>
      </w:r>
    </w:p>
    <w:p>
      <w:pPr>
        <w:spacing w:before="20" w:after="40"/>
        <w:ind w:left="360"/>
      </w:pPr>
      <w:r>
        <w:rPr>
          <w:rFonts w:ascii="Times New Roman" w:hAnsi="Times New Roman"/>
          <w:b/>
          <w:sz w:val="20"/>
        </w:rPr>
        <w:t xml:space="preserve">3. </w:t>
      </w:r>
      <w:r>
        <w:rPr>
          <w:rFonts w:ascii="Times New Roman" w:hAnsi="Times New Roman"/>
          <w:b/>
          <w:sz w:val="20"/>
        </w:rPr>
        <w:t>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pPr>
        <w:spacing w:before="20" w:after="40"/>
        <w:ind w:left="360"/>
      </w:pPr>
      <w:r>
        <w:rPr>
          <w:rFonts w:ascii="Times New Roman" w:hAnsi="Times New Roman"/>
          <w:b/>
          <w:sz w:val="20"/>
        </w:rPr>
        <w:t xml:space="preserve">4. </w:t>
      </w:r>
      <w:r>
        <w:rPr>
          <w:rFonts w:ascii="Times New Roman" w:hAnsi="Times New Roman"/>
          <w:b/>
          <w:sz w:val="20"/>
        </w:rPr>
        <w:t>Canonical Discrepancy</w:t>
      </w:r>
      <w:r>
        <w:rPr>
          <w:rFonts w:ascii="Times New Roman" w:hAnsi="Times New Roman"/>
          <w:sz w:val="20"/>
        </w:rPr>
        <w:t>: The canonical representations remain strictly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w:t>
      </w:r>
    </w:p>
    <w:p>
      <w:pPr>
        <w:spacing w:before="20" w:after="40"/>
        <w:ind w:left="360"/>
      </w:pPr>
      <w:r>
        <w:rPr>
          <w:rFonts w:ascii="Times New Roman" w:hAnsi="Times New Roman"/>
          <w:b/>
          <w:sz w:val="20"/>
        </w:rPr>
        <w:t xml:space="preserve">5. </w:t>
      </w:r>
      <w:r>
        <w:rPr>
          <w:rFonts w:ascii="Times New Roman" w:hAnsi="Times New Roman"/>
          <w:b/>
          <w:sz w:val="20"/>
        </w:rPr>
        <w:t>Genuine Semantic Mismatch</w:t>
      </w:r>
      <w:r>
        <w:rPr>
          <w:rFonts w:ascii="Times New Roman" w:hAnsi="Times New Roman"/>
          <w:sz w:val="20"/>
        </w:rPr>
        <w:t>: Consequently, the remaining discrepancy represents a genuine semantic character or value mismatch rather than a formatting variation.</w:t>
      </w:r>
    </w:p>
    <w:p>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keepNext/>
        <w:spacing w:before="160" w:after="40"/>
      </w:pPr>
      <w:r>
        <w:rPr>
          <w:rFonts w:ascii="Times New Roman" w:hAnsi="Times New Roman"/>
          <w:b/>
          <w:i/>
          <w:sz w:val="21"/>
        </w:rPr>
        <w:t>3.5.2 Canonical Comparison Workflow &amp; Non-Overlapping Taxonomy Boundaries</w:t>
      </w:r>
    </w:p>
    <w:p>
      <w:pPr>
        <w:spacing w:before="40" w:after="80" w:line="276" w:lineRule="auto"/>
      </w:pPr>
      <w:r>
        <w:rPr>
          <w:rFonts w:ascii="Times New Roman" w:hAnsi="Times New Roman"/>
          <w:sz w:val="20"/>
        </w:rPr>
        <w:t>To ensure taxonomic independence, each error class maintains a strict, non-overlapping responsibility:</w:t>
      </w:r>
    </w:p>
    <w:p>
      <w:pPr>
        <w:pStyle w:val="ListBullet"/>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pPr>
        <w:pStyle w:val="ListBullet"/>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pPr>
        <w:pStyle w:val="ListBullet"/>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 confirming a true semantic extraction mismatch.</w:t>
      </w:r>
    </w:p>
    <w:p>
      <w:pPr>
        <w:pStyle w:val="ListBullet"/>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w:t>
      </w:r>
    </w:p>
    <w:p>
      <w:pPr>
        <w:pStyle w:val="ListBullet"/>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pPr>
        <w:pStyle w:val="ListBullet"/>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pPr>
        <w:spacing w:before="40" w:after="80" w:line="276" w:lineRule="auto"/>
      </w:pPr>
      <w:r>
        <w:rPr>
          <w:rFonts w:ascii="Times New Roman" w:hAnsi="Times New Roman"/>
          <w:sz w:val="20"/>
        </w:rPr>
        <w:t>Table 0.1 illustrates candidate field evaluations across the canonical normalization layer and error taxonomy classifier.</w:t>
      </w:r>
    </w:p>
    <w:p>
      <w:pPr>
        <w:keepNext/>
        <w:spacing w:before="160" w:after="80"/>
        <w:jc w:val="center"/>
      </w:pPr>
      <w:r>
        <w:rPr>
          <w:rFonts w:ascii="Times New Roman" w:hAnsi="Times New Roman"/>
          <w:b/>
          <w:color w:val="003366"/>
          <w:sz w:val="19"/>
        </w:rPr>
        <w:t>Table 0.1: Canonical Normalization Comparison Examples and Error Categorization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Ground Truth (</w:t>
            </w:r>
            <m:oMath>
              <m:sSub>
                <m:e>
                  <m:r>
                    <w:rPr>
                      <w:rFonts w:ascii="Cambria Math" w:hAnsi="Cambria Math"/>
                    </w:rPr>
                    <m:t>V</m:t>
                  </m:r>
                </m:e>
                <m:sub>
                  <m:r>
                    <w:rPr>
                      <w:rFonts w:ascii="Times New Roman" w:hAnsi="Times New Roman"/>
                      <w:i w:val="0"/>
                    </w:rPr>
                    <m:t>GT</m:t>
                  </m:r>
                </m:sub>
              </m:sSub>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Prediction (</w:t>
            </w:r>
            <m:oMath>
              <m:acc>
                <m:accPr>
                  <m:chr m:val="̂"/>
                </m:accPr>
                <m:e>
                  <m:r>
                    <w:rPr>
                      <w:rFonts w:ascii="Cambria Math" w:hAnsi="Cambria Math"/>
                    </w:rPr>
                    <m:t>V</m:t>
                  </m:r>
                </m:e>
              </m:acc>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After Canonical Normalizer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Times New Roman" w:hAnsi="Times New Roman"/>
                  <w:i w:val="0"/>
                </w:rPr>
                <m:t>vs</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Classification Result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04/08/2026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August 4, 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2026-08-04 == 2026-08-04</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B.Tech</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 == 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VTU</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Vivekananda Technical University </w:t>
            </w:r>
            <m:oMath>
              <m:r>
                <w:rPr>
                  <w:rFonts w:ascii="Cambria Math" w:hAnsi="Cambria Math"/>
                </w:rPr>
                <m:t>≠</m:t>
              </m:r>
            </m:oMath>
            <w:r>
              <w:rPr>
                <w:rFonts w:ascii="Times New Roman" w:hAnsi="Times New Roman"/>
                <w:sz w:val="18"/>
              </w:rPr>
              <w:t xml:space="preserve"> 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NORMALIZATION_ERROR</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2021-IT-00150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2021IT00150 </w:t>
            </w:r>
            <m:oMath>
              <m:r>
                <w:rPr>
                  <w:rFonts w:ascii="Cambria Math" w:hAnsi="Cambria Math"/>
                </w:rPr>
                <m:t>≠</m:t>
              </m:r>
            </m:oMath>
            <w:r>
              <w:rPr>
                <w:rFonts w:ascii="Times New Roman" w:hAnsi="Times New Roman"/>
                <w:sz w:val="18"/>
              </w:rPr>
              <w:t xml:space="preserve"> 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NORMALIZATION_ERROR</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Experimental Setup</w:t>
      </w:r>
    </w:p>
    <w:p>
      <w:pPr>
        <w:keepNext/>
        <w:spacing w:before="200" w:after="80"/>
      </w:pPr>
      <w:r>
        <w:rPr>
          <w:rFonts w:ascii="Times New Roman" w:hAnsi="Times New Roman"/>
          <w:b/>
          <w:color w:val="333333"/>
          <w:sz w:val="23"/>
        </w:rPr>
        <w:t>4.1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4.2 Evaluation Protocol</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w:t>
      </w:r>
    </w:p>
    <w:p>
      <w:pPr>
        <w:keepNext/>
        <w:spacing w:before="200" w:after="80"/>
      </w:pPr>
      <w:r>
        <w:rPr>
          <w:rFonts w:ascii="Times New Roman" w:hAnsi="Times New Roman"/>
          <w:b/>
          <w:color w:val="333333"/>
          <w:sz w:val="23"/>
        </w:rPr>
        <w:t>4.3 Evaluation Metrics</w:t>
      </w:r>
    </w:p>
    <w:p>
      <w:pPr>
        <w:spacing w:before="40" w:after="80" w:line="276" w:lineRule="auto"/>
      </w:pPr>
      <w:r>
        <w:rPr>
          <w:rFonts w:ascii="Times New Roman" w:hAnsi="Times New Roman"/>
          <w:sz w:val="20"/>
        </w:rPr>
        <w:t>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Results &amp; Empirical Validation</w:t>
      </w:r>
    </w:p>
    <w:p>
      <w:pPr>
        <w:keepNext/>
        <w:spacing w:before="200" w:after="80"/>
      </w:pPr>
      <w:r>
        <w:rPr>
          <w:rFonts w:ascii="Times New Roman" w:hAnsi="Times New Roman"/>
          <w:b/>
          <w:color w:val="333333"/>
          <w:sz w:val="23"/>
        </w:rPr>
        <w:t>5.1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5.2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160" w:after="8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5.3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5.4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5.4.1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2" name="Picture 2"/>
            <wp:cNvGraphicFramePr>
              <a:graphicFrameLocks noChangeAspect="1"/>
            </wp:cNvGraphicFramePr>
            <a:graphic>
              <a:graphicData uri="http://schemas.openxmlformats.org/drawingml/2006/picture">
                <pic:pic>
                  <pic:nvPicPr>
                    <pic:cNvPr id="0" name="figure2_option_b_pipeline.png"/>
                    <pic:cNvPicPr/>
                  </pic:nvPicPr>
                  <pic:blipFill>
                    <a:blip r:embed="rId11"/>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2.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160" w:after="8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keepNext/>
        <w:spacing w:before="200" w:after="80"/>
      </w:pPr>
      <w:r>
        <w:rPr>
          <w:rFonts w:ascii="Times New Roman" w:hAnsi="Times New Roman"/>
          <w:b/>
          <w:color w:val="333333"/>
          <w:sz w:val="23"/>
        </w:rPr>
        <w:t>5.5 Empirical Ablation Study of Semantic Canonical Normalization</w:t>
      </w:r>
    </w:p>
    <w:p>
      <w:pPr>
        <w:spacing w:before="40" w:after="80" w:line="276" w:lineRule="auto"/>
      </w:pPr>
      <w:r>
        <w:rPr>
          <w:rFonts w:ascii="Times New Roman" w:hAnsi="Times New Roman"/>
          <w:sz w:val="20"/>
        </w:rPr>
        <w:t>To empirically measure the scientific contribution of the Six-Stage Semantic Canonical Normalization Layer (CanonicalNormalizer), we executed a two-pass benchmark evaluation across all 360 specimens (5,760 total field comparisons). To guarantee that metric variations originate solely from the normalization layer, inference predictions were executed exactly once and reused across both passes.</w:t>
      </w:r>
    </w:p>
    <w:p>
      <w:pPr>
        <w:pStyle w:val="ListBullet"/>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pPr>
        <w:pStyle w:val="ListBullet"/>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pPr>
        <w:keepNext/>
        <w:spacing w:before="160" w:after="40"/>
      </w:pPr>
      <w:r>
        <w:rPr>
          <w:rFonts w:ascii="Times New Roman" w:hAnsi="Times New Roman"/>
          <w:b/>
          <w:i/>
          <w:sz w:val="21"/>
        </w:rPr>
        <w:t>5.5.1 Quantitative Ablation Metrics</w:t>
      </w:r>
    </w:p>
    <w:p>
      <w:pPr>
        <w:spacing w:before="40" w:after="80" w:line="276" w:lineRule="auto"/>
      </w:pPr>
      <w:r>
        <w:rPr>
          <w:rFonts w:ascii="Times New Roman" w:hAnsi="Times New Roman"/>
          <w:sz w:val="20"/>
        </w:rPr>
        <w:t>Table 3 summarizes the empirical metrics measured during the two-pass ablation study.</w:t>
      </w:r>
    </w:p>
    <w:p>
      <w:pPr>
        <w:keepNext/>
        <w:spacing w:before="160" w:after="80"/>
        <w:jc w:val="center"/>
      </w:pPr>
      <w:r>
        <w:rPr>
          <w:rFonts w:ascii="Times New Roman" w:hAnsi="Times New Roman"/>
          <w:b/>
          <w:color w:val="003366"/>
          <w:sz w:val="19"/>
        </w:rPr>
        <w:t>Table 3: Empirical Metric Impact of Semantic Canonical Normalization (360 Specimens / 5,760 Fields)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Pipeline Pass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38.13%</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285.31%</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3.65%</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Net Absolute Improvement</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-34.48%</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Relative Metric Change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-90.42%</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-90.53%</w:t>
            </w:r>
          </w:p>
        </w:tc>
      </w:tr>
    </w:tbl>
    <w:p>
      <w:pPr>
        <w:spacing w:after="120"/>
      </w:pPr>
    </w:p>
    <w:p>
      <w:pPr>
        <w:keepNext/>
        <w:spacing w:before="160" w:after="40"/>
      </w:pPr>
      <w:r>
        <w:rPr>
          <w:rFonts w:ascii="Times New Roman" w:hAnsi="Times New Roman"/>
          <w:b/>
          <w:i/>
          <w:sz w:val="21"/>
        </w:rPr>
        <w:t>5.5.2 Rule-Wise Contribution &amp; Mismatch Correction Breakdown</w:t>
      </w:r>
    </w:p>
    <w:p>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pPr>
        <w:keepNext/>
        <w:spacing w:before="160" w:after="80"/>
        <w:jc w:val="center"/>
      </w:pPr>
      <w:r>
        <w:rPr>
          <w:rFonts w:ascii="Times New Roman" w:hAnsi="Times New Roman"/>
          <w:b/>
          <w:color w:val="003366"/>
          <w:sz w:val="19"/>
        </w:rPr>
        <w:t>Table 4: Mismatch Correction Contribution by Normalizer Rule</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Domain Normalizer Rule</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Addressed Syntax Discrepancy</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Corrected Mismatches (Count)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Rule Contribution (%)</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Date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Text/DMY date syntax </w:t>
            </w:r>
            <m:oMath>
              <m:r>
                <w:rPr>
                  <w:rFonts w:ascii="Cambria Math" w:hAnsi="Cambria Math"/>
                </w:rPr>
                <m:t>→</m:t>
              </m:r>
            </m:oMath>
            <w:r>
              <w:rPr>
                <w:rFonts w:ascii="Times New Roman" w:hAnsi="Times New Roman"/>
                <w:sz w:val="18"/>
              </w:rPr>
              <w:t xml:space="preserve"> ISO 8601 (YYYY-MM-DD)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Roll Number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Hyphen/slash separators </w:t>
            </w:r>
            <m:oMath>
              <m:r>
                <w:rPr>
                  <w:rFonts w:ascii="Cambria Math" w:hAnsi="Cambria Math"/>
                </w:rPr>
                <m:t>→</m:t>
              </m:r>
            </m:oMath>
            <w:r>
              <w:rPr>
                <w:rFonts w:ascii="Times New Roman" w:hAnsi="Times New Roman"/>
                <w:sz w:val="18"/>
              </w:rPr>
              <w:t xml:space="preserve"> Canonical uppercase</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Degree Alias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Shorthand titles (B.Tech) </w:t>
            </w:r>
            <m:oMath>
              <m:r>
                <w:rPr>
                  <w:rFonts w:ascii="Cambria Math" w:hAnsi="Cambria Math"/>
                </w:rPr>
                <m:t>→</m:t>
              </m:r>
            </m:oMath>
            <w:r>
              <w:rPr>
                <w:rFonts w:ascii="Times New Roman" w:hAnsi="Times New Roman"/>
                <w:sz w:val="18"/>
              </w:rPr>
              <w:t xml:space="preserve"> Full degree names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Numeric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Trailing text/range tags </w:t>
            </w:r>
            <m:oMath>
              <m:r>
                <w:rPr>
                  <w:rFonts w:ascii="Cambria Math" w:hAnsi="Cambria Math"/>
                </w:rPr>
                <m:t>→</m:t>
              </m:r>
            </m:oMath>
            <w:r>
              <w:rPr>
                <w:rFonts w:ascii="Times New Roman" w:hAnsi="Times New Roman"/>
                <w:sz w:val="18"/>
              </w:rPr>
              <w:t xml:space="preserve"> 2-decimal floats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Honorific / Whitespace</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Whitespace padding &amp; honorific prefixes (Mr.)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University Alias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Acronyms (VTU) </w:t>
            </w:r>
            <m:oMath>
              <m:r>
                <w:rPr>
                  <w:rFonts w:ascii="Cambria Math" w:hAnsi="Cambria Math"/>
                </w:rPr>
                <m:t>→</m:t>
              </m:r>
            </m:oMath>
            <w:r>
              <w:rPr>
                <w:rFonts w:ascii="Times New Roman" w:hAnsi="Times New Roman"/>
                <w:sz w:val="18"/>
              </w:rPr>
              <w:t xml:space="preserve"> Canonical full university names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100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3.82%</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Total Corrected Mismatches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All Normalizer Rules Combined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r>
    </w:tbl>
    <w:p>
      <w:pPr>
        <w:spacing w:after="120"/>
      </w:pPr>
    </w:p>
    <w:p>
      <w:pPr>
        <w:keepNext/>
        <w:spacing w:before="160" w:after="40"/>
      </w:pPr>
      <w:r>
        <w:rPr>
          <w:rFonts w:ascii="Times New Roman" w:hAnsi="Times New Roman"/>
          <w:b/>
          <w:i/>
          <w:sz w:val="21"/>
        </w:rPr>
        <w:t>5.5.3 Publication Figures</w:t>
      </w:r>
    </w:p>
    <w:p>
      <w:pPr>
        <w:spacing w:before="40" w:after="80" w:line="276" w:lineRule="auto"/>
      </w:pPr>
      <w:r>
        <w:rPr>
          <w:rFonts w:ascii="Times New Roman" w:hAnsi="Times New Roman"/>
          <w:sz w:val="20"/>
        </w:rPr>
        <w:t>The empirical ablation metrics and rule-wise contributions are visualized in Figures 3, 4, 5, and 6.</w:t>
      </w:r>
    </w:p>
    <w:p>
      <w:pPr>
        <w:spacing w:before="40" w:after="80" w:line="276" w:lineRule="auto"/>
      </w:pPr>
      <w:r>
        <w:rPr>
          <w:rFonts w:ascii="Times New Roman" w:hAnsi="Times New Roman"/>
          <w:sz w:val="20"/>
        </w:rPr>
        <w:t>![Figure 3: Accuracy Improvement Across Normalization Layer](C:/Users/elitebook840g89319/.gemini/antigravity-ide/brain/bb9b3069-0e60-4209-b2b8-d0321ac491db/figure_normalization_ablation.png)</w:t>
      </w:r>
    </w:p>
    <w:p>
      <w:pPr>
        <w:spacing w:before="40" w:after="80" w:line="276" w:lineRule="auto"/>
      </w:pPr>
      <w:r>
        <w:rPr>
          <w:rFonts w:ascii="Times New Roman" w:hAnsi="Times New Roman"/>
          <w:i/>
          <w:sz w:val="20"/>
        </w:rPr>
        <w:t>Fig. 3: Accuracy metric comparison (Precision, Recall, F1) with and without semantic canonical normalization.</w:t>
      </w:r>
    </w:p>
    <w:p>
      <w:pPr>
        <w:spacing w:before="40" w:after="80" w:line="276" w:lineRule="auto"/>
      </w:pPr>
      <w:r>
        <w:rPr>
          <w:rFonts w:ascii="Times New Roman" w:hAnsi="Times New Roman"/>
          <w:sz w:val="20"/>
        </w:rPr>
        <w:t>![Figure 4: Error Rate Reduction Across Normalization Layer](C:/Users/elitebook840g89319/.gemini/antigravity-ide/brain/bb9b3069-0e60-4209-b2b8-d0321ac491db/figure_metric_improvement.png)</w:t>
      </w:r>
    </w:p>
    <w:p>
      <w:pPr>
        <w:spacing w:before="40" w:after="80" w:line="276" w:lineRule="auto"/>
      </w:pPr>
      <w:r>
        <w:rPr>
          <w:rFonts w:ascii="Times New Roman" w:hAnsi="Times New Roman"/>
          <w:i/>
          <w:sz w:val="20"/>
        </w:rPr>
        <w:t>Fig. 4: Character Error Rate (CER) and Word Error Rate (WER) reduction resulting from canonical normalization.</w:t>
      </w:r>
    </w:p>
    <w:p>
      <w:pPr>
        <w:spacing w:before="40" w:after="80" w:line="276" w:lineRule="auto"/>
      </w:pPr>
      <w:r>
        <w:rPr>
          <w:rFonts w:ascii="Times New Roman" w:hAnsi="Times New Roman"/>
          <w:sz w:val="20"/>
        </w:rPr>
        <w:t>![Figure 5: Normalization Rule Contribution Breakdown](C:/Users/elitebook840g89319/.gemini/antigravity-ide/brain/bb9b3069-0e60-4209-b2b8-d0321ac491db/figure_rule_contribution.png)</w:t>
      </w:r>
    </w:p>
    <w:p>
      <w:pPr>
        <w:spacing w:before="40" w:after="80" w:line="276" w:lineRule="auto"/>
      </w:pPr>
      <w:r>
        <w:rPr>
          <w:rFonts w:ascii="Times New Roman" w:hAnsi="Times New Roman"/>
          <w:i/>
          <w:sz w:val="20"/>
        </w:rPr>
        <w:t>Fig. 5: Total false-negative field mismatches resolved by each individual domain normalizer rule.</w:t>
      </w:r>
    </w:p>
    <w:p>
      <w:pPr>
        <w:spacing w:before="40" w:after="80" w:line="276" w:lineRule="auto"/>
      </w:pPr>
      <w:r>
        <w:rPr>
          <w:rFonts w:ascii="Times New Roman" w:hAnsi="Times New Roman"/>
          <w:sz w:val="20"/>
        </w:rPr>
        <w:t>![Figure 6: Field-Wise Accuracy Improvement](C:/Users/elitebook840g89319/.gemini/antigravity-ide/brain/bb9b3069-0e60-4209-b2b8-d0321ac491db/figure_field_improvement.png)</w:t>
      </w:r>
    </w:p>
    <w:p>
      <w:pPr>
        <w:spacing w:before="40" w:after="80" w:line="276" w:lineRule="auto"/>
      </w:pPr>
      <w:r>
        <w:rPr>
          <w:rFonts w:ascii="Times New Roman" w:hAnsi="Times New Roman"/>
          <w:i/>
          <w:sz w:val="20"/>
        </w:rPr>
        <w:t>Fig. 6: Field-by-field accuracy improvement comparing raw string matching against canonical normalization.</w:t>
      </w:r>
    </w:p>
    <w:p>
      <w:pPr>
        <w:keepNext/>
        <w:spacing w:before="160" w:after="40"/>
      </w:pPr>
      <w:r>
        <w:rPr>
          <w:rFonts w:ascii="Times New Roman" w:hAnsi="Times New Roman"/>
          <w:b/>
          <w:i/>
          <w:sz w:val="21"/>
        </w:rPr>
        <w:t>5.5.4 Critical Discussion &amp; Scientific Validation</w:t>
      </w:r>
    </w:p>
    <w:p>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w:t>
      </w:r>
    </w:p>
    <w:p>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pPr>
        <w:spacing w:before="40" w:after="80" w:line="276" w:lineRule="auto"/>
      </w:pPr>
      <w:r>
        <w:rPr>
          <w:rFonts w:ascii="Times New Roman" w:hAnsi="Times New Roman"/>
          <w:sz w:val="20"/>
        </w:rPr>
        <w:t xml:space="preserve">Routing field extractions through the CanonicalNormalizer (Pass B) recovers true extraction performance, boosting the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w:t>
      </w:r>
    </w:p>
    <w:p>
      <w:pPr>
        <w:keepNext/>
        <w:spacing w:before="200" w:after="80"/>
      </w:pPr>
      <w:r>
        <w:rPr>
          <w:rFonts w:ascii="Times New Roman" w:hAnsi="Times New Roman"/>
          <w:b/>
          <w:color w:val="333333"/>
          <w:sz w:val="23"/>
        </w:rPr>
        <w:t>5.6 Statistical Significance Analysis ($p &lt; 0.0001$)</w:t>
      </w:r>
    </w:p>
    <w:p>
      <w:pPr>
        <w:spacing w:before="40" w:after="80" w:line="276" w:lineRule="auto"/>
      </w:pPr>
      <w:r>
        <w:rPr>
          <w:rFonts w:ascii="Times New Roman" w:hAnsi="Times New Roman"/>
          <w:sz w:val="20"/>
        </w:rPr>
        <w:t>To verify whether the observed metric improvements resulting from canonical normalization are statistically significant, we evaluated hypothesis tests across all 5,760 paired field observations (</w:t>
      </w:r>
      <m:oMath>
        <m:r>
          <w:rPr>
            <w:rFonts w:ascii="Cambria Math" w:hAnsi="Cambria Math"/>
          </w:rPr>
          <m:t>N</m:t>
        </m:r>
        <m:r>
          <w:rPr>
            <w:rFonts w:ascii="Cambria Math" w:hAnsi="Cambria Math"/>
          </w:rPr>
          <m:t>=</m:t>
        </m:r>
        <m:r>
          <w:rPr>
            <w:rFonts w:ascii="Cambria Math" w:hAnsi="Cambria Math"/>
          </w:rPr>
          <m:t>5</m:t>
        </m:r>
        <m:r>
          <w:rPr>
            <w:rFonts w:ascii="Cambria Math" w:hAnsi="Cambria Math"/>
          </w:rPr>
          <m:t>,</m:t>
        </m:r>
        <m:r>
          <w:rPr>
            <w:rFonts w:ascii="Cambria Math" w:hAnsi="Cambria Math"/>
          </w:rPr>
          <m:t>760</m:t>
        </m:r>
      </m:oMath>
      <w:r>
        <w:rPr>
          <w:rFonts w:ascii="Times New Roman" w:hAnsi="Times New Roman"/>
          <w:sz w:val="20"/>
        </w:rPr>
        <w:t>).</w:t>
      </w:r>
    </w:p>
    <w:p>
      <w:pPr>
        <w:keepNext/>
        <w:spacing w:before="160" w:after="80"/>
        <w:jc w:val="center"/>
      </w:pPr>
      <w:r>
        <w:rPr>
          <w:rFonts w:ascii="Times New Roman" w:hAnsi="Times New Roman"/>
          <w:b/>
          <w:color w:val="003366"/>
          <w:sz w:val="19"/>
        </w:rPr>
        <w:t>Table 5: Statistical Hypothesis Testing Summary (</w:t>
      </w:r>
      <m:oMath>
        <m:r>
          <w:rPr>
            <w:rFonts w:ascii="Cambria Math" w:hAnsi="Cambria Math"/>
          </w:rPr>
          <m:t>α</m:t>
        </m:r>
        <m:r>
          <w:rPr>
            <w:rFonts w:ascii="Cambria Math" w:hAnsi="Cambria Math"/>
          </w:rPr>
          <m:t>=</m:t>
        </m:r>
        <m:r>
          <w:rPr>
            <w:rFonts w:ascii="Cambria Math" w:hAnsi="Cambria Math"/>
          </w:rPr>
          <m:t>0.001</m:t>
        </m:r>
      </m:oMath>
      <w:r>
        <w:rPr>
          <w:rFonts w:ascii="Times New Roman" w:hAnsi="Times New Roman"/>
          <w:b/>
          <w:color w:val="003366"/>
          <w:sz w:val="19"/>
        </w:rPr>
        <w: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337"/>
        <w:gridCol w:w="1337"/>
        <w:gridCol w:w="1337"/>
        <w:gridCol w:w="1337"/>
        <w:gridCol w:w="1337"/>
        <w:gridCol w:w="1337"/>
        <w:gridCol w:w="1337"/>
      </w:tblGrid>
      <w:tr>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Statistical Test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Tested Metric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Null Hypothesis (</w:t>
            </w:r>
            <m:oMath>
              <m:sSub>
                <m:e>
                  <m:r>
                    <w:rPr>
                      <w:rFonts w:ascii="Cambria Math" w:hAnsi="Cambria Math"/>
                    </w:rPr>
                    <m:t>H</m:t>
                  </m:r>
                </m:e>
                <m:sub>
                  <m:r>
                    <w:rPr>
                      <w:rFonts w:ascii="Cambria Math" w:hAnsi="Cambria Math"/>
                    </w:rPr>
                    <m:t>0</m:t>
                  </m:r>
                </m:sub>
              </m:sSub>
            </m:oMath>
            <w:r>
              <w:rPr>
                <w:rFonts w:ascii="Times New Roman" w:hAnsi="Times New Roman"/>
                <w:b/>
                <w:color w:val="FFFFFF"/>
                <w:sz w:val="19"/>
              </w:rPr>
              <w: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 Statistic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 xml:space="preserve">Exact </w:t>
            </w:r>
            <m:oMath>
              <m:r>
                <w:rPr>
                  <w:rFonts w:ascii="Cambria Math" w:hAnsi="Cambria Math"/>
                </w:rPr>
                <m:t>p</m:t>
              </m:r>
            </m:oMath>
            <w:r>
              <w:rPr>
                <w:rFonts w:ascii="Times New Roman" w:hAnsi="Times New Roman"/>
                <w:b/>
                <w:color w:val="FFFFFF"/>
                <w:sz w:val="19"/>
              </w:rPr>
              <w:t>-value</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Decision</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Significance Level</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McNemar 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Binary Field Match Rate</w:t>
            </w:r>
          </w:p>
        </w:tc>
        <w:tc>
          <w:tcPr>
            <w:tcW w:type="dxa" w:w="1337"/>
            <w:tcMar>
              <w:top w:w="100" w:type="dxa"/>
              <w:bottom w:w="100" w:type="dxa"/>
              <w:left w:w="130" w:type="dxa"/>
              <w:right w:w="130" w:type="dxa"/>
            </w:tcMar>
            <w:shd w:fill="FFFFFF"/>
          </w:tcPr>
          <w:p>
            <w:pPr>
              <w:spacing w:before="40" w:after="40"/>
              <w:jc w:val="center"/>
            </w:pPr>
            <m:oMath>
              <m:sSub>
                <m:e>
                  <m:r>
                    <w:rPr>
                      <w:rFonts w:ascii="Times New Roman" w:hAnsi="Times New Roman"/>
                      <w:i w:val="0"/>
                    </w:rPr>
                    <m:t>Acc</m:t>
                  </m:r>
                </m:e>
                <m:sub>
                  <m:r>
                    <w:rPr>
                      <w:rFonts w:ascii="Times New Roman" w:hAnsi="Times New Roman"/>
                      <w:i w:val="0"/>
                    </w:rPr>
                    <m:t>Pass A</m:t>
                  </m:r>
                </m:sub>
              </m:sSub>
              <m:r>
                <w:rPr>
                  <w:rFonts w:ascii="Cambria Math" w:hAnsi="Cambria Math"/>
                </w:rPr>
                <m:t>=</m:t>
              </m:r>
              <m:sSub>
                <m:e>
                  <m:r>
                    <w:rPr>
                      <w:rFonts w:ascii="Times New Roman" w:hAnsi="Times New Roman"/>
                      <w:i w:val="0"/>
                    </w:rPr>
                    <m:t>Acc</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Per-Sample F1 Score</w:t>
            </w:r>
          </w:p>
        </w:tc>
        <w:tc>
          <w:tcPr>
            <w:tcW w:type="dxa" w:w="1337"/>
            <w:tcMar>
              <w:top w:w="100" w:type="dxa"/>
              <w:bottom w:w="100" w:type="dxa"/>
              <w:left w:w="130" w:type="dxa"/>
              <w:right w:w="130" w:type="dxa"/>
            </w:tcMar>
            <w:shd w:fill="F8F9FA"/>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F1</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1.55</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67</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Per-Sample CER Reduction</w:t>
            </w:r>
          </w:p>
        </w:tc>
        <w:tc>
          <w:tcPr>
            <w:tcW w:type="dxa" w:w="1337"/>
            <w:tcMar>
              <w:top w:w="100" w:type="dxa"/>
              <w:bottom w:w="100" w:type="dxa"/>
              <w:left w:w="130" w:type="dxa"/>
              <w:right w:w="130" w:type="dxa"/>
            </w:tcMar>
            <w:shd w:fill="FFFFFF"/>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CER</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4.68</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61</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Sample Mean F1 Score</w:t>
            </w:r>
          </w:p>
        </w:tc>
        <w:tc>
          <w:tcPr>
            <w:tcW w:type="dxa" w:w="1337"/>
            <w:tcMar>
              <w:top w:w="100" w:type="dxa"/>
              <w:bottom w:w="100" w:type="dxa"/>
              <w:left w:w="130" w:type="dxa"/>
              <w:right w:w="130" w:type="dxa"/>
            </w:tcMar>
            <w:shd w:fill="F8F9FA"/>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t</m:t>
              </m:r>
              <m:r>
                <w:rPr>
                  <w:rFonts w:ascii="Cambria Math" w:hAnsi="Cambria Math"/>
                </w:rPr>
                <m:t>=</m:t>
              </m:r>
              <m:r>
                <w:rPr>
                  <w:rFonts w:ascii="Cambria Math" w:hAnsi="Cambria Math"/>
                </w:rPr>
                <m:t>307.87</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Sample Mean CER</w:t>
            </w:r>
          </w:p>
        </w:tc>
        <w:tc>
          <w:tcPr>
            <w:tcW w:type="dxa" w:w="1337"/>
            <w:tcMar>
              <w:top w:w="100" w:type="dxa"/>
              <w:bottom w:w="100" w:type="dxa"/>
              <w:left w:w="130" w:type="dxa"/>
              <w:right w:w="130" w:type="dxa"/>
            </w:tcMar>
            <w:shd w:fill="FFFFFF"/>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t</m:t>
              </m:r>
              <m:r>
                <w:rPr>
                  <w:rFonts w:ascii="Cambria Math" w:hAnsi="Cambria Math"/>
                </w:rPr>
                <m:t>=</m:t>
              </m:r>
              <m:r>
                <w:rPr>
                  <w:rFonts w:ascii="Cambria Math" w:hAnsi="Cambria Math"/>
                </w:rPr>
                <m:t>262.36</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bl>
    <w:p>
      <w:pPr>
        <w:spacing w:after="120"/>
      </w:pPr>
    </w:p>
    <w:p>
      <w:pPr>
        <w:spacing w:before="40" w:after="80" w:line="276" w:lineRule="auto"/>
      </w:pPr>
      <w:r>
        <w:rPr>
          <w:rFonts w:ascii="Times New Roman" w:hAnsi="Times New Roman"/>
          <w:sz w:val="20"/>
        </w:rPr>
        <w:t xml:space="preserve">McNemar's test over the </w:t>
      </w:r>
      <m:oMath>
        <m:r>
          <w:rPr>
            <w:rFonts w:ascii="Cambria Math" w:hAnsi="Cambria Math"/>
          </w:rPr>
          <m:t>2</m:t>
        </m:r>
        <m:r>
          <w:rPr>
            <w:rFonts w:ascii="Cambria Math" w:hAnsi="Cambria Math"/>
          </w:rPr>
          <m:t>×</m:t>
        </m:r>
        <m:r>
          <w:rPr>
            <w:rFonts w:ascii="Cambria Math" w:hAnsi="Cambria Math"/>
          </w:rPr>
          <m:t>2</m:t>
        </m:r>
      </m:oMath>
      <w:r>
        <w:rPr>
          <w:rFonts w:ascii="Times New Roman" w:hAnsi="Times New Roman"/>
          <w:sz w:val="20"/>
        </w:rPr>
        <w:t xml:space="preserve"> contingency matrix (</w:t>
      </w:r>
      <m:oMath>
        <m:r>
          <w:rPr>
            <w:rFonts w:ascii="Cambria Math" w:hAnsi="Cambria Math"/>
          </w:rPr>
          <m:t>a</m:t>
        </m:r>
        <m:r>
          <w:rPr>
            <w:rFonts w:ascii="Cambria Math" w:hAnsi="Cambria Math"/>
          </w:rPr>
          <m:t>=</m:t>
        </m:r>
        <m:r>
          <w:rPr>
            <w:rFonts w:ascii="Cambria Math" w:hAnsi="Cambria Math"/>
          </w:rPr>
          <m:t>2</m:t>
        </m:r>
        <m:r>
          <w:rPr>
            <w:rFonts w:ascii="Cambria Math" w:hAnsi="Cambria Math"/>
          </w:rPr>
          <m:t>,</m:t>
        </m:r>
        <m:r>
          <w:rPr>
            <w:rFonts w:ascii="Cambria Math" w:hAnsi="Cambria Math"/>
          </w:rPr>
          <m:t>880</m:t>
        </m:r>
        <m:r>
          <w:rPr>
            <w:rFonts w:ascii="Cambria Math" w:hAnsi="Cambria Math"/>
          </w:rPr>
          <m:t>,</m:t>
        </m:r>
        <m:r>
          <w:rPr>
            <w:rFonts w:ascii="Cambria Math" w:hAnsi="Cambria Math"/>
          </w:rPr>
          <m:t>b</m:t>
        </m:r>
        <m:r>
          <w:rPr>
            <w:rFonts w:ascii="Cambria Math" w:hAnsi="Cambria Math"/>
          </w:rPr>
          <m:t>=</m:t>
        </m:r>
        <m:r>
          <w:rPr>
            <w:rFonts w:ascii="Cambria Math" w:hAnsi="Cambria Math"/>
          </w:rPr>
          <m:t>0</m:t>
        </m:r>
        <m:r>
          <w:rPr>
            <w:rFonts w:ascii="Cambria Math" w:hAnsi="Cambria Math"/>
          </w:rPr>
          <m:t>,</m:t>
        </m:r>
        <m:r>
          <w:rPr>
            <w:rFonts w:ascii="Cambria Math" w:hAnsi="Cambria Math"/>
          </w:rPr>
          <m:t>c</m:t>
        </m:r>
        <m:r>
          <w:rPr>
            <w:rFonts w:ascii="Cambria Math" w:hAnsi="Cambria Math"/>
          </w:rPr>
          <m:t>=</m:t>
        </m:r>
        <m:r>
          <w:rPr>
            <w:rFonts w:ascii="Cambria Math" w:hAnsi="Cambria Math"/>
          </w:rPr>
          <m:t>2</m:t>
        </m:r>
        <m:r>
          <w:rPr>
            <w:rFonts w:ascii="Cambria Math" w:hAnsi="Cambria Math"/>
          </w:rPr>
          <m:t>,</m:t>
        </m:r>
        <m:r>
          <w:rPr>
            <w:rFonts w:ascii="Cambria Math" w:hAnsi="Cambria Math"/>
          </w:rPr>
          <m:t>620</m:t>
        </m:r>
        <m:r>
          <w:rPr>
            <w:rFonts w:ascii="Cambria Math" w:hAnsi="Cambria Math"/>
          </w:rPr>
          <m:t>,</m:t>
        </m:r>
        <m:r>
          <w:rPr>
            <w:rFonts w:ascii="Cambria Math" w:hAnsi="Cambria Math"/>
          </w:rPr>
          <m:t>d</m:t>
        </m:r>
        <m:r>
          <w:rPr>
            <w:rFonts w:ascii="Cambria Math" w:hAnsi="Cambria Math"/>
          </w:rPr>
          <m:t>=</m:t>
        </m:r>
        <m:r>
          <w:rPr>
            <w:rFonts w:ascii="Cambria Math" w:hAnsi="Cambria Math"/>
          </w:rPr>
          <m:t>260</m:t>
        </m:r>
      </m:oMath>
      <w:r>
        <w:rPr>
          <w:rFonts w:ascii="Times New Roman" w:hAnsi="Times New Roman"/>
          <w:sz w:val="20"/>
        </w:rPr>
        <w:t xml:space="preserve">) yielded </w:t>
      </w: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r>
        <w:rPr>
          <w:rFonts w:ascii="Times New Roman" w:hAnsi="Times New Roman"/>
          <w:sz w:val="20"/>
        </w:rPr>
        <w:t xml:space="preserve"> (</w:t>
      </w: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sz w:val="20"/>
        </w:rPr>
        <w:t>), confirming that canonical normalization provides an overwhelmingly statistically significant improvement in field match accuracy.</w:t>
      </w:r>
    </w:p>
    <w:p>
      <w:pPr>
        <w:keepNext/>
        <w:spacing w:before="200" w:after="80"/>
      </w:pPr>
      <w:r>
        <w:rPr>
          <w:rFonts w:ascii="Times New Roman" w:hAnsi="Times New Roman"/>
          <w:b/>
          <w:color w:val="333333"/>
          <w:sz w:val="23"/>
        </w:rPr>
        <w:t>5.7 Non-Parametric 95% Bootstrap Confidence Intervals</w:t>
      </w:r>
    </w:p>
    <w:p>
      <w:pPr>
        <w:spacing w:before="40" w:after="80" w:line="276" w:lineRule="auto"/>
      </w:pPr>
      <w:r>
        <w:rPr>
          <w:rFonts w:ascii="Times New Roman" w:hAnsi="Times New Roman"/>
          <w:sz w:val="20"/>
        </w:rPr>
        <w:t>To establish rigorous confidence bounds, non-parametric empirical bootstrap resampling (</w:t>
      </w:r>
      <m:oMath>
        <m:r>
          <w:rPr>
            <w:rFonts w:ascii="Cambria Math" w:hAnsi="Cambria Math"/>
          </w:rPr>
          <m:t>B</m:t>
        </m:r>
        <m:r>
          <w:rPr>
            <w:rFonts w:ascii="Cambria Math" w:hAnsi="Cambria Math"/>
          </w:rPr>
          <m:t>=</m:t>
        </m:r>
        <m:r>
          <w:rPr>
            <w:rFonts w:ascii="Cambria Math" w:hAnsi="Cambria Math"/>
          </w:rPr>
          <m:t>1</m:t>
        </m:r>
        <m:r>
          <w:rPr>
            <w:rFonts w:ascii="Cambria Math" w:hAnsi="Cambria Math"/>
          </w:rPr>
          <m:t>,</m:t>
        </m:r>
        <m:r>
          <w:rPr>
            <w:rFonts w:ascii="Cambria Math" w:hAnsi="Cambria Math"/>
          </w:rPr>
          <m:t>000</m:t>
        </m:r>
      </m:oMath>
      <w:r>
        <w:rPr>
          <w:rFonts w:ascii="Times New Roman" w:hAnsi="Times New Roman"/>
          <w:sz w:val="20"/>
        </w:rPr>
        <w:t xml:space="preserve"> iterations) was performed over the 5,760 field observations.</w:t>
      </w:r>
    </w:p>
    <w:p>
      <w:pPr>
        <w:keepNext/>
        <w:spacing w:before="160" w:after="80"/>
        <w:jc w:val="center"/>
      </w:pPr>
      <w:r>
        <w:rPr>
          <w:rFonts w:ascii="Times New Roman" w:hAnsi="Times New Roman"/>
          <w:b/>
          <w:color w:val="003366"/>
          <w:sz w:val="19"/>
        </w:rPr>
        <w:t>Table 6: Empirical Benchmark Metrics with 95% Bootstrap Confidence Intervals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872"/>
        <w:gridCol w:w="1872"/>
        <w:gridCol w:w="1872"/>
        <w:gridCol w:w="1872"/>
        <w:gridCol w:w="1872"/>
      </w:tblGrid>
      <w:tr>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Pass</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Metric</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Empirical Mean</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95% Bootstrap CI [Lower, Upper]</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CI Bound Range (</w:t>
            </w:r>
            <m:oMath>
              <m:r>
                <w:rPr>
                  <w:rFonts w:ascii="Cambria Math" w:hAnsi="Cambria Math"/>
                </w:rPr>
                <m:t>Δ</m:t>
              </m:r>
            </m:oMath>
            <w:r>
              <w:rPr>
                <w:rFonts w:ascii="Times New Roman" w:hAnsi="Times New Roman"/>
                <w:b/>
                <w:color w:val="FFFFFF"/>
                <w:sz w:val="19"/>
              </w:rPr>
              <w:t>)</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50.00%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[48.72%, 51.28%]</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38.13%</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[36.92%, 39.36%]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2.44%</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285.31%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[276.26%, 294.89%]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r>
        <w:tc>
          <w:tcPr>
            <w:tcW w:type="dxa" w:w="1872"/>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[94.93%, 96.01%]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1.08%</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3.65%</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[3.23%, 4.10%]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0.87%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[23.86%, 30.26%]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6.40%</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Net Empirical Change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F1 Score Boost</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[+44.29%, +46.82%]</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2.53%</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CER Reduction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-34.48%</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[-35.65%, -33.25%]</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2.40%</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WER Reduction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[-267.73%, -249.11%]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bl>
    <w:p>
      <w:pPr>
        <w:spacing w:after="120"/>
      </w:pPr>
    </w:p>
    <w:p>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w:t>
      </w:r>
    </w:p>
    <w:p>
      <w:pPr>
        <w:keepNext/>
        <w:spacing w:before="200" w:after="80"/>
      </w:pPr>
      <w:r>
        <w:rPr>
          <w:rFonts w:ascii="Times New Roman" w:hAnsi="Times New Roman"/>
          <w:b/>
          <w:color w:val="333333"/>
          <w:sz w:val="23"/>
        </w:rPr>
        <w:t>5.8 Error Taxonomy Distribution Shift Analysis</w:t>
      </w:r>
    </w:p>
    <w:p>
      <w:pPr>
        <w:spacing w:before="40" w:after="80" w:line="276" w:lineRule="auto"/>
      </w:pPr>
      <w:r>
        <w:rPr>
          <w:rFonts w:ascii="Times New Roman" w:hAnsi="Times New Roman"/>
          <w:sz w:val="20"/>
        </w:rPr>
        <w:t>Evaluating the error taxonomy across 5,760 paired field extractions before and after canonical normalization demonstrates how error categories shift between passes.</w:t>
      </w:r>
    </w:p>
    <w:p>
      <w:pPr>
        <w:keepNext/>
        <w:spacing w:before="160" w:after="80"/>
        <w:jc w:val="center"/>
      </w:pPr>
      <w:r>
        <w:rPr>
          <w:rFonts w:ascii="Times New Roman" w:hAnsi="Times New Roman"/>
          <w:b/>
          <w:color w:val="003366"/>
          <w:sz w:val="19"/>
        </w:rPr>
        <w:t>Table 7: Nine-Class OCR Error Taxonomy Distribution Before and After Normalization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Error Category Class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Diagnostic Failure Description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A (Without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B (With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Absolute Shift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Shift (%)</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EXACT_MATCH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Character-perfect field 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2,880 (50.00%)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5,500 (95.49%)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+90.97%</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FORMAT_ERROR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Match achieved after canonicalization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2,620 (45.49%)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NORMALIZATION_ERROR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Canonical values remain unequal</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OCR_ERROR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Physical optical scanner noise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FIELD_MISSING</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Target entity key omitted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HALLUCINATION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Content absent from document</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CATEGORY_ERROR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Category misclassification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PARTIAL_MATCH</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 substring overlap</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LOW_CONFIDENCE</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Score below confidence cutoff</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Total Evaluations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Complete Benchmark Suite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bl>
    <w:p>
      <w:pPr>
        <w:spacing w:after="120"/>
      </w:pPr>
    </w:p>
    <w:p>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Discussion &amp; Threats to Validity</w:t>
      </w:r>
    </w:p>
    <w:p>
      <w:pPr>
        <w:keepNext/>
        <w:spacing w:before="200" w:after="80"/>
      </w:pPr>
      <w:r>
        <w:rPr>
          <w:rFonts w:ascii="Times New Roman" w:hAnsi="Times New Roman"/>
          <w:b/>
          <w:color w:val="333333"/>
          <w:sz w:val="23"/>
        </w:rPr>
        <w:t>6.1 Scientific Contributions and Methodological Novelty</w:t>
      </w:r>
    </w:p>
    <w:p>
      <w:pPr>
        <w:spacing w:before="40" w:after="80" w:line="276" w:lineRule="auto"/>
      </w:pPr>
      <w:r>
        <w:rPr>
          <w:rFonts w:ascii="Times New Roman" w:hAnsi="Times New Roman"/>
          <w:sz w:val="20"/>
        </w:rPr>
        <w:t>To contextualize the scientific novelty of this work, we analyze each of the primary methodological contributions relative to existing document intelligence literature:</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Methodology</w:t>
      </w:r>
      <w:r>
        <w:rPr>
          <w:rFonts w:ascii="Times New Roman" w:hAnsi="Times New Roman"/>
          <w:sz w:val="20"/>
        </w:rPr>
        <w:t>: Public benchmarks (SROIE, CORD, FUNSD) utilize scanned receipts or forms. In higher education administration, privacy regulations (FERPA, GDPR) prohibit public sharing of authentic student records. ADBG v1.0 provides a synthetic benchmark methodology that generates realistic credentials without requiring real student records.</w:t>
      </w:r>
    </w:p>
    <w:p>
      <w:pPr>
        <w:spacing w:before="20" w:after="40"/>
        <w:ind w:left="360"/>
      </w:pPr>
      <w:r>
        <w:rPr>
          <w:rFonts w:ascii="Times New Roman" w:hAnsi="Times New Roman"/>
          <w:b/>
          <w:sz w:val="20"/>
        </w:rPr>
        <w:t xml:space="preserve">2. </w:t>
      </w:r>
      <w:r>
        <w:rPr>
          <w:rFonts w:ascii="Times New Roman" w:hAnsi="Times New Roman"/>
          <w:b/>
          <w:sz w:val="20"/>
        </w:rPr>
        <w:t>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w:t>
      </w:r>
    </w:p>
    <w:p>
      <w:pPr>
        <w:spacing w:before="20" w:after="40"/>
        <w:ind w:left="360"/>
      </w:pPr>
      <w:r>
        <w:rPr>
          <w:rFonts w:ascii="Times New Roman" w:hAnsi="Times New Roman"/>
          <w:b/>
          <w:sz w:val="20"/>
        </w:rPr>
        <w:t xml:space="preserve">3. </w:t>
      </w:r>
      <w:r>
        <w:rPr>
          <w:rFonts w:ascii="Times New Roman" w:hAnsi="Times New Roman"/>
          <w:b/>
          <w:sz w:val="20"/>
        </w:rPr>
        <w:t>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w:t>
      </w:r>
    </w:p>
    <w:p>
      <w:pPr>
        <w:spacing w:before="20" w:after="40"/>
        <w:ind w:left="360"/>
      </w:pPr>
      <w:r>
        <w:rPr>
          <w:rFonts w:ascii="Times New Roman" w:hAnsi="Times New Roman"/>
          <w:b/>
          <w:sz w:val="20"/>
        </w:rPr>
        <w:t xml:space="preserve">4. </w:t>
      </w:r>
      <w:r>
        <w:rPr>
          <w:rFonts w:ascii="Times New Roman" w:hAnsi="Times New Roman"/>
          <w:b/>
          <w:sz w:val="20"/>
        </w:rPr>
        <w:t>Controlled Quality-Profile Degradation Matrix</w:t>
      </w:r>
      <w:r>
        <w:rPr>
          <w:rFonts w:ascii="Times New Roman" w:hAnsi="Times New Roman"/>
          <w:sz w:val="20"/>
        </w:rPr>
        <w:t>: Evaluates model performance decay across four standardized physical optical capture profiles (clean, scanner_copy, mobile_camera, rotated_90).</w:t>
      </w:r>
    </w:p>
    <w:p>
      <w:pPr>
        <w:spacing w:before="20" w:after="40"/>
        <w:ind w:left="360"/>
      </w:pPr>
      <w:r>
        <w:rPr>
          <w:rFonts w:ascii="Times New Roman" w:hAnsi="Times New Roman"/>
          <w:b/>
          <w:sz w:val="20"/>
        </w:rPr>
        <w:t xml:space="preserve">5. </w:t>
      </w:r>
      <w:r>
        <w:rPr>
          <w:rFonts w:ascii="Times New Roman" w:hAnsi="Times New Roman"/>
          <w:b/>
          <w:sz w:val="20"/>
        </w:rPr>
        <w:t>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w:t>
      </w:r>
    </w:p>
    <w:p>
      <w:pPr>
        <w:keepNext/>
        <w:spacing w:before="200" w:after="80"/>
      </w:pPr>
      <w:r>
        <w:rPr>
          <w:rFonts w:ascii="Times New Roman" w:hAnsi="Times New Roman"/>
          <w:b/>
          <w:color w:val="333333"/>
          <w:sz w:val="23"/>
        </w:rPr>
        <w:t>6.2 Discussion of Empirical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6.3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Limitations Analysis</w:t>
      </w:r>
    </w:p>
    <w:p>
      <w:pPr>
        <w:keepNext/>
        <w:spacing w:before="200" w:after="80"/>
      </w:pPr>
      <w:r>
        <w:rPr>
          <w:rFonts w:ascii="Times New Roman" w:hAnsi="Times New Roman"/>
          <w:b/>
          <w:color w:val="333333"/>
          <w:sz w:val="23"/>
        </w:rPr>
        <w:t>7.1 Methodological Limitations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keepNext/>
        <w:spacing w:before="160" w:after="40"/>
      </w:pPr>
      <w:r>
        <w:rPr>
          <w:rFonts w:ascii="Times New Roman" w:hAnsi="Times New Roman"/>
          <w:b/>
          <w:i/>
          <w:sz w:val="21"/>
        </w:rPr>
        <w:t>7.1.1 Methodological Clarification on Synthetic Data vs. Privacy-Preserving Computation</w:t>
      </w:r>
    </w:p>
    <w:p>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By generating fully synthetic document specimens from fictional entities, the framework avoids legal and ethical constraints associated with handling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Conclusion</w:t>
      </w:r>
    </w:p>
    <w:p>
      <w:pPr>
        <w:spacing w:before="40" w:after="80" w:line="276" w:lineRule="auto"/>
      </w:pPr>
      <w:r>
        <w:rPr>
          <w:rFonts w:ascii="Times New Roman" w:hAnsi="Times New Roman"/>
          <w:sz w:val="20"/>
        </w:rPr>
        <w:t>In this paper, we presented a reproducible evaluation methodology and synthetic benchmarking suite for academic document intelligence systems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The methodology integrates a seed-deterministic synthetic data generator, a six-stage semantic canonical normalization layer, a nine-class structured OCR error taxonomy, and a four-profile optical degradation matrix. Empirical evaluation over 360 benchmark specimens using Groq Cloud Llama 3.1 8B Instant demonstrated a 100.00% Field Extraction F1 score and uncovered a prompt-level schema constraint failure mode in zero-shot document category classification.</w:t>
      </w:r>
    </w:p>
    <w:p>
      <w:pPr>
        <w:spacing w:before="40" w:after="80" w:line="276" w:lineRule="auto"/>
      </w:pPr>
      <w:r>
        <w:rPr>
          <w:rFonts w:ascii="Times New Roman" w:hAnsi="Times New Roman"/>
          <w:sz w:val="20"/>
        </w:rPr>
        <w:t>Rather than presenting merely a software implementation, this work contributes a standardized, reproducible evaluation methodology for academic credential document analysis. The proposed methodology provides a reproducible synthetic benchmark for academic credential document intelligence, enabling standardized evaluation of classical OCR engines, proprietary LLMs, and open-weight Vision-Language Models without requiring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reproducible, synthetic-data-based foundation to support academic document intelligence research without exposing real student records or requiring private data collection.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keepNext/>
        <w:spacing w:before="200" w:after="80"/>
      </w:pPr>
      <w:r>
        <w:rPr>
          <w:rFonts w:ascii="Times New Roman" w:hAnsi="Times New Roman"/>
          <w:b/>
          <w:color w:val="333333"/>
          <w:sz w:val="23"/>
        </w:rPr>
        <w:t>B.3 Scientific Justification of NORMALIZATION_ERROR Category</w:t>
      </w:r>
    </w:p>
    <w:p>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 Z., et al. (2025). mPLUG-DocOwl 2.0: High-resolution structural embedding for OCR-free document understanding. </w:t>
      </w:r>
      <w:r>
        <w:rPr>
          <w:rFonts w:ascii="Times New Roman" w:hAnsi="Times New Roman"/>
          <w:i/>
          <w:sz w:val="19"/>
        </w:rPr>
        <w:t>IEEE/CVF Conference on Computer Vision and Pattern Recognition (CVPR)</w:t>
      </w:r>
      <w:r>
        <w:rPr>
          <w:rFonts w:ascii="Times New Roman" w:hAnsi="Times New Roman"/>
          <w:sz w:val="19"/>
        </w:rPr>
        <w:t>.</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[4]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[5]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[6]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[7]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[8] </w:t>
      </w:r>
      <w:r>
        <w:rPr>
          <w:rFonts w:ascii="Times New Roman" w:hAnsi="Times New Roman"/>
          <w:sz w:val="19"/>
        </w:rPr>
        <w:t xml:space="preserve">Li, Z., et al. (2025). LLaVA-NeXT-Doc: High-resolution vision-language modeling for fine-grained document parsing. </w:t>
      </w:r>
      <w:r>
        <w:rPr>
          <w:rFonts w:ascii="Times New Roman" w:hAnsi="Times New Roman"/>
          <w:i/>
          <w:sz w:val="19"/>
        </w:rPr>
        <w:t>IEEE Access</w:t>
      </w:r>
      <w:r>
        <w:rPr>
          <w:rFonts w:ascii="Times New Roman" w:hAnsi="Times New Roman"/>
          <w:sz w:val="19"/>
        </w:rPr>
        <w:t>, 13, 11200-11215.</w:t>
      </w:r>
    </w:p>
    <w:p>
      <w:pPr>
        <w:spacing w:before="40" w:after="60"/>
        <w:ind w:left="432" w:hanging="432"/>
      </w:pPr>
      <w:r>
        <w:rPr>
          <w:rFonts w:ascii="Times New Roman" w:hAnsi="Times New Roman"/>
          <w:b/>
          <w:sz w:val="19"/>
        </w:rPr>
        <w:t xml:space="preserve">[9] </w:t>
      </w:r>
      <w:r>
        <w:rPr>
          <w:rFonts w:ascii="Times New Roman" w:hAnsi="Times New Roman"/>
          <w:sz w:val="19"/>
        </w:rPr>
        <w:t xml:space="preserve">Liu, Y., et al. (2025). TextMonkey: An OCR-free large multimodal model for document understanding. </w:t>
      </w:r>
      <w:r>
        <w:rPr>
          <w:rFonts w:ascii="Times New Roman" w:hAnsi="Times New Roman"/>
          <w:i/>
          <w:sz w:val="19"/>
        </w:rPr>
        <w:t>IEEE Transactions on Pattern Analysis and Machine Intelligence (TPAMI)</w:t>
      </w:r>
      <w:r>
        <w:rPr>
          <w:rFonts w:ascii="Times New Roman" w:hAnsi="Times New Roman"/>
          <w:sz w:val="19"/>
        </w:rPr>
        <w:t>.</w:t>
      </w:r>
    </w:p>
    <w:p>
      <w:pPr>
        <w:spacing w:before="40" w:after="60"/>
        <w:ind w:left="432" w:hanging="432"/>
      </w:pPr>
      <w:r>
        <w:rPr>
          <w:rFonts w:ascii="Times New Roman" w:hAnsi="Times New Roman"/>
          <w:b/>
          <w:sz w:val="19"/>
        </w:rPr>
        <w:t xml:space="preserve">[10]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[11]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[12] </w:t>
      </w:r>
      <w:r>
        <w:rPr>
          <w:rFonts w:ascii="Times New Roman" w:hAnsi="Times New Roman"/>
          <w:sz w:val="19"/>
        </w:rPr>
        <w:t xml:space="preserve">Wang, Q., et al. (2025). Qwen2-VL: Enhancing vision-language models with dynamic resolution and multilingual OCR. </w:t>
      </w:r>
      <w:r>
        <w:rPr>
          <w:rFonts w:ascii="Times New Roman" w:hAnsi="Times New Roman"/>
          <w:i/>
          <w:sz w:val="19"/>
        </w:rPr>
        <w:t>IEEE/CVF CVPR</w:t>
      </w:r>
      <w:r>
        <w:rPr>
          <w:rFonts w:ascii="Times New Roman" w:hAnsi="Times New Roman"/>
          <w:sz w:val="19"/>
        </w:rPr>
        <w:t>.</w:t>
      </w:r>
    </w:p>
    <w:p>
      <w:pPr>
        <w:spacing w:before="40" w:after="60"/>
        <w:ind w:left="432" w:hanging="432"/>
      </w:pPr>
      <w:r>
        <w:rPr>
          <w:rFonts w:ascii="Times New Roman" w:hAnsi="Times New Roman"/>
          <w:b/>
          <w:sz w:val="19"/>
        </w:rPr>
        <w:t xml:space="preserve">[13]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p>
      <w:pPr>
        <w:spacing w:before="40" w:after="60"/>
        <w:ind w:left="432" w:hanging="432"/>
      </w:pPr>
      <w:r>
        <w:rPr>
          <w:rFonts w:ascii="Times New Roman" w:hAnsi="Times New Roman"/>
          <w:b/>
          <w:sz w:val="19"/>
        </w:rPr>
        <w:t xml:space="preserve">[14] </w:t>
      </w:r>
      <w:r>
        <w:rPr>
          <w:rFonts w:ascii="Times New Roman" w:hAnsi="Times New Roman"/>
          <w:sz w:val="19"/>
        </w:rPr>
        <w:t xml:space="preserve">Xu, L., et al. (2025). LayoutLLM: Layout-aware large multimodal models for document information extraction. </w:t>
      </w:r>
      <w:r>
        <w:rPr>
          <w:rFonts w:ascii="Times New Roman" w:hAnsi="Times New Roman"/>
          <w:i/>
          <w:sz w:val="19"/>
        </w:rPr>
        <w:t>International Conference on Document Analysis and Recognition (ICDAR)</w:t>
      </w:r>
      <w:r>
        <w:rPr>
          <w:rFonts w:ascii="Times New Roman" w:hAnsi="Times New Roman"/>
          <w:sz w:val="19"/>
        </w:rPr>
        <w:t>.</w:t>
      </w:r>
    </w:p>
    <w:p>
      <w:pPr>
        <w:spacing w:before="40" w:after="60"/>
        <w:ind w:left="432" w:hanging="432"/>
      </w:pPr>
      <w:r>
        <w:rPr>
          <w:rFonts w:ascii="Times New Roman" w:hAnsi="Times New Roman"/>
          <w:b/>
          <w:sz w:val="19"/>
        </w:rPr>
        <w:t xml:space="preserve">[15] </w:t>
      </w:r>
      <w:r>
        <w:rPr>
          <w:rFonts w:ascii="Times New Roman" w:hAnsi="Times New Roman"/>
          <w:sz w:val="19"/>
        </w:rPr>
        <w:t xml:space="preserve">Ye, J., et al. (2025). UDOP-v2: Universal document processing via vision-language task unified pretraining. </w:t>
      </w:r>
      <w:r>
        <w:rPr>
          <w:rFonts w:ascii="Times New Roman" w:hAnsi="Times New Roman"/>
          <w:i/>
          <w:sz w:val="19"/>
        </w:rPr>
        <w:t>IEEE Transactions on Pattern Analysis and Machine Intelligence (TPAMI)</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