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Models &amp; Benchmarks (Historical Context)</w:t>
      </w:r>
    </w:p>
    <w:p>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pPr>
        <w:pStyle w:val="ListBullet"/>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pPr>
        <w:keepNext/>
        <w:spacing w:before="200" w:after="80"/>
      </w:pPr>
      <w:r>
        <w:rPr>
          <w:rFonts w:ascii="Times New Roman" w:hAnsi="Times New Roman"/>
          <w:b/>
          <w:color w:val="333333"/>
          <w:sz w:val="23"/>
        </w:rPr>
        <w:t>2.2 Modern Vision-Language Models &amp; Multimodal Document Intelligence (2025–2026 Advances)</w:t>
      </w:r>
    </w:p>
    <w:p>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pPr>
        <w:pStyle w:val="ListBullet"/>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pPr>
        <w:pStyle w:val="ListBullet"/>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pPr>
        <w:pStyle w:val="ListBullet"/>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pPr>
        <w:keepNext/>
        <w:spacing w:before="200" w:after="80"/>
      </w:pPr>
      <w:r>
        <w:rPr>
          <w:rFonts w:ascii="Times New Roman" w:hAnsi="Times New Roman"/>
          <w:b/>
          <w:color w:val="333333"/>
          <w:sz w:val="23"/>
        </w:rPr>
        <w:t>2.3 Synthetic Document Generation &amp; Comparative Benchmark Analysis</w:t>
      </w:r>
    </w:p>
    <w:p>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pPr>
        <w:keepNext/>
        <w:spacing w:before="160" w:after="8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Publication 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Commercial 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Scanned 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Noise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General 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160" w:after="8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160" w:after="8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160" w:after="8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3, 4, 5, and 6.</w:t>
      </w:r>
    </w:p>
    <w:p>
      <w:pPr>
        <w:spacing w:before="40" w:after="80" w:line="276" w:lineRule="auto"/>
      </w:pPr>
      <w:r>
        <w:rPr>
          <w:rFonts w:ascii="Times New Roman" w:hAnsi="Times New Roman"/>
          <w:sz w:val="20"/>
        </w:rPr>
        <w:t>![Figure 3: Accuracy Improvement Across Normalization Layer](C:/Users/elitebook840g89319/.gemini/antigravity-ide/brain/bb9b3069-0e60-4209-b2b8-d0321ac491db/figure_normalization_ablation.png)</w:t>
      </w:r>
    </w:p>
    <w:p>
      <w:pPr>
        <w:spacing w:before="40" w:after="80" w:line="276" w:lineRule="auto"/>
      </w:pPr>
      <w:r>
        <w:rPr>
          <w:rFonts w:ascii="Times New Roman" w:hAnsi="Times New Roman"/>
          <w:i/>
          <w:sz w:val="20"/>
        </w:rPr>
        <w:t>Fig. 3: Accuracy metric comparison (Precision, Recall, F1) with and without semantic canonical normalization.</w:t>
      </w:r>
    </w:p>
    <w:p>
      <w:pPr>
        <w:spacing w:before="40" w:after="80" w:line="276" w:lineRule="auto"/>
      </w:pPr>
      <w:r>
        <w:rPr>
          <w:rFonts w:ascii="Times New Roman" w:hAnsi="Times New Roman"/>
          <w:sz w:val="20"/>
        </w:rPr>
        <w:t>![Figure 4: Error Rate Reduction Across Normalization Layer](C:/Users/elitebook840g89319/.gemini/antigravity-ide/brain/bb9b3069-0e60-4209-b2b8-d0321ac491db/figure_metric_improvement.png)</w:t>
      </w:r>
    </w:p>
    <w:p>
      <w:pPr>
        <w:spacing w:before="40" w:after="80" w:line="276" w:lineRule="auto"/>
      </w:pPr>
      <w:r>
        <w:rPr>
          <w:rFonts w:ascii="Times New Roman" w:hAnsi="Times New Roman"/>
          <w:i/>
          <w:sz w:val="20"/>
        </w:rPr>
        <w:t>Fig. 4: Character Error Rate (CER) and Word Error Rate (WER) reduction resulting from canonical normalization.</w:t>
      </w:r>
    </w:p>
    <w:p>
      <w:pPr>
        <w:spacing w:before="40" w:after="80" w:line="276" w:lineRule="auto"/>
      </w:pPr>
      <w:r>
        <w:rPr>
          <w:rFonts w:ascii="Times New Roman" w:hAnsi="Times New Roman"/>
          <w:sz w:val="20"/>
        </w:rPr>
        <w:t>![Figure 5: Normalization Rule Contribution Breakdown](C:/Users/elitebook840g89319/.gemini/antigravity-ide/brain/bb9b3069-0e60-4209-b2b8-d0321ac491db/figure_rule_contribution.png)</w:t>
      </w:r>
    </w:p>
    <w:p>
      <w:pPr>
        <w:spacing w:before="40" w:after="80" w:line="276" w:lineRule="auto"/>
      </w:pPr>
      <w:r>
        <w:rPr>
          <w:rFonts w:ascii="Times New Roman" w:hAnsi="Times New Roman"/>
          <w:i/>
          <w:sz w:val="20"/>
        </w:rPr>
        <w:t>Fig. 5: Total false-negative field mismatches resolved by each individual domain normalizer rule.</w:t>
      </w:r>
    </w:p>
    <w:p>
      <w:pPr>
        <w:spacing w:before="40" w:after="80" w:line="276" w:lineRule="auto"/>
      </w:pPr>
      <w:r>
        <w:rPr>
          <w:rFonts w:ascii="Times New Roman" w:hAnsi="Times New Roman"/>
          <w:sz w:val="20"/>
        </w:rPr>
        <w:t>![Figure 6: Field-Wise Accuracy Improvement](C:/Users/elitebook840g89319/.gemini/antigravity-ide/brain/bb9b3069-0e60-4209-b2b8-d0321ac491db/figure_field_improvement.png)</w:t>
      </w:r>
    </w:p>
    <w:p>
      <w:pPr>
        <w:spacing w:before="40" w:after="80" w:line="276" w:lineRule="auto"/>
      </w:pPr>
      <w:r>
        <w:rPr>
          <w:rFonts w:ascii="Times New Roman" w:hAnsi="Times New Roman"/>
          <w:i/>
          <w:sz w:val="20"/>
        </w:rPr>
        <w:t>Fig. 6: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160" w:after="8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160" w:after="8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160" w:after="8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