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547EAF43">
      <w:pPr>
        <w:spacing w:before="40" w:after="80" w:line="276" w:lineRule="auto"/>
      </w:pPr>
      <w:r>
        <w:t xml:space="preserve">Kushagra Singh Bhadauria¹, Aashish Rajput¹, and Avdesh Kumar Sah¹
¹Department of Computer Science and Engineering, Sharda University, Greater Noida, Uttar Pradesh, India
Emails: 2023361009.kushagra@ug.sharda.ac.in, 2023329421.aashish@ug.sharda.ac.in, 2023265132.avdesh@ug.sharda.ac.in</w:t>
      </w:r>
    </w:p>
    <w:p w14:paraId="15AA14C8">
      <w:pPr>
        <w:keepNext/>
        <w:spacing w:before="280" w:after="120"/>
      </w:pPr>
      <w:r>
        <w:rPr>
          <w:rFonts w:ascii="Times New Roman" w:hAnsi="Times New Roman"/>
          <w:b/>
          <w:color w:val="003366"/>
          <w:sz w:val="26"/>
        </w:rPr>
        <w:t>Abstract</w:t>
      </w:r>
    </w:p>
    <w:p w14:paraId="60F0607A">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pPr>
      <ns3:oMath>
        <ns3:r>
          <ns3:rPr/>
          <w:rPr>
            <w:rFonts w:ascii="Cambria Math" w:hAnsi="Cambria Math"/>
          </w:rPr>
          <ns3:t>3</ns3:t>
        </ns3:r>
        <ns3:r>
          <ns3:rPr/>
          <w:rPr>
            <w:rFonts w:ascii="Times New Roman" w:hAnsi="Times New Roman"/>
          </w:rPr>
          <ns3:t>categories</ns3:t>
        </ns3:r>
        <ns3:r>
          <ns3:rPr/>
          <w:rPr>
            <w:rFonts w:ascii="Cambria Math" w:hAnsi="Cambria Math"/>
          </w:rPr>
          <ns3:t>×30</ns3:t>
        </ns3:r>
        <ns3:r>
          <ns3:rPr/>
          <w:rPr>
            <w:rFonts w:ascii="Times New Roman" w:hAnsi="Times New Roman"/>
          </w:rPr>
          <ns3:t>instances</ns3:t>
        </ns3:r>
        <ns3:r>
          <ns3:rPr/>
          <w:rPr>
            <w:rFonts w:ascii="Cambria Math" w:hAnsi="Cambria Math"/>
          </w:rPr>
          <ns3:t>×4</ns3:t>
        </ns3:r>
        <ns3:r>
          <ns3:rPr/>
          <w:rPr>
            <w:rFonts w:ascii="Times New Roman" w:hAnsi="Times New Roman"/>
          </w:rPr>
          <ns3:t>degradation profiles</ns3:t>
        </ns3:r>
      </ns3:oMath>
      <w:r/>
      <w:r>
        <w:rPr/>
      </w:r>
      <w:r>
        <w:rPr/>
      </w:r>
      <w:r>
        <w:rP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spacing w:before="280" w:after="120"/>
      </w:pPr>
      <w:r>
        <w:rPr>
          <w:rFonts w:ascii="Times New Roman" w:hAnsi="Times New Roman"/>
          <w:b/>
          <w:color w:val="003366"/>
          <w:sz w:val="26"/>
        </w:rPr>
        <w:t>1. Introduction</w:t>
      </w:r>
    </w:p>
    <w:p w14:paraId="1472CF58">
      <w:pPr>
        <w:keepNext/>
        <w:spacing w:before="200" w:after="80"/>
      </w:pPr>
      <w:r>
        <w:rPr>
          <w:rFonts w:ascii="Times New Roman" w:hAnsi="Times New Roman"/>
          <w:b/>
          <w:color w:val="333333"/>
          <w:sz w:val="23"/>
        </w:rPr>
        <w:t>1.1 Background &amp; Motivation</w:t>
      </w:r>
    </w:p>
    <w:p w14:paraId="68481526">
      <w:pPr>
        <w:spacing w:before="40" w:after="80" w:line="276" w:lineRule="auto"/>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pPr>
      <w:r>
        <w:rPr>
          <w:rFonts w:ascii="Times New Roman" w:hAnsi="Times New Roman"/>
          <w:b/>
          <w:color w:val="333333"/>
          <w:sz w:val="23"/>
        </w:rPr>
        <w:t>1.2 Research Objectives</w:t>
      </w:r>
    </w:p>
    <w:p w14:paraId="613B7587">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pPr>
      <w:r>
        <w:rPr>
          <w:rFonts w:ascii="Times New Roman" w:hAnsi="Times New Roman"/>
          <w:b/>
          <w:color w:val="333333"/>
          <w:sz w:val="23"/>
        </w:rPr>
        <w:t>1.3 Main Research Contributions</w:t>
      </w:r>
    </w:p>
    <w:p w14:paraId="015EEB7A">
      <w:pPr>
        <w:spacing w:before="40" w:after="80" w:line="276" w:lineRule="auto"/>
      </w:pPr>
      <w:r>
        <w:rPr>
          <w:rFonts w:ascii="Times New Roman" w:hAnsi="Times New Roman"/>
          <w:sz w:val="20"/>
        </w:rPr>
        <w:t>The primary contributions of this work are summarized as follows:</w:t>
      </w:r>
    </w:p>
    <w:p w14:paraId="1C461AB5">
      <w:pPr>
        <w:spacing w:before="20" w:after="40"/>
        <w:ind w:left="36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pPr>
      <w:r>
        <w:rPr>
          <w:rFonts w:ascii="Times New Roman" w:hAnsi="Times New Roman"/>
          <w:b/>
          <w:color w:val="333333"/>
          <w:sz w:val="23"/>
        </w:rPr>
        <w:t>1.4 Scientific Novelty Statement</w:t>
      </w:r>
    </w:p>
    <w:p w14:paraId="3E9A9469">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pPr>
      <w:r>
        <w:rPr>
          <w:rFonts w:ascii="Times New Roman" w:hAnsi="Times New Roman"/>
          <w:b/>
          <w:color w:val="333333"/>
          <w:sz w:val="23"/>
        </w:rPr>
        <w:t>1.5 Paper Organization</w:t>
      </w:r>
    </w:p>
    <w:p w14:paraId="08A2492D">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pPr>
      <w:r>
        <w:rPr>
          <w:rFonts w:ascii="Times New Roman" w:hAnsi="Times New Roman"/>
          <w:b/>
          <w:color w:val="003366"/>
          <w:sz w:val="26"/>
        </w:rPr>
        <w:t>2. Related Work</w:t>
      </w:r>
    </w:p>
    <w:p w14:paraId="65EAE46E">
      <w:pPr>
        <w:keepNext/>
        <w:spacing w:before="200" w:after="80"/>
      </w:pPr>
      <w:r>
        <w:rPr>
          <w:rFonts w:ascii="Times New Roman" w:hAnsi="Times New Roman"/>
          <w:b/>
          <w:color w:val="333333"/>
          <w:sz w:val="23"/>
        </w:rPr>
        <w:t>2.1 Foundational Document AI &amp; Classical Benchmarks (Historical Context)</w:t>
      </w:r>
    </w:p>
    <w:p w14:paraId="189F7A1A">
      <w:pPr>
        <w:spacing w:before="40" w:after="80" w:line="276" w:lineRule="auto"/>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pPr>
      <w:r>
        <w:rPr>
          <w:rFonts w:ascii="Times New Roman" w:hAnsi="Times New Roman"/>
          <w:b/>
          <w:color w:val="333333"/>
          <w:sz w:val="23"/>
        </w:rPr>
        <w:t>2.2 2025–2026 Vision-Language Models &amp; Multimodal Document Understanding</w:t>
      </w:r>
    </w:p>
    <w:p w14:paraId="3F983351">
      <w:pPr>
        <w:spacing w:before="40" w:after="80" w:line="276" w:lineRule="auto"/>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pPr>
      <w:r>
        <w:rPr>
          <w:rFonts w:ascii="Times New Roman" w:hAnsi="Times New Roman"/>
          <w:b/>
          <w:color w:val="333333"/>
          <w:sz w:val="23"/>
        </w:rPr>
        <w:t>2.3 Synthetic Document Generation Paradigms (2024–2026)</w:t>
      </w:r>
    </w:p>
    <w:p w14:paraId="6C515E3E">
      <w:pPr>
        <w:spacing w:before="40" w:after="80" w:line="276" w:lineRule="auto"/>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pPr>
      <w:r>
        <w:rPr>
          <w:rFonts w:ascii="Times New Roman" w:hAnsi="Times New Roman"/>
          <w:b/>
          <w:color w:val="333333"/>
          <w:sz w:val="23"/>
        </w:rPr>
        <w:t>2.4 Benchmark Design Methodologies &amp; Optical Degradation Matrix</w:t>
      </w:r>
    </w:p>
    <w:p w14:paraId="16C8BB60">
      <w:pPr>
        <w:spacing w:before="40" w:after="80" w:line="276" w:lineRule="auto"/>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pPr>
      <w:r>
        <w:rPr>
          <w:rFonts w:ascii="Times New Roman" w:hAnsi="Times New Roman"/>
          <w:b/>
          <w:color w:val="333333"/>
          <w:sz w:val="23"/>
        </w:rPr>
        <w:t>2.5 Academic Credential &amp; Sensitive Administrative Document Analysis</w:t>
      </w:r>
    </w:p>
    <w:p w14:paraId="2CC2A5D4">
      <w:pPr>
        <w:spacing w:before="40" w:after="80" w:line="276" w:lineRule="auto"/>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pPr>
      <w:r>
        <w:rPr>
          <w:rFonts w:ascii="Times New Roman" w:hAnsi="Times New Roman"/>
          <w:b/>
          <w:color w:val="333333"/>
          <w:sz w:val="23"/>
        </w:rPr>
        <w:t>2.6 Summary of Research Gap &amp; Methodological Motivation</w:t>
      </w:r>
    </w:p>
    <w:p w14:paraId="6C1839F2">
      <w:pPr>
        <w:spacing w:before="40" w:after="80" w:line="276" w:lineRule="auto"/>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pPr>
      <w:r>
        <w:rPr>
          <w:rFonts w:ascii="Times New Roman" w:hAnsi="Times New Roman"/>
          <w:sz w:val="20"/>
        </w:rPr>
        <w:t>These gaps directly motivate the integrated benchmarking methodology established in this work [26], [31].</w:t>
      </w:r>
    </w:p>
    <w:p w14:paraId="5DED24D5">
      <w:pPr>
        <w:keepNext/>
        <w:spacing w:before="280" w:after="120"/>
      </w:pPr>
      <w:r>
        <w:rPr>
          <w:rFonts w:ascii="Times New Roman" w:hAnsi="Times New Roman"/>
          <w:b/>
          <w:color w:val="003366"/>
          <w:sz w:val="26"/>
        </w:rPr>
        <w:t>3. Proposed Methodology</w:t>
      </w:r>
    </w:p>
    <w:p w14:paraId="71989CA7">
      <w:pPr>
        <w:keepNext/>
        <w:spacing w:before="200" w:after="80"/>
      </w:pPr>
      <w:r>
        <w:rPr>
          <w:rFonts w:ascii="Times New Roman" w:hAnsi="Times New Roman"/>
          <w:b/>
          <w:color w:val="333333"/>
          <w:sz w:val="23"/>
        </w:rPr>
        <w:t>3.1 Overall Framework Architecture</w:t>
      </w:r>
    </w:p>
    <w:p w14:paraId="3D8AAFB3">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pPr>
      <w:r>
        <w:rPr>
          <w:rFonts w:ascii="Times New Roman" w:hAnsi="Times New Roman"/>
          <w:b/>
          <w:color w:val="333333"/>
          <w:sz w:val="23"/>
        </w:rPr>
        <w:t>3.2 ADBG Synthetic Benchmark Generation</w:t>
      </w:r>
    </w:p>
    <w:p w14:paraId="383AC2B0">
      <w:pPr>
        <w:keepNext/>
        <w:spacing w:before="160" w:after="40"/>
      </w:pPr>
      <w:r>
        <w:rPr>
          <w:rFonts w:ascii="Times New Roman" w:hAnsi="Times New Roman"/>
          <w:b/>
          <w:i/>
          <w:sz w:val="21"/>
        </w:rPr>
        <w:t>3.2.1 Seed-Deterministic Profile Generation</w:t>
      </w:r>
    </w:p>
    <w:p w14:paraId="3DE06DD2">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pPr>
      <w:r>
        <w:rPr>
          <w:rFonts w:ascii="Times New Roman" w:hAnsi="Times New Roman"/>
          <w:b/>
          <w:i/>
          <w:sz w:val="21"/>
        </w:rPr>
        <w:t>3.2.2 Template Compilation Engine</w:t>
      </w:r>
    </w:p>
    <w:p w14:paraId="66057628">
      <w:pPr>
        <w:spacing w:before="40" w:after="80" w:line="276" w:lineRule="auto"/>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pPr>
      <w:r>
        <w:rPr>
          <w:rFonts w:ascii="Times New Roman" w:hAnsi="Times New Roman"/>
          <w:b/>
          <w:i/>
          <w:sz w:val="21"/>
        </w:rPr>
        <w:t>3.2.3 Optical Degradation Pipeline</w:t>
      </w:r>
    </w:p>
    <w:p w14:paraId="124A208C">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pPr>
      <w:r>
        <w:rPr>
          <w:rFonts w:ascii="Times New Roman" w:hAnsi="Times New Roman"/>
          <w:sz w:val="20"/>
        </w:rPr>
        <w:t>Four standard quality profiles are instantiated in AU_DIC_Benchmark_v1.0:</w:t>
      </w:r>
    </w:p>
    <w:p w14:paraId="3ECCCEA6">
      <w:pPr>
        <w:pStyle w:val="23"/>
        <w:spacing w:before="20" w:after="40"/>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pPr>
      <w:r>
        <w:rPr>
          <w:rFonts w:ascii="Times New Roman" w:hAnsi="Times New Roman"/>
          <w:b/>
          <w:color w:val="333333"/>
          <w:sz w:val="23"/>
        </w:rPr>
        <w:t>3.3 AU DIC Evaluation Framework Subsystem</w:t>
      </w:r>
    </w:p>
    <w:p w14:paraId="18E10F61">
      <w:pPr>
        <w:spacing w:before="40" w:after="80" w:line="276" w:lineRule="auto"/>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pPr>
      <w:r>
        <w:rPr>
          <w:rFonts w:ascii="Times New Roman" w:hAnsi="Times New Roman"/>
          <w:b/>
          <w:color w:val="333333"/>
          <w:sz w:val="23"/>
        </w:rPr>
        <w:t>3.4 Six-Stage Semantic Canonical Normalization Layer</w:t>
      </w:r>
    </w:p>
    <w:p w14:paraId="7A562799">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pPr>
      <w:r>
        <w:rPr>
          <w:rFonts w:ascii="Times New Roman" w:hAnsi="Times New Roman"/>
          <w:b/>
          <w:color w:val="333333"/>
          <w:sz w:val="23"/>
        </w:rPr>
        <w:t>3.5 Nine-Class Structured OCR Error Taxonomy</w:t>
      </w:r>
    </w:p>
    <w:p w14:paraId="4ABA0F56">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pPr>
      <w:r>
        <w:rPr>
          <w:rFonts w:ascii="Times New Roman" w:hAnsi="Times New Roman"/>
          <w:b/>
          <w:i/>
          <w:sz w:val="21"/>
        </w:rPr>
        <w:t>3.5.1 Scientific Definition and Justification of NORMALIZATION_ERROR</w:t>
      </w:r>
    </w:p>
    <w:p w14:paraId="73516041">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pPr>
      <w:r>
        <w:rPr>
          <w:rFonts w:ascii="Times New Roman" w:hAnsi="Times New Roman"/>
          <w:b/>
          <w:i/>
          <w:sz w:val="21"/>
        </w:rPr>
        <w:t>3.5.2 Canonical Comparison Workflow &amp; Non-Overlapping Taxonomy Boundaries</w:t>
      </w:r>
    </w:p>
    <w:p w14:paraId="0B0D7478">
      <w:pPr>
        <w:spacing w:before="40" w:after="80" w:line="276" w:lineRule="auto"/>
      </w:pPr>
      <w:r>
        <w:rPr>
          <w:rFonts w:ascii="Times New Roman" w:hAnsi="Times New Roman"/>
          <w:sz w:val="20"/>
        </w:rPr>
        <w:t>To ensure taxonomic independence, each error class maintains a strict, non-overlapping responsibility [28], [37]:</w:t>
      </w:r>
    </w:p>
    <w:p w14:paraId="3F9FC34A">
      <w:pPr>
        <w:pStyle w:val="23"/>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pPr>
      <w:r>
        <w:rPr>
          <w:rFonts w:ascii="Times New Roman" w:hAnsi="Times New Roman"/>
          <w:b/>
          <w:color w:val="003366"/>
          <w:sz w:val="26"/>
        </w:rPr>
        <w:t>4. Experimental Setup</w:t>
      </w:r>
    </w:p>
    <w:p w14:paraId="558E0DC4">
      <w:pPr>
        <w:keepNext/>
        <w:spacing w:before="200" w:after="80"/>
      </w:pPr>
      <w:r>
        <w:rPr>
          <w:rFonts w:ascii="Times New Roman" w:hAnsi="Times New Roman"/>
          <w:b/>
          <w:color w:val="333333"/>
          <w:sz w:val="23"/>
        </w:rPr>
        <w:t>4.1 Dataset Composition (`AU_DIC_Benchmark_v1.0`)</w:t>
      </w:r>
    </w:p>
    <w:p w14:paraId="2A49B2C2">
      <w:pPr>
        <w:spacing w:before="40" w:after="80" w:line="276" w:lineRule="auto"/>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pPr>
      <w:r>
        <w:rPr>
          <w:rFonts w:ascii="Times New Roman" w:hAnsi="Times New Roman"/>
          <w:b/>
          <w:color w:val="333333"/>
          <w:sz w:val="23"/>
        </w:rPr>
        <w:t>4.2 Evaluation Protocol</w:t>
      </w:r>
    </w:p>
    <w:p w14:paraId="1CE7DA95">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pPr>
      <w:r>
        <w:rPr>
          <w:rFonts w:ascii="Times New Roman" w:hAnsi="Times New Roman"/>
          <w:b/>
          <w:color w:val="333333"/>
          <w:sz w:val="23"/>
        </w:rPr>
        <w:t>4.3 Evaluation Metrics</w:t>
      </w:r>
    </w:p>
    <w:p w14:paraId="6B1C18D9">
      <w:pPr>
        <w:spacing w:before="40" w:after="80" w:line="276" w:lineRule="auto"/>
      </w:pPr>
      <w:r>
        <w:rPr>
          <w:rFonts w:ascii="Times New Roman" w:hAnsi="Times New Roman"/>
          <w:sz w:val="20"/>
        </w:rPr>
        <w:t>The computed quantitative metrics are defined as follows:</w:t>
      </w:r>
    </w:p>
    <w:p w14:paraId="71941F13">
      <w:pPr>
        <w:spacing w:before="20" w:after="40"/>
        <w:ind w:left="360"/>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pPr>
      <w:r>
        <w:rPr>
          <w:rFonts w:ascii="Times New Roman" w:hAnsi="Times New Roman"/>
          <w:b/>
          <w:color w:val="003366"/>
          <w:sz w:val="26"/>
        </w:rPr>
        <w:t>5. Results &amp; Empirical Validation</w:t>
      </w:r>
    </w:p>
    <w:p w14:paraId="55088229">
      <w:pPr>
        <w:keepNext/>
        <w:spacing w:before="200" w:after="80"/>
      </w:pPr>
      <w:r>
        <w:rPr>
          <w:rFonts w:ascii="Times New Roman" w:hAnsi="Times New Roman"/>
          <w:b/>
          <w:color w:val="333333"/>
          <w:sz w:val="23"/>
        </w:rPr>
        <w:t>5.1 Distinction Between Framework Validation, Benchmark Validation, and Model Performance</w:t>
      </w:r>
    </w:p>
    <w:p w14:paraId="6A01D444">
      <w:pPr>
        <w:spacing w:before="40" w:after="80" w:line="276" w:lineRule="auto"/>
      </w:pPr>
      <w:r>
        <w:rPr>
          <w:rFonts w:ascii="Times New Roman" w:hAnsi="Times New Roman"/>
          <w:sz w:val="20"/>
        </w:rPr>
        <w:t>To ensure complete scientific integrity, we explicitly distinguish between three evaluation dimensions:</w:t>
      </w:r>
    </w:p>
    <w:p w14:paraId="4AF1F604">
      <w:pPr>
        <w:spacing w:before="20" w:after="40"/>
        <w:ind w:left="36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pPr>
      <w:r>
        <w:rPr>
          <w:rFonts w:ascii="Times New Roman" w:hAnsi="Times New Roman"/>
          <w:b/>
          <w:color w:val="333333"/>
          <w:sz w:val="23"/>
        </w:rPr>
        <w:t>5.3 System Throughput &amp; Execution Latency</w:t>
      </w:r>
    </w:p>
    <w:p w14:paraId="7A2085D3">
      <w:pPr>
        <w:pStyle w:val="23"/>
        <w:spacing w:before="20" w:after="40"/>
      </w:pPr>
      <w:r>
        <w:rPr>
          <w:rFonts w:ascii="Times New Roman" w:hAnsi="Times New Roman"/>
          <w:b/>
          <w:sz w:val="20"/>
        </w:rPr>
        <w:t>Total Samples Evaluated</w:t>
      </w:r>
      <w:r>
        <w:rPr>
          <w:rFonts w:ascii="Times New Roman" w:hAnsi="Times New Roman"/>
          <w:sz w:val="20"/>
        </w:rPr>
        <w:t>: 360</w:t>
      </w:r>
    </w:p>
    <w:p w14:paraId="67806D57">
      <w:pPr>
        <w:pStyle w:val="23"/>
        <w:spacing w:before="20" w:after="40"/>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pPr>
      <w:r>
        <w:rPr>
          <w:rFonts w:ascii="Times New Roman" w:hAnsi="Times New Roman"/>
          <w:b/>
          <w:color w:val="333333"/>
          <w:sz w:val="23"/>
        </w:rPr>
        <w:t>5.4 Empirical Live Neural Model Evaluation Results</w:t>
      </w:r>
    </w:p>
    <w:p w14:paraId="383DFBB1">
      <w:pPr>
        <w:spacing w:before="40" w:after="80" w:line="276" w:lineRule="auto"/>
      </w:pPr>
      <w:r>
        <w:rPr>
          <w:rFonts w:ascii="Times New Roman" w:hAnsi="Times New Roman"/>
          <w:sz w:val="20"/>
        </w:rPr>
      </w: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minicpm-v:latest, requestId).</w:t>
      </w:r>
    </w:p>
    <w:p w14:paraId="109404D0">
      <w:pPr>
        <w:keepNext/>
        <w:spacing w:before="160" w:after="40"/>
      </w:pPr>
      <w:r>
        <w:t xml:space="preserve">5.4.1 End-to-End Evaluation Pipeline (Option A)</w:t>
      </w:r>
    </w:p>
    <w:p w14:paraId="7661D404">
      <w:pPr>
        <w:spacing w:before="40" w:after="80" w:line="276" w:lineRule="auto"/>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pPr>
      <w:r/>
      <w:r>
        <w:rPr/>
      </w:r>
      <w:r>
        <w:rPr/>
      </w:r>
      <w:r>
        <w:rP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 xml:space="preserve">Table IV details live model extraction and document category classification performance evaluated on Groq Cloud Llama 3.1 8B Instant.</w:t>
      </w:r>
    </w:p>
    <w:p w14:paraId="29D205C5">
      <w:pPr>
        <w:keepNext/>
        <w:spacing w:before="80" w:after="160"/>
        <w:jc w:val="center"/>
      </w:pPr>
      <w:r>
        <w:t xml:space="preserve">Table IV: Live Model Extraction &amp; Classification Performance (Groq Llama 3.1 8B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r>
              <w:rPr/>
              <w:t>75.23%</w:t>
            </w:r>
          </w:p>
        </w:tc>
        <w:tc>
          <w:tcPr>
            <w:tcW w:w="1040" w:type="dxa"/>
            <w:shd w:val="clear" w:color="auto" w:fill="FFFFFF"/>
            <w:tcMar>
              <w:top w:w="100" w:type="dxa"/>
              <w:left w:w="130" w:type="dxa"/>
              <w:bottom w:w="100" w:type="dxa"/>
              <w:right w:w="130" w:type="dxa"/>
            </w:tcMar>
          </w:tcPr>
          <w:p w14:paraId="3DD33A98">
            <w:pPr>
              <w:spacing w:before="40" w:after="40"/>
              <w:jc w:val="center"/>
            </w:pPr>
            <w:r/>
            <w:r>
              <w:rPr/>
              <w:t>75.23%</w:t>
            </w:r>
          </w:p>
        </w:tc>
        <w:tc>
          <w:tcPr>
            <w:tcW w:w="1040" w:type="dxa"/>
            <w:shd w:val="clear" w:color="auto" w:fill="FFFFFF"/>
            <w:tcMar>
              <w:top w:w="100" w:type="dxa"/>
              <w:left w:w="130" w:type="dxa"/>
              <w:bottom w:w="100" w:type="dxa"/>
              <w:right w:w="130" w:type="dxa"/>
            </w:tcMar>
          </w:tcPr>
          <w:p w14:paraId="3FCD7092">
            <w:pPr>
              <w:spacing w:before="40" w:after="40"/>
              <w:jc w:val="center"/>
            </w:pPr>
            <w:r/>
            <w:r>
              <w:rPr/>
              <w:t>75.23%</w:t>
            </w:r>
          </w:p>
        </w:tc>
        <w:tc>
          <w:tcPr>
            <w:tcW w:w="1040" w:type="dxa"/>
            <w:shd w:val="clear" w:color="auto" w:fill="FFFFFF"/>
            <w:tcMar>
              <w:top w:w="100" w:type="dxa"/>
              <w:left w:w="130" w:type="dxa"/>
              <w:bottom w:w="100" w:type="dxa"/>
              <w:right w:w="130" w:type="dxa"/>
            </w:tcMar>
          </w:tcPr>
          <w:p w14:paraId="4F8CBF4C">
            <w:pPr>
              <w:spacing w:before="40" w:after="40"/>
              <w:jc w:val="center"/>
            </w:pPr>
            <w:r/>
            <w:r>
              <w:rP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pPr>
      <w:r>
        <w:rPr>
          <w:rFonts w:ascii="Times New Roman" w:hAnsi="Times New Roman"/>
          <w:b/>
          <w:i/>
          <w:sz w:val="21"/>
        </w:rPr>
        <w:t>Empirical Analysis of Discovered Sub-Task Metrics:</w:t>
      </w:r>
    </w:p>
    <w:p w14:paraId="7C0DEFD2">
      <w:pPr>
        <w:spacing w:before="20" w:after="40"/>
        <w:ind w:left="360"/>
      </w:pPr>
      <w:r/>
      <w:r>
        <w:rPr/>
      </w:r>
      <w:r>
        <w:rPr/>
      </w:r>
      <w:r>
        <w:rPr/>
        <w:t>1. Key-Value Entity Extraction Task (75.23% Field F1, 8.21% CER): Under zero-shot key-value entity field extraction, Llama 3.1 8B achieved 75.23% field extraction precision, recall, and F1 score across 360 specimens (8.21% document-level CER, 84.12% WER, 11.35% field-level CER).</w:t>
      </w:r>
    </w:p>
    <w:p w14:paraId="059DEFCF">
      <w:pPr>
        <w:spacing w:before="20" w:after="40"/>
        <w:ind w:left="36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pPr>
      <w:r>
        <w:rPr>
          <w:rFonts w:ascii="Times New Roman" w:hAnsi="Times New Roman"/>
          <w:b/>
          <w:color w:val="333333"/>
          <w:sz w:val="23"/>
        </w:rPr>
        <w:t>5.5 Empirical Ablation Study of Semantic Canonical Normalization</w:t>
      </w:r>
    </w:p>
    <w:p w14:paraId="492AA939">
      <w:pPr>
        <w:spacing w:before="40" w:after="80" w:line="276" w:lineRule="auto"/>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r>
              <w:rPr/>
              <w:t>74.60%</w:t>
            </w:r>
          </w:p>
        </w:tc>
        <w:tc>
          <w:tcPr>
            <w:tcW w:w="1560" w:type="dxa"/>
            <w:shd w:val="clear" w:color="auto" w:fill="FFFFFF"/>
            <w:tcMar>
              <w:top w:w="100" w:type="dxa"/>
              <w:left w:w="130" w:type="dxa"/>
              <w:bottom w:w="100" w:type="dxa"/>
              <w:right w:w="130" w:type="dxa"/>
            </w:tcMar>
          </w:tcPr>
          <w:p w14:paraId="1F1F416A">
            <w:pPr>
              <w:spacing w:before="40" w:after="40"/>
              <w:jc w:val="center"/>
            </w:pPr>
            <w:r/>
            <w:r>
              <w:rPr/>
              <w:t>74.60%</w:t>
            </w:r>
          </w:p>
        </w:tc>
        <w:tc>
          <w:tcPr>
            <w:tcW w:w="1560" w:type="dxa"/>
            <w:shd w:val="clear" w:color="auto" w:fill="FFFFFF"/>
            <w:tcMar>
              <w:top w:w="100" w:type="dxa"/>
              <w:left w:w="130" w:type="dxa"/>
              <w:bottom w:w="100" w:type="dxa"/>
              <w:right w:w="130" w:type="dxa"/>
            </w:tcMar>
          </w:tcPr>
          <w:p w14:paraId="79F7D005">
            <w:pPr>
              <w:spacing w:before="40" w:after="40"/>
              <w:jc w:val="center"/>
            </w:pPr>
            <w:r/>
            <w:r>
              <w:rPr/>
              <w:t>75.23%</w:t>
            </w:r>
          </w:p>
        </w:tc>
        <w:tc>
          <w:tcPr>
            <w:tcW w:w="1560" w:type="dxa"/>
            <w:shd w:val="clear" w:color="auto" w:fill="FFFFFF"/>
            <w:tcMar>
              <w:top w:w="100" w:type="dxa"/>
              <w:left w:w="130" w:type="dxa"/>
              <w:bottom w:w="100" w:type="dxa"/>
              <w:right w:w="130" w:type="dxa"/>
            </w:tcMar>
          </w:tcPr>
          <w:p w14:paraId="2A0DDE50">
            <w:pPr>
              <w:spacing w:before="40" w:after="40"/>
              <w:jc w:val="center"/>
            </w:pPr>
            <w:r/>
            <w:r>
              <w:rP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r>
              <w:rPr/>
              <w:t>74.60%</w:t>
            </w:r>
          </w:p>
        </w:tc>
        <w:tc>
          <w:tcPr>
            <w:tcW w:w="1560" w:type="dxa"/>
            <w:shd w:val="clear" w:color="auto" w:fill="F8F9FA"/>
            <w:tcMar>
              <w:top w:w="100" w:type="dxa"/>
              <w:left w:w="130" w:type="dxa"/>
              <w:bottom w:w="100" w:type="dxa"/>
              <w:right w:w="130" w:type="dxa"/>
            </w:tcMar>
          </w:tcPr>
          <w:p w14:paraId="4F51C18F">
            <w:pPr>
              <w:spacing w:before="40" w:after="40"/>
              <w:jc w:val="center"/>
            </w:pPr>
            <w:r/>
            <w:r>
              <w:rPr/>
              <w:t>82.18%</w:t>
            </w:r>
          </w:p>
        </w:tc>
        <w:tc>
          <w:tcPr>
            <w:tcW w:w="1560" w:type="dxa"/>
            <w:shd w:val="clear" w:color="auto" w:fill="F8F9FA"/>
            <w:tcMar>
              <w:top w:w="100" w:type="dxa"/>
              <w:left w:w="130" w:type="dxa"/>
              <w:bottom w:w="100" w:type="dxa"/>
              <w:right w:w="130" w:type="dxa"/>
            </w:tcMar>
          </w:tcPr>
          <w:p w14:paraId="0C52DCBC">
            <w:pPr>
              <w:spacing w:before="40" w:after="40"/>
              <w:jc w:val="center"/>
            </w:pPr>
            <w:r/>
            <w:r>
              <w:rPr/>
              <w:t>75.23%</w:t>
            </w:r>
          </w:p>
        </w:tc>
        <w:tc>
          <w:tcPr>
            <w:tcW w:w="1560" w:type="dxa"/>
            <w:shd w:val="clear" w:color="auto" w:fill="F8F9FA"/>
            <w:tcMar>
              <w:top w:w="100" w:type="dxa"/>
              <w:left w:w="130" w:type="dxa"/>
              <w:bottom w:w="100" w:type="dxa"/>
              <w:right w:w="130" w:type="dxa"/>
            </w:tcMar>
          </w:tcPr>
          <w:p w14:paraId="02385BA7">
            <w:pPr>
              <w:spacing w:before="40" w:after="40"/>
              <w:jc w:val="center"/>
            </w:pPr>
            <w:r/>
            <w:r>
              <w:rP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r>
              <w:rP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pPr>
      <w:r>
        <w:rPr>
          <w:rFonts w:ascii="Times New Roman" w:hAnsi="Times New Roman"/>
          <w:b/>
          <w:i/>
          <w:sz w:val="21"/>
        </w:rPr>
        <w:t>5.5.2 Rule-Wise Contribution &amp; Mismatch Correction Breakdown</w:t>
      </w:r>
    </w:p>
    <w:p w14:paraId="64E8500E">
      <w:pPr>
        <w:spacing w:before="40" w:after="80" w:line="276" w:lineRule="auto"/>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pPr>
      <w:r>
        <w:rPr>
          <w:rFonts w:ascii="Times New Roman" w:hAnsi="Times New Roman"/>
          <w:b/>
          <w:i/>
          <w:sz w:val="21"/>
        </w:rPr>
        <w:t>5.5.3 Publication Figures</w:t>
      </w:r>
    </w:p>
    <w:p w14:paraId="16DE2811">
      <w:pPr>
        <w:spacing w:before="40" w:after="80" w:line="276" w:lineRule="auto"/>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pPr>
      <w:r>
        <w:rPr>
          <w:rFonts w:ascii="Times New Roman" w:hAnsi="Times New Roman"/>
          <w:b/>
          <w:i/>
          <w:sz w:val="21"/>
        </w:rPr>
        <w:t>5.5.4 Critical Discussion &amp; Scientific Validation</w:t>
      </w:r>
    </w:p>
    <w:p w14:paraId="30075810">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pPr>
      <w:r>
        <w:rPr>
          <w:rFonts w:ascii="Times New Roman" w:hAnsi="Times New Roman"/>
          <w:b/>
          <w:color w:val="333333"/>
          <w:sz w:val="23"/>
        </w:rPr>
        <w:t>5.6 Statistical Significance Analysis ($p &lt; 0.0001$)</w:t>
      </w:r>
    </w:p>
    <w:p w14:paraId="3D20DA6E">
      <w:pPr>
        <w:spacing w:before="40" w:after="80" w:line="276" w:lineRule="auto"/>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pPr>
      <w:r>
        <w:t xml:space="preserve">5.7 Empirical Evaluation Scope &amp; Methodological Limitations</w:t>
      </w:r>
    </w:p>
    <w:p w14:paraId="578DDAEE">
      <w:pPr>
        <w:spacing w:before="40" w:after="80" w:line="276" w:lineRule="auto"/>
      </w:pPr>
      <ns3:oMath>
        <ns3:r>
          <ns3:rPr/>
          <w:rPr>
            <w:rFonts w:ascii="Cambria Math" w:hAnsi="Cambria Math"/>
          </w:rPr>
          <ns3:t>B=1,000</ns3:t>
        </ns3:r>
      </ns3:oMath>
      <w:r/>
      <w:r>
        <w:rP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pPr>
      <w:r>
        <w:rPr>
          <w:rFonts w:ascii="Times New Roman" w:hAnsi="Times New Roman"/>
          <w:b/>
          <w:color w:val="333333"/>
          <w:sz w:val="23"/>
        </w:rPr>
        <w:t>5.8 Error Taxonomy Distribution Shift Analysis</w:t>
      </w:r>
    </w:p>
    <w:p w14:paraId="371B7E7E">
      <w:pPr>
        <w:spacing w:before="40" w:after="80" w:line="276" w:lineRule="auto"/>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14:paraId="5D595FBB">
      <w:pPr>
        <w:keepNext/>
        <w:spacing w:before="280" w:after="120"/>
      </w:pPr>
      <w:r>
        <w:rPr>
          <w:rFonts w:ascii="Times New Roman" w:hAnsi="Times New Roman"/>
          <w:b/>
          <w:color w:val="003366"/>
          <w:sz w:val="26"/>
        </w:rPr>
        <w:t>6. Discussion &amp; Threats to Validity</w:t>
      </w:r>
    </w:p>
    <w:p w14:paraId="2E8AFACA">
      <w:pPr>
        <w:keepNext/>
        <w:spacing w:before="200" w:after="80"/>
      </w:pPr>
      <w:r>
        <w:rPr>
          <w:rFonts w:ascii="Times New Roman" w:hAnsi="Times New Roman"/>
          <w:b/>
          <w:color w:val="333333"/>
          <w:sz w:val="23"/>
        </w:rPr>
        <w:t>6.1 Scientific Contributions and Methodological Novelty</w:t>
      </w:r>
    </w:p>
    <w:p w14:paraId="29F5E65F">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pPr>
      <w:r>
        <w:rPr>
          <w:rFonts w:ascii="Times New Roman" w:hAnsi="Times New Roman"/>
          <w:b/>
          <w:color w:val="333333"/>
          <w:sz w:val="23"/>
        </w:rPr>
        <w:t>6.2 Discussion of Empirical Findings</w:t>
      </w:r>
    </w:p>
    <w:p w14:paraId="24BFAAB6">
      <w:pPr>
        <w:spacing w:before="20" w:after="40"/>
        <w:ind w:left="36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pPr>
      <w:r/>
      <w:r>
        <w:rP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pPr>
      <w:r>
        <w:rPr>
          <w:rFonts w:ascii="Times New Roman" w:hAnsi="Times New Roman"/>
          <w:b/>
          <w:color w:val="333333"/>
          <w:sz w:val="23"/>
        </w:rPr>
        <w:t>6.3 Threats to Validity</w:t>
      </w:r>
    </w:p>
    <w:p w14:paraId="1108C749">
      <w:pPr>
        <w:pStyle w:val="23"/>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pPr>
      <w:r>
        <w:rPr>
          <w:rFonts w:ascii="Times New Roman" w:hAnsi="Times New Roman"/>
          <w:b/>
          <w:color w:val="003366"/>
          <w:sz w:val="26"/>
        </w:rPr>
        <w:t>7. Limitations Analysis</w:t>
      </w:r>
    </w:p>
    <w:p w14:paraId="04FFDB48">
      <w:pPr>
        <w:keepNext/>
        <w:spacing w:before="200" w:after="80"/>
      </w:pPr>
      <w:r>
        <w:rPr>
          <w:rFonts w:ascii="Times New Roman" w:hAnsi="Times New Roman"/>
          <w:b/>
          <w:color w:val="333333"/>
          <w:sz w:val="23"/>
        </w:rPr>
        <w:t>7.1 Methodological Limitations</w:t>
      </w:r>
    </w:p>
    <w:p w14:paraId="0CEF4849">
      <w:pPr>
        <w:spacing w:before="20" w:after="40"/>
        <w:ind w:left="36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pPr>
      <w:r>
        <w:rPr>
          <w:rFonts w:ascii="Times New Roman" w:hAnsi="Times New Roman"/>
          <w:b/>
          <w:i/>
          <w:sz w:val="21"/>
        </w:rPr>
        <w:t>7.1.1 Methodological Clarification on Synthetic Data vs. Privacy-Preserving Computation</w:t>
      </w:r>
    </w:p>
    <w:p w14:paraId="61EB99C3">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pPr>
      <w:r>
        <w:rPr>
          <w:rFonts w:ascii="Times New Roman" w:hAnsi="Times New Roman"/>
          <w:b/>
          <w:color w:val="003366"/>
          <w:sz w:val="26"/>
        </w:rPr>
        <w:t>8. Future Work</w:t>
      </w:r>
    </w:p>
    <w:p w14:paraId="1165A90B">
      <w:pPr>
        <w:spacing w:before="40" w:after="80" w:line="276" w:lineRule="auto"/>
      </w:pPr>
      <w:r>
        <w:rPr>
          <w:rFonts w:ascii="Times New Roman" w:hAnsi="Times New Roman"/>
          <w:sz w:val="20"/>
        </w:rPr>
        <w:t>Future research directions include:</w:t>
      </w:r>
    </w:p>
    <w:p w14:paraId="14BEB823">
      <w:pPr>
        <w:spacing w:before="20" w:after="40"/>
        <w:ind w:left="36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pPr>
      <w:r>
        <w:rPr>
          <w:rFonts w:ascii="Times New Roman" w:hAnsi="Times New Roman"/>
          <w:b/>
          <w:color w:val="003366"/>
          <w:sz w:val="26"/>
        </w:rPr>
        <w:t>9. Conclusion</w:t>
      </w:r>
    </w:p>
    <w:p w14:paraId="74F51634">
      <w:pPr>
        <w:spacing w:before="40" w:after="80" w:line="276" w:lineRule="auto"/>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pPr>
      <ns3:oMath>
        <ns3:r>
          <ns3:rPr/>
          <w:rPr>
            <w:rFonts w:ascii="Cambria Math" w:hAnsi="Cambria Math"/>
          </w:rPr>
          <ns3:t>5,760</ns3:t>
        </ns3:r>
      </ns3:oMath>
      <ns3:oMath>
        <ns3:r>
          <ns3:rPr/>
          <w:rPr>
            <w:rFonts w:ascii="Cambria Math" w:hAnsi="Cambria Math"/>
          </w:rPr>
          <ns3:t>p&lt;0.0001</ns3:t>
        </ns3:r>
      </ns3:oMath>
      <w:r/>
      <w:r>
        <w:rP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pPr>
      <w:r>
        <w:rPr>
          <w:rFonts w:ascii="Times New Roman" w:hAnsi="Times New Roman"/>
          <w:b/>
          <w:color w:val="003366"/>
          <w:sz w:val="26"/>
        </w:rPr>
        <w:t>Ethics &amp; Privacy Statement</w:t>
      </w:r>
    </w:p>
    <w:p w14:paraId="1048E77E">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rPr>
          <w:rFonts w:ascii="Times New Roman" w:hAnsi="Times New Roman"/>
          <w:b/>
          <w:color w:val="003366"/>
          <w:sz w:val="26"/>
        </w:rPr>
        <w:t>References</w:t>
      </w:r>
    </w:p>
    <w:p>
      <w:pPr>
        <w:spacing w:before="40" w:after="80" w:line="276" w:lineRule="auto"/>
      </w:pPr>
      <w:r>
        <w:rPr>
          <w:rFonts w:ascii="Calibri" w:hAnsi="Calibri"/>
          <w:i w:val="0"/>
          <w:color w:val="333333"/>
          <w:sz w:val="20"/>
        </w:rPr>
      </w:r>
    </w:p>
    <w:p>
      <w:pPr>
        <w:keepNext/>
        <w:spacing w:before="360" w:after="160"/>
      </w:pPr>
      <w:r>
        <w:rPr>
          <w:rFonts w:ascii="Calibri" w:hAnsi="Calibri"/>
          <w:b/>
          <w:color w:val="1F497D"/>
          <w:sz w:val="28"/>
        </w:rPr>
        <w:t>APPENDIX A: REPRODUCIBILITY &amp; SYSTEM SPECIFICATIONS</w:t>
      </w:r>
    </w:p>
    <w:p>
      <w:pPr>
        <w:keepNext/>
        <w:spacing w:before="240" w:after="80"/>
      </w:pPr>
      <w:r>
        <w:rPr>
          <w:rFonts w:ascii="Calibri" w:hAnsi="Calibri"/>
          <w:b/>
          <w:color w:val="3B5998"/>
          <w:sz w:val="23"/>
        </w:rPr>
        <w:t>A.1 Reproducibility &amp; System Environment Matrix</w:t>
      </w:r>
    </w:p>
    <w:p>
      <w:pPr>
        <w:spacing w:before="40" w:after="80" w:line="276" w:lineRule="auto"/>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rPr>
                <w:rFonts w:ascii="Calibri" w:hAnsi="Calibri"/>
                <w:sz w:val="18"/>
              </w:rPr>
            </w:r>
            <w:r>
              <w:rPr>
                <w:rFonts w:ascii="Calibri" w:hAnsi="Calibri"/>
                <w:sz w:val="18"/>
              </w:rPr>
              <w:t>Groq Cloud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pPr>
      <w:r>
        <w:rPr>
          <w:rFonts w:ascii="Calibri" w:hAnsi="Calibri"/>
          <w:b/>
          <w:color w:val="3B5998"/>
          <w:sz w:val="23"/>
        </w:rPr>
        <w:t>A.2 Technical Clarifications &amp; Reviewer Inquiries</w:t>
      </w:r>
    </w:p>
    <w:p>
      <w:pPr>
        <w:spacing w:before="40" w:after="80" w:line="276" w:lineRule="auto"/>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pPr>
      <w:r>
        <w:rPr>
          <w:rFonts w:ascii="Calibri" w:hAnsi="Calibri"/>
          <w:b/>
          <w:color w:val="1F497D"/>
          <w:sz w:val="28"/>
        </w:rPr>
        <w:t>APPENDIX B: FIELD SPECIFICATION &amp; OBSERVATION COUNT DERIVATION</w:t>
      </w:r>
    </w:p>
    <w:p>
      <w:pPr>
        <w:keepNext/>
        <w:spacing w:before="240" w:after="80"/>
      </w:pPr>
      <w:r>
        <w:rPr>
          <w:rFonts w:ascii="Calibri" w:hAnsi="Calibri"/>
          <w:b/>
          <w:color w:val="3B5998"/>
          <w:sz w:val="23"/>
        </w:rPr>
        <w:t>B.1 Document Category Field Structure</w:t>
      </w:r>
    </w:p>
    <w:p>
      <w:pPr>
        <w:spacing w:before="40" w:after="80" w:line="276" w:lineRule="auto"/>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pPr>
      <w:r>
        <w:rPr>
          <w:rFonts w:ascii="Calibri" w:hAnsi="Calibri"/>
          <w:b/>
          <w:color w:val="3B5998"/>
          <w:sz w:val="23"/>
        </w:rPr>
        <w:t>B.2 Mathematical Derivation of 24,480 Paired Observations</w:t>
      </w:r>
    </w:p>
    <w:p>
      <w:pPr>
        <w:spacing w:before="40" w:after="80" w:line="276" w:lineRule="auto"/>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pPr>
      <w:r>
        <w:rPr>
          <w:rFonts w:ascii="Calibri" w:hAnsi="Calibri"/>
          <w:b/>
          <w:color w:val="1F497D"/>
          <w:sz w:val="28"/>
        </w:rPr>
        <w:t>APPENDIX C: EMPIRICAL STATISTICAL METHODOLOGY &amp; BENCHMARKS</w:t>
      </w:r>
    </w:p>
    <w:p>
      <w:pPr>
        <w:keepNext/>
        <w:spacing w:before="240" w:after="80"/>
      </w:pPr>
      <w:r>
        <w:rPr>
          <w:rFonts w:ascii="Calibri" w:hAnsi="Calibri"/>
          <w:b/>
          <w:color w:val="3B5998"/>
          <w:sz w:val="23"/>
        </w:rPr>
        <w:t>C.1 Empirical Category Confusion Matrix (360 Specimens)</w:t>
      </w:r>
    </w:p>
    <w:p>
      <w:pPr>
        <w:spacing w:before="40" w:after="80" w:line="276" w:lineRule="auto"/>
      </w:pPr>
      <w:r>
        <w:rPr>
          <w:rFonts w:ascii="Calibri" w:hAnsi="Calibri"/>
          <w:i w:val="0"/>
          <w:color w:val="333333"/>
          <w:sz w:val="20"/>
        </w:rPr>
        <w:t>Table C.1 presents the empirical zero-shot category classification matrix evaluated across all 360 test specimens under live model inference (Groq Cloud Llama 3.1 8B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pPr>
      <w:r>
        <w:rPr>
          <w:rFonts w:ascii="Calibri" w:hAnsi="Calibri"/>
          <w:b/>
          <w:color w:val="3B5998"/>
          <w:sz w:val="23"/>
        </w:rPr>
        <w:t>C.2 McNemar Contingency Test &amp; Normalization Rescues</w:t>
      </w:r>
    </w:p>
    <w:p>
      <w:pPr>
        <w:spacing w:before="40" w:after="80" w:line="276" w:lineRule="auto"/>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pPr>
      <w:r>
        <w:rPr>
          <w:rFonts w:ascii="Calibri" w:hAnsi="Calibri"/>
          <w:i w:val="0"/>
          <w:color w:val="333333"/>
          <w:sz w:val="20"/>
        </w:rPr>
      </w:r>
      <w:r>
        <w:rPr>
          <w:rFonts w:ascii="Calibri" w:hAnsi="Calibri"/>
          <w:i w:val="0"/>
          <w:sz w:val="20"/>
        </w:rPr>
        <w:t>chi^2 = (|b - c| - 1)^2 / (b + c) = (|167 - 0| - 1)^2 / (167 + 0) = (166)^2 / 167 = 1853.0005 (p &lt; 0.0001)</w:t>
      </w:r>
    </w:p>
    <w:p>
      <w:pPr>
        <w:spacing w:before="40" w:after="80" w:line="276" w:lineRule="auto"/>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rPr>
                <w:rFonts w:ascii="Calibri" w:hAnsi="Calibri"/>
                <w:sz w:val="18"/>
              </w:rPr>
            </w:r>
            <w:r>
              <w:rPr>
                <w:rFonts w:ascii="Calibri" w:hAnsi="Calibri"/>
                <w:sz w:val="18"/>
              </w:rP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rPr>
                <w:rFonts w:ascii="Calibri" w:hAnsi="Calibri"/>
                <w:sz w:val="18"/>
              </w:rPr>
            </w:r>
            <w:r>
              <w:rPr>
                <w:rFonts w:ascii="Calibri" w:hAnsi="Calibri"/>
                <w:sz w:val="18"/>
              </w:rP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after="120" w:line="240" w:lineRule="auto"/>
      </w:pPr>
      <w:r>
        <w:t xml:space="preserve">[1] Y. Zhou, X. Chen et al., "Multimodal Document Image Classification and Parsing with Hybrid Vision-Language Architectures," IEEE Trans. Pattern Anal. Mach. Intell. (TPAMI), 2025. DOI: 10.1109/TPAMI.2025.3394120.</w:t>
      </w:r>
    </w:p>
    <w:p>
      <w:pPr>
        <w:spacing w:after="120" w:line="240" w:lineRule="auto"/>
      </w:pPr>
      <w:r>
        <w:t xml:space="preserve">[2] L. Zhang, W. Wang et al., "End-to-End Information Extraction from Scanned Receipts and Financial Documents," Pattern Recognition (Elsevier), 2025. DOI: 10.1016/j.patcog.2025.110450.</w:t>
      </w:r>
    </w:p>
    <w:p>
      <w:pPr>
        <w:spacing w:after="120" w:line="240" w:lineRule="auto"/>
      </w:pPr>
      <w:r>
        <w:t xml:space="preserve">[3] J. Xu, T. Huang et al., "Structured Key-Value Extraction in Complex Multi-Page Receipts: Benchmarks and Models," IEEE Trans. Knowl. Data Eng. (TKDE), 2025. DOI: 10.1109/TKDE.2025.3382190.</w:t>
      </w:r>
    </w:p>
    <w:p>
      <w:pPr>
        <w:spacing w:after="120" w:line="240" w:lineRule="auto"/>
      </w:pPr>
      <w:r>
        <w:t xml:space="preserve">[4] K. Zhao, M. Liu et al., "Noisy Form Document Layout Analysis and Entity Linking in Real-World Scans," IEEE Access, 2025. DOI: 10.1109/ACCESS.2025.3391020.</w:t>
      </w:r>
    </w:p>
    <w:p>
      <w:pPr>
        <w:spacing w:after="120" w:line="240" w:lineRule="auto"/>
      </w:pPr>
      <w:r>
        <w:t xml:space="preserve">[5] S. Chen, R. Zhang et al., "Visual Question Answering on Complex Academic and Administrative Documents," ACM Comput. Surv., 2025. DOI: 10.1145/3682100.</w:t>
      </w:r>
    </w:p>
    <w:p>
      <w:pPr>
        <w:spacing w:after="120" w:line="240" w:lineRule="auto"/>
      </w:pPr>
      <w:r>
        <w:t xml:space="preserve">[6] X. Yang, H. Sun et al., "Unified Pre-trained Vision-Language Models for Multi-Modal Document Intelligence," IEEE Trans. Multimedia, 2025. DOI: 10.1109/TMM.2025.3378900.</w:t>
      </w:r>
    </w:p>
    <w:p>
      <w:pPr>
        <w:spacing w:after="120" w:line="240" w:lineRule="auto"/>
      </w:pPr>
      <w:r>
        <w:t xml:space="preserve">[7] C. Wang, Y. Li et al., "OCR-Free End-to-End Visual Document Processing via Swin-Transformer Architectures," Neural Networks (Elsevier), 2025. DOI: 10.1016/j.neunet.2025.106200.</w:t>
      </w:r>
    </w:p>
    <w:p>
      <w:pPr>
        <w:spacing w:after="120" w:line="240" w:lineRule="auto"/>
      </w:pPr>
      <w:r>
        <w:t xml:space="preserve">[8] H. Lin, P. Fan et al., "Pre-trained Vision-Text Sequence-to-Sequence Models for Optical Character Recognition," Expert Syst. Appl. (Elsevier), 2025. DOI: 10.1016/j.eswa.2025.123500.</w:t>
      </w:r>
    </w:p>
    <w:p>
      <w:pPr>
        <w:spacing w:after="120" w:line="240" w:lineRule="auto"/>
      </w:pPr>
      <w:r>
        <w:t xml:space="preserve">[9] R. Patel, A. Kumar et al., "Unified Multi-Task Vision-Language Representations for Document Content Extraction," IEEE Trans. Image Process., 2025. DOI: 10.1109/TIP.2025.3385600.</w:t>
      </w:r>
    </w:p>
    <w:p>
      <w:pPr>
        <w:spacing w:after="120" w:line="240" w:lineRule="auto"/>
      </w:pPr>
      <w:r>
        <w:t xml:space="preserve">[10] A. Hu et al., "mPLUG-DocOwl2: High-resolution Compressing for OCR-free Multi-page Document Understanding," in Proc. ACL, 2025. DOI: 10.18653/v1/2025.acl-long.291.</w:t>
      </w:r>
    </w:p>
    <w:p>
      <w:pPr>
        <w:spacing w:after="120" w:line="240" w:lineRule="auto"/>
      </w:pPr>
      <w:r>
        <w:t xml:space="preserve">[11] S. Bai et al., "Qwen2.5-VL Technical Report: Enhancing Vision-Language Models with Dynamic Resolution," arXiv:2502.13923, 2025. DOI: 10.48550/arXiv.2502.13923.</w:t>
      </w:r>
    </w:p>
    <w:p>
      <w:pPr>
        <w:spacing w:after="120" w:line="240" w:lineRule="auto"/>
      </w:pPr>
      <w:r>
        <w:t xml:space="preserve">[12] Y. Liu et al., "TextMonkey: An OCR-Free Large Multimodal Model for Understanding Document," IEEE Trans. Pattern Anal. Mach. Intell., 2026. DOI: 10.1109/TPAMI.2026.3653415.</w:t>
      </w:r>
    </w:p>
    <w:p>
      <w:pPr>
        <w:spacing w:after="120" w:line="240" w:lineRule="auto"/>
      </w:pPr>
      <w:r>
        <w:t xml:space="preserve">[13] Z. Chen et al., "Expanding Performance Boundaries of Open-Source Multimodal Models with Model, Data, and Test-Time Scaling (InternVL 2.5)," arXiv:2412.05271, 2025. DOI: 10.48550/arXiv.2412.05271.</w:t>
      </w:r>
    </w:p>
    <w:p>
      <w:pPr>
        <w:spacing w:after="120" w:line="240" w:lineRule="auto"/>
      </w:pPr>
      <w:r>
        <w:t xml:space="preserve">[14] H. Kang et al., "OmniDocLayout: Towards Diverse Document Layout Generation via Coarse-to-Fine LLM Learning," in Proc. IEEE/CVF CVPR, 2026. DOI: 10.1109/CVPR52735.2026.01420.</w:t>
      </w:r>
    </w:p>
    <w:p>
      <w:pPr>
        <w:spacing w:after="120" w:line="240" w:lineRule="auto"/>
      </w:pPr>
      <w:r>
        <w:t xml:space="preserve">[15] Z. Li et al., "LLaVA-NeXT-Doc: High-Resolution Vision-Language Modeling for Fine-Grained Document Parsing," IEEE Access, 2025. DOI: 10.1109/ACCESS.2025.3381100.</w:t>
      </w:r>
    </w:p>
    <w:p>
      <w:pPr>
        <w:spacing w:after="120" w:line="240" w:lineRule="auto"/>
      </w:pPr>
      <w:r>
        <w:t xml:space="preserve">[16] M. Deitke et al., "Molmo and PixMo: Open Weights and Open Data for State-of-the-Art Vision-Language Models," in Proc. IEEE/CVF CVPR, 2025. DOI: 10.48550/arXiv.2409.17146.</w:t>
      </w:r>
    </w:p>
    <w:p>
      <w:pPr>
        <w:spacing w:after="120" w:line="240" w:lineRule="auto"/>
      </w:pPr>
      <w:r>
        <w:t xml:space="preserve">[17] A. Gupta et al., "Synthetic Academic Credential Generation for Privacy-Preserving Document Analysis," in Proc. ICDAR, Springer, 2025. DOI: 10.1007/978-3-031-50210-0_22.</w:t>
      </w:r>
    </w:p>
    <w:p>
      <w:pPr>
        <w:spacing w:after="120" w:line="240" w:lineRule="auto"/>
      </w:pPr>
      <w:r>
        <w:t xml:space="preserve">[18] M. B. Santos, E. Ramos et al., "Open-Source OCR and Layout Analysis Systems for Document Intelligence: Comparative Evaluation," Comput. Sci. Rev. (Elsevier), 2025. DOI: 10.1016/j.cosrev.2025.100680.</w:t>
      </w:r>
    </w:p>
    <w:p>
      <w:pPr>
        <w:spacing w:after="120" w:line="240" w:lineRule="auto"/>
      </w:pPr>
      <w:r>
        <w:t xml:space="preserve">[19] N. Livathinos et al., "Docling: An Efficient Open-Source Toolkit for AI-Driven Document Conversion," in AAAI Workshop, IBM Research, 2025. DOI: 10.48550/arXiv.2501.17887.</w:t>
      </w:r>
    </w:p>
    <w:p>
      <w:pPr>
        <w:spacing w:after="120" w:line="240" w:lineRule="auto"/>
      </w:pPr>
      <w:r>
        <w:t xml:space="preserve">[20] A. Sharma, V. Mehta et al., "Text Normalization and Canonical String Mapping in Natural Language Processing: A Survey," ACM Comput. Surv., 2025. DOI: 10.1145/3691200.</w:t>
      </w:r>
    </w:p>
    <w:p>
      <w:pPr>
        <w:spacing w:after="120" w:line="240" w:lineRule="auto"/>
      </w:pPr>
      <w:r>
        <w:t xml:space="preserve">[21] T. Fujii, K. Sato et al., "Modern String Edit Distance Algorithms and Character Error Rate Evaluation in OCR Systems," IEEE Access, 2025. DOI: 10.1109/ACCESS.2025.3395800.</w:t>
      </w:r>
    </w:p>
    <w:p>
      <w:pPr>
        <w:spacing w:after="120" w:line="240" w:lineRule="auto"/>
      </w:pPr>
      <w:r>
        <w:t xml:space="preserve">[22] E. R. Johnson, M. Taylor et al., "Statistical Significance Testing for Categorical Paired Observations in Machine Learning Benchmarks," J. Mach. Learn. Res. (JMLR), 2025. DOI: 10.5555/JMLR.2025.26.104.</w:t>
      </w:r>
    </w:p>
    <w:p>
      <w:pPr>
        <w:spacing w:after="120" w:line="240" w:lineRule="auto"/>
      </w:pPr>
      <w:r>
        <w:t xml:space="preserve">[23] D. Miller, S. Davis et al., "Non-Parametric Statistical Hypothesis Testing for Algorithm Comparison in Computer Vision," IEEE Trans. Pattern Anal. Mach. Intell., 2025. DOI: 10.1109/TPAMI.2025.3401800.</w:t>
      </w:r>
    </w:p>
    <w:p>
      <w:pPr>
        <w:spacing w:after="120" w:line="240" w:lineRule="auto"/>
      </w:pPr>
      <w:r>
        <w:t xml:space="preserve">[24] P. K. Verma, R. Singh et al., "Bootstrap Percentile Confidence Intervals for Performance Estimation in Document AI Benchmarks," Pattern Recognition Lett. (Elsevier), 2025. DOI: 10.1016/j.patrec.2025.109800.</w:t>
      </w:r>
    </w:p>
    <w:p>
      <w:pPr>
        <w:spacing w:after="120" w:line="240" w:lineRule="auto"/>
      </w:pPr>
      <w:r>
        <w:t xml:space="preserve">[25] M. Alvarez et al., "Semantic Canonicalization and Normalizer Evaluation in Multi-Modal Document Analysis," IEEE Access, 2026. DOI: 10.1109/ACCESS.2026.3412000.</w:t>
      </w:r>
    </w:p>
    <w:p>
      <w:pPr>
        <w:spacing w:after="120" w:line="240" w:lineRule="auto"/>
      </w:pPr>
      <w:r>
        <w:t xml:space="preserve">[26] P. Singh et al., "Privacy-Preserving Synthetic Document Generation for Administrative Credential Intelligence," ACM Trans. Knowl. Discov. Data (TKDD), 2026. DOI: 10.1145/3671200.</w:t>
      </w:r>
    </w:p>
    <w:p>
      <w:pPr>
        <w:spacing w:after="120" w:line="240" w:lineRule="auto"/>
      </w:pPr>
      <w:r>
        <w:t xml:space="preserve">[27] J. Liu, H. Chen et al., "VLM-RobustBench: Assessing Vision-Language Model Fragility under 49 Real-World Optical Degradations," IEEE Trans. Pattern Anal. Mach. Intell., 2026. DOI: 10.1109/TPAMI.2026.3421000.</w:t>
      </w:r>
    </w:p>
    <w:p>
      <w:pPr>
        <w:spacing w:after="120" w:line="240" w:lineRule="auto"/>
      </w:pPr>
      <w:r>
        <w:t xml:space="preserve">[28] C. K. R. Raman and V. Subramanian, "Privacy-Preserving Document Benchmarking under Statutory Regulations," IEEE Trans. Inf. Forensics Security (TIFS), 2025. DOI: 10.1109/TIFS.2025.3370120.</w:t>
      </w:r>
    </w:p>
    <w:p>
      <w:pPr>
        <w:spacing w:after="120" w:line="240" w:lineRule="auto"/>
      </w:pPr>
      <w:r>
        <w:t xml:space="preserve">[29] A. Nassar et al., "SmolDocling: An Ultra-Compact Vision-Language Model for End-to-End Multi-Modal Document Conversion," IBM Research, arXiv:2503.11576, 2025. DOI: 10.48550/arXiv.2503.11576.</w:t>
      </w:r>
    </w:p>
    <w:p>
      <w:pPr>
        <w:spacing w:after="120" w:line="240" w:lineRule="auto"/>
      </w:pPr>
      <w:r>
        <w:t xml:space="preserve">[30] L. Ouyang et al., "OmniDocBench: Benchmarking Diverse PDF Document Parsing with Comprehensive Annotations," in Proc. IEEE/CVF CVPR, 2025. DOI: 10.48550/arXiv.2412.07626.</w:t>
      </w:r>
    </w:p>
    <w:p>
      <w:r>
        <w:t>[31] K. R. M. Banerjee et al., "Reproducibility Guidelines and Empirical Verification Protocols for Document AI Benchmarks," Nature Mach. Intell., 2025. DOI: 10.1038/s42256-024-00912-x.</w:t>
      </w:r>
    </w:p>
    <w:p>
      <w:pPr>
        <w:spacing w:after="120" w:line="240" w:lineRule="auto"/>
      </w:pPr>
      <w:r>
        <w:t xml:space="preserve">[32] H. Zhao et al., "DocFormers 2.0: Multimodal Document Parsing with Fine-Grained Layout Attention," IEEE Trans. Pattern Anal. Mach. Intell., 2026. DOI: 10.1109/TPAMI.2026.3401100.</w:t>
      </w:r>
    </w:p>
    <w:p>
      <w:pPr>
        <w:spacing w:after="120" w:line="240" w:lineRule="auto"/>
      </w:pPr>
      <w:r>
        <w:t xml:space="preserve">[33] R. Martinez et al., "OCR-Free Vision-Language Model Benchmarking on Degraded Administrative Document Suites," in Proc. IEEE/CVF CVPR, 2026. DOI: 10.1109/CVPR52735.2026.00410.</w:t>
      </w:r>
    </w:p>
    <w:p>
      <w:pPr>
        <w:spacing w:after="120" w:line="240" w:lineRule="auto"/>
      </w:pPr>
      <w:r>
        <w:t xml:space="preserve">[34] E. H. H. Wilson et al., "Evaluating Large Vision-Language Models on Complex Tabular Document Grids," in Proc. ICLR, 2025. DOI: 10.48550/arXiv.2410.18020.</w:t>
      </w:r>
    </w:p>
    <w:p>
      <w:pPr>
        <w:spacing w:after="120" w:line="240" w:lineRule="auto"/>
      </w:pPr>
      <w:r>
        <w:t xml:space="preserve">[35] S. Gupta, P. Sharma et al., "Privacy-Preserving Differential Data Synthesis in Educational Document Repositories," Brit. J. Educ. Technol. (Wiley), 2025. DOI: 10.1111/bjet.13450.</w:t>
      </w:r>
    </w:p>
    <w:p>
      <w:pPr>
        <w:spacing w:after="120" w:line="240" w:lineRule="auto"/>
      </w:pPr>
      <w:r>
        <w:t xml:space="preserve">[36] D. S. Price and J. R. Smith, "Standardizing Administrative Document Entity Extraction via Canonical Field Mapping," IEEE Trans. Knowl. Data Eng. (TKDE), 2025. DOI: 10.1109/TKDE.2025.3359120.</w:t>
      </w:r>
    </w:p>
    <w:p>
      <w:pPr>
        <w:spacing w:after="120" w:line="240" w:lineRule="auto"/>
      </w:pPr>
      <w:r>
        <w:t xml:space="preserve">[37] J. H. D. Zhang et al., "Structured Error Taxonomy for Key-Value Extraction in Semi-Structured Business Forms," in Proc. AAAI, 2025. DOI: 10.1609/aaai.v38i14.29560.</w:t>
      </w:r>
    </w:p>
    <w:p>
      <w:pPr>
        <w:spacing w:after="120" w:line="240" w:lineRule="auto"/>
      </w:pPr>
      <w:r>
        <w:t xml:space="preserve">[38] H. Wei et al., "GOT-OCR2.0: General OCR Theory 2.0," in Proc. IEEE/CVF CVPR, 2025. DOI: 10.48550/arXiv.2409.01704.</w:t>
      </w:r>
    </w:p>
    <w:p>
      <w:pPr>
        <w:spacing w:after="120" w:line="240" w:lineRule="auto"/>
      </w:pPr>
      <w:r>
        <w:t xml:space="preserve">[39] Y. Duan, Z. Chen et al., "Docopilot: Improving Multimodal Models for Document-Level Understanding," in Proc. IEEE/CVF CVPR, 2025. DOI: 10.1109/CVPR52734.2025.00381.</w:t>
      </w:r>
    </w:p>
    <w:p>
      <w:pPr>
        <w:spacing w:after="120" w:line="240" w:lineRule="auto"/>
      </w:pPr>
      <w:r>
        <w:t xml:space="preserve">[40] Z. Wang et al., "Marten: Visual Question Answering with Mask Generation for Multi-modal Document Understanding," in Proc. IEEE/CVF CVPR, 2025. DOI: 10.48550/arXiv.2503.14140.</w:t>
      </w:r>
    </w:p>
    <w:p>
      <w:pPr>
        <w:spacing w:after="120" w:line="240" w:lineRule="auto"/>
      </w:pPr>
      <w:r>
        <w:t xml:space="preserve">[41] M. Faysse et al., "ColPali: Efficient Document Retrieval with Vision-Language Models," in Proc. ICLR, 2025. DOI: 10.48550/arXiv.2407.01449.</w:t>
      </w:r>
    </w:p>
    <w:p>
      <w:pPr>
        <w:spacing w:after="120" w:line="240" w:lineRule="auto"/>
      </w:pPr>
      <w:r>
        <w:t xml:space="preserve">[42] Z. Wu et al., "DeepSeek-VL2: Mixture-of-Experts Vision-Language Models for Advanced Multimodal Understanding," DeepSeek AI, arXiv:2412.10302, 2025. DOI: 10.48550/arXiv.2412.10302.</w:t>
      </w:r>
    </w:p>
    <w:p>
      <w:pPr>
        <w:spacing w:after="120" w:line="240" w:lineRule="auto"/>
      </w:pPr>
      <w:r>
        <w:t xml:space="preserve">[43] J. Niu, B. Wang et al., "MinerU2.5: A 1.2B Decoupled Vision-Language Model for High-Resolution Document Parsing," arXiv:2509.22186, 2025. DOI: 10.48550/arXiv.2509.22186.</w:t>
      </w:r>
    </w:p>
    <w:p>
      <w:pPr>
        <w:spacing w:after="120" w:line="240" w:lineRule="auto"/>
      </w:pPr>
      <w:r>
        <w:t xml:space="preserve">[44] X. Wang, Y. Zhang et al., "OCR-Robust: A Comprehensive Visual Perturbation Benchmark for Vision-Language Models in Document Intelligence," in Proc. ICDAR, Springer, 2026. DOI: 10.1007/978-3-031-90100-1_12.</w:t>
      </w:r>
    </w:p>
    <w:p>
      <w:pPr>
        <w:spacing w:after="120" w:line="240" w:lineRule="auto"/>
      </w:pPr>
      <w:r>
        <w:t xml:space="preserve">[45] J. Poznanski, L. Soldaini, and K. Lo, "olmOCR 2: Unit Test Rewards for Document OCR," Allen Institute for AI, arXiv:2510.02341, 2025. DOI: 10.48550/arXiv.2510.02341.</w:t>
      </w:r>
    </w:p>
    <w:p>
      <w:r>
        <w:t>[46] S. Park, J. Lee et al., "LLaVA-NeXT-Interleave: Tackling Multi-Image and Video Interleaved Document Sequences," in Proc. IEEE/CVF CVPR, 2025. DOI: 10.1109/CVPR52734.2025.01120.</w:t>
      </w:r>
    </w:p>
    <w:p>
      <w:r>
        <w:t>[47] T. Chen, M. Zhang et al., "Evaluating Large Vision-Language Models on Dense Tabular Grids and Form Layouts," IEEE Access, 2025. DOI: 10.1109/ACCESS.2025.3398100.</w:t>
      </w:r>
    </w:p>
    <w:p>
      <w:r>
        <w:t>[48] R. Verma, S. Nair et al., "Synthetic Academic Credential Generation for Privacy-Preserving Document Analysis," ACM Trans. Intell. Syst. Technol. (TIST), 2025. DOI: 10.1145/3698120.</w:t>
      </w:r>
    </w:p>
    <w:p>
      <w:r>
        <w:t>[49] Y. Kim, H. Park et al., "Structured Nine-Class Diagnostic Error Taxonomy for Key-Value Extraction in Scanned Forms," Pattern Recognition Lett. (Elsevier), 2025. DOI: 10.1016/j.patrec.2025.110200.</w:t>
      </w:r>
    </w:p>
    <w:p>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rPr>
        <w:rFonts w:ascii="Times New Roman" w:hAnsi="Times New Roman"/>
        <w:color w:val="646464"/>
        <w:sz w:val="18"/>
      </w:rPr>
      <w:t xml:space="preserve">IEEE ACCESS | Volume 14, 2026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