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Academic Universe: AU DIC—A Human-in-the-Loop Multimodal Document Intelligence Framework for Verifiable Academic Credential Parsing</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Universe is a student-centric multi-tenant educational platform designed to support academic growth, research support, career development, intelligent document processing, coding practice, resume generation, campus productivity, AI assistance, and student support through a suite of interoperable research modules. Within this platform ecosystem, academic document processing remains a critical bottleneck, with existing solutions struggling to balance automation accuracy against verifiability requirements. This paper introduces the Academic Universe Document Intelligence Core (AU DIC), the platform's dedicated Document Intelligence module, featuring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Academic Universe, 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keepNext/>
        <w:spacing w:before="240" w:after="80"/>
      </w:pPr>
      <w:r>
        <w:rPr>
          <w:rFonts w:ascii="Calibri" w:hAnsi="Calibri"/>
          <w:b/>
          <w:color w:val="2C3E50"/>
          <w:sz w:val="24"/>
        </w:rPr>
        <w:t>4.1 Academic Universe Ecosystem &amp; Module Scope</w:t>
      </w:r>
    </w:p>
    <w:p>
      <w:pPr>
        <w:keepNext/>
        <w:spacing w:before="280"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ig0_ecosystem_architecture.png"/>
                    <pic:cNvPicPr/>
                  </pic:nvPicPr>
                  <pic:blipFill>
                    <a:blip r:embed="rId9"/>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1: Academic Universe Platform Ecosystem Architecture showing the parent student-centric multi-tenant SaaS platform and highlighting AU DIC as the target research module evaluated in this paper.</w:t>
      </w:r>
    </w:p>
    <w:p>
      <w:pPr>
        <w:spacing w:before="40" w:after="120" w:line="276" w:lineRule="auto"/>
      </w:pPr>
      <w:r>
        <w:t>Academic Universe is an integrated, student-centric multi-tenant educational SaaS platform designed to address the multifaceted requirements of modern higher education. The platform architecture (Fig. 1) is composed of multiple specialized, interoperable modules spanning academic growth tracking, research management, career profile development, intelligent document processing, coding practice, resume generation, campus schedule alignment, AI assistance, and student support services. Each platform module addresses a distinct domain within the educational lifecycle while sharing a common multi-tenant data isolation and authentication infrastructure.</w:t>
      </w:r>
    </w:p>
    <w:p>
      <w:pPr>
        <w:spacing w:before="40" w:after="120" w:line="276" w:lineRule="auto"/>
      </w:pPr>
      <w:r>
        <w:t>This paper focuses exclusively on AU DIC (Academic Universe Document Intelligence Core), the platform's Document Intelligence module responsible for automated parsing, verification, and ingestion of academic credentials. Other Academic Universe modules—such as the Growth Hub, Resume Builder, Code Arena, Overlap Engine, and Research Wing—are outside the scope of this paper and will be documented and evaluated in separate future publications.</w:t>
      </w:r>
    </w:p>
    <w:p>
      <w:pPr>
        <w:keepNext/>
        <w:spacing w:before="240" w:after="80"/>
      </w:pPr>
      <w:r>
        <w:rPr>
          <w:rFonts w:ascii="Calibri" w:hAnsi="Calibri"/>
          <w:b/>
          <w:color w:val="2C3E50"/>
          <w:sz w:val="24"/>
        </w:rPr>
        <w:t>4.2 Document Intelligence Core (AU DIC)</w:t>
      </w:r>
    </w:p>
    <w:p>
      <w:pPr>
        <w:spacing w:before="40" w:after="120" w:line="276" w:lineRule="auto"/>
      </w:pPr>
      <w:r>
        <w:t>Within higher education institutions, academic document processing represents a major operational bottleneck. Millions of documents—including certificates, mark sheets, student ID cards, and timetables—are processed annually during admissions, transcript evaluation, and credit transfer.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AU DIC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reviews related literature (Sections 5–6), identifies the research gap and objectives (Sections 7–8), presents the proposed methodology and system architecture (Sections 9–10), describes the experimental design and results (Sections 11–14), and concludes with discussion, limitations, and future directions (Sections 15–19).</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320" w:after="100"/>
        <w:jc w:val="left"/>
      </w:pPr>
      <w:r>
        <w:rPr>
          <w:rFonts w:ascii="Calibri" w:hAnsi="Calibri"/>
          <w:b/>
          <w:color w:val="1B365D"/>
          <w:sz w:val="20"/>
        </w:rPr>
        <w:t xml:space="preserve">Table 1: </w:t>
      </w:r>
      <w:r>
        <w:rPr>
          <w:rFonts w:ascii="Calibri" w:hAnsi="Calibri"/>
          <w:i/>
          <w:color w:val="2C3E50"/>
          <w:sz w:val="20"/>
        </w:rPr>
        <w:t>System Feature Matrix — AU DIC vs. Enterprise Alternatives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Feature</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AU DIC (Proposed)</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SAP S/4HANA</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Workday HCM</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Moodle LMS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Intelligence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(Dual-Provider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 (OCR add-on)</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Basic (Tesseract)</w:t>
            </w:r>
          </w:p>
        </w:tc>
      </w:tr>
      <w:tr>
        <w:trPr>
          <w:cantSplit/>
        </w:trPr>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Multimodal LLM Integration</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(Gemini + OpenRouter)</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Human-in-the-Loop (HITL)</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(Candidate Staging)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Dual-Provider Failover</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(Automatic)</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Multi-Tenant SaaS</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(Organization-scoped)</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(Plugin)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Soft Deletion</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(Transaction-safe)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Structured JSON Extraction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(7 core fields + arrays)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Confidence Scoring</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(Per-field)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Mobile Camera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(Quality profiles)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Scanner Copy Support</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(OCR fallback)</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Rotated Document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(Deskew +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Audit Trail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(ReviewHistory)</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Tenant Isolation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(organizationId scoping)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REST API</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(Express.js)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(OData)</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(REST)</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(Web services)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Open Source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Document Categories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Academic (Certificate, Timetable, ID, Marksheet)</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Academic 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Canonical Write</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(After HITL approval)</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Bulk Operations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(Bulk delete review required)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Scalability</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Cloud-native (MongoDB + Redis)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Self-hosted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Cost Model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Pay-per-use (AI API)</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Free</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2" name="Picture 2"/>
            <wp:cNvGraphicFramePr>
              <a:graphicFrameLocks noChangeAspect="1"/>
            </wp:cNvGraphicFramePr>
            <a:graphic>
              <a:graphicData uri="http://schemas.openxmlformats.org/drawingml/2006/picture">
                <pic:pic>
                  <pic:nvPicPr>
                    <pic:cNvPr id="0" name="fig7_research_workflow.png"/>
                    <pic:cNvPicPr/>
                  </pic:nvPicPr>
                  <pic:blipFill>
                    <a:blip r:embed="rId10"/>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8: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3" name="Picture 3"/>
            <wp:cNvGraphicFramePr>
              <a:graphicFrameLocks noChangeAspect="1"/>
            </wp:cNvGraphicFramePr>
            <a:graphic>
              <a:graphicData uri="http://schemas.openxmlformats.org/drawingml/2006/picture">
                <pic:pic>
                  <pic:nvPicPr>
                    <pic:cNvPr id="0" name="fig1_overall_architecture.png"/>
                    <pic:cNvPicPr/>
                  </pic:nvPicPr>
                  <pic:blipFill>
                    <a:blip r:embed="rId11"/>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2: AU DIC Four-Tier Microservice Architecture showing Presentation, API, Service, and Data layers with Multi-Tenant Organization Isolation.</w:t>
      </w:r>
    </w:p>
    <w:p>
      <w:pPr>
        <w:spacing w:before="40" w:after="120" w:line="276" w:lineRule="auto"/>
      </w:pPr>
      <w:r>
        <w:t>The AU DIC system follows a layered microservice architecture (Fig. 2)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w:t>
      </w:r>
      <m:oMath>
        <m:r>
          <m:t>P</m:t>
        </m:r>
      </m:oMath>
      <w:r>
        <w:t>) and fallback provider (</w:t>
      </w:r>
      <m:oMath>
        <m:r>
          <m:t>F</m:t>
        </m:r>
      </m:oMath>
      <w:r>
        <w:t xml:space="preserve">), the system attempts inference on </w:t>
      </w:r>
      <m:oMath>
        <m:r>
          <m:t>P</m:t>
        </m:r>
      </m:oMath>
      <w:r>
        <w:t>:</w:t>
      </w:r>
    </w:p>
    <w:p>
      <w:pPr>
        <w:spacing w:before="160" w:after="160"/>
        <w:jc w:val="center"/>
      </w:pPr>
      <m:oMathPara>
        <m:oMath>
          <m:sSub>
            <m:e>
              <m:r>
                <m:t>y</m:t>
              </m:r>
            </m:e>
            <m:sub>
              <m:r>
                <m:t>P</m:t>
              </m:r>
            </m:sub>
          </m:sSub>
          <m:r>
            <m:t> = P(x)</m:t>
          </m:r>
        </m:oMath>
      </m:oMathPara>
    </w:p>
    <w:p>
      <w:pPr>
        <w:spacing w:before="40" w:after="120" w:line="276" w:lineRule="auto"/>
      </w:pPr>
      <w:r>
        <w:t xml:space="preserve">If </w:t>
      </w:r>
      <m:oMath>
        <m:r>
          <m:t>P</m:t>
        </m:r>
      </m:oMath>
      <w:r>
        <w:t xml:space="preserve"> raises an availability error (</w:t>
      </w:r>
      <m:oMath>
        <m:sSub>
          <m:e>
            <m:r>
              <m:t>E</m:t>
            </m:r>
          </m:e>
          <m:sub>
            <m:r>
              <m:t>P</m:t>
            </m:r>
          </m:sub>
        </m:sSub>
        <m:r>
          <m:t>  ∈  </m:t>
        </m:r>
        <m:sSub>
          <m:e>
            <m:r>
              <m:t>E</m:t>
            </m:r>
          </m:e>
          <m:sub>
            <m:r>
              <m:t>avail</m:t>
            </m:r>
          </m:sub>
        </m:sSub>
      </m:oMath>
      <w:r>
        <w:t xml:space="preserve">), the system transparently retries on </w:t>
      </w:r>
      <m:oMath>
        <m:r>
          <m:t>F</m:t>
        </m:r>
      </m:oMath>
      <w:r>
        <w:t>:</w:t>
      </w:r>
    </w:p>
    <w:p>
      <w:pPr>
        <w:spacing w:before="160" w:after="160"/>
        <w:jc w:val="center"/>
      </w:pPr>
      <m:oMathPara>
        <m:oMath>
          <m:sSub>
            <m:e>
              <m:r>
                <m:t>y</m:t>
              </m:r>
            </m:e>
            <m:sub>
              <m:r>
                <m:t>F</m:t>
              </m:r>
            </m:sub>
          </m:sSub>
          <m:r>
            <m:t> = F(x)</m:t>
          </m:r>
        </m:oMath>
      </m:oMathPara>
    </w:p>
    <w:p>
      <w:pPr>
        <w:spacing w:before="40" w:after="120" w:line="276" w:lineRule="auto"/>
      </w:pPr>
      <w:r>
        <w:t xml:space="preserve">The final output is </w:t>
      </w:r>
      <m:oMath>
        <m:r>
          <m:t>y = </m:t>
        </m:r>
        <m:sSub>
          <m:e>
            <m:r>
              <m:t>y</m:t>
            </m:r>
          </m:e>
          <m:sub>
            <m:r>
              <m:t>P</m:t>
            </m:r>
          </m:sub>
        </m:sSub>
      </m:oMath>
      <w:r>
        <w:t xml:space="preserve"> if </w:t>
      </w:r>
      <m:oMath>
        <m:r>
          <m:t>P</m:t>
        </m:r>
      </m:oMath>
      <w:r>
        <w:t xml:space="preserve"> succeeds, otherwise </w:t>
      </w:r>
      <m:oMath>
        <m:r>
          <m:t>y = </m:t>
        </m:r>
        <m:sSub>
          <m:e>
            <m:r>
              <m:t>y</m:t>
            </m:r>
          </m:e>
          <m:sub>
            <m:r>
              <m:t>F</m:t>
            </m:r>
          </m:sub>
        </m:sSub>
      </m:oMath>
      <w:r>
        <w:t xml:space="preserve"> if </w:t>
      </w:r>
      <m:oMath>
        <m:r>
          <m:t>F</m:t>
        </m:r>
      </m:oMath>
      <w:r>
        <w:t xml:space="preserve">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4" name="Picture 4"/>
            <wp:cNvGraphicFramePr>
              <a:graphicFrameLocks noChangeAspect="1"/>
            </wp:cNvGraphicFramePr>
            <a:graphic>
              <a:graphicData uri="http://schemas.openxmlformats.org/drawingml/2006/picture">
                <pic:pic>
                  <pic:nvPicPr>
                    <pic:cNvPr id="0" name="fig2_dic_pipeline.png"/>
                    <pic:cNvPicPr/>
                  </pic:nvPicPr>
                  <pic:blipFill>
                    <a:blip r:embed="rId12"/>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3: End-to-End Document Intelligence Pipeline from Upload Validation through AI Orchestration to HITL Staging.</w:t>
      </w:r>
    </w:p>
    <w:p>
      <w:pPr>
        <w:spacing w:before="40" w:after="120" w:line="276" w:lineRule="auto"/>
      </w:pPr>
      <w:r>
        <w:t>The document intelligence pipeline (Fig. 3)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m:oMathPara>
        <m:oMath>
          <m:r>
            <m:t>fields = </m:t>
          </m:r>
          <m:d>
            <m:dPr>
              <m:begChr m:val="{"/>
              <m:endChr m:val="}"/>
            </m:dPr>
            <m:e>
              <m:r>
                <m:t>studentName, rollNumber, semester, sgpa, cgpa, issueDate, courseMarks</m:t>
              </m:r>
            </m:e>
          </m:d>
          <m:r>
            <m:t/>
          </m:r>
        </m:oMath>
      </m:oMathPara>
    </w:p>
    <w:p>
      <w:pPr>
        <w:spacing w:before="40" w:after="120" w:line="276" w:lineRule="auto"/>
      </w:pPr>
      <w:r>
        <w:t xml:space="preserve">where </w:t>
      </w:r>
      <m:oMath>
        <m:r>
          <m:t>courseMarks</m:t>
        </m:r>
      </m:oMath>
      <w:r>
        <w:t xml:space="preserve"> is an array of objects with keys </w:t>
      </w:r>
      <m:oMath>
        <m:r>
          <m:t>courseCode</m:t>
        </m:r>
      </m:oMath>
      <w:r>
        <w:t xml:space="preserve">, </w:t>
      </w:r>
      <m:oMath>
        <m:r>
          <m:t>courseName</m:t>
        </m:r>
      </m:oMath>
      <w:r>
        <w:t xml:space="preserve">, </w:t>
      </w:r>
      <m:oMath>
        <m:r>
          <m:t>marksObtained</m:t>
        </m:r>
      </m:oMath>
      <w:r>
        <w:t xml:space="preserve">, and </w:t>
      </w:r>
      <m:oMath>
        <m:r>
          <m:t>maxMarks</m:t>
        </m:r>
      </m:oMath>
      <w:r>
        <w:t>.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4)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5" name="Picture 5"/>
            <wp:cNvGraphicFramePr>
              <a:graphicFrameLocks noChangeAspect="1"/>
            </wp:cNvGraphicFramePr>
            <a:graphic>
              <a:graphicData uri="http://schemas.openxmlformats.org/drawingml/2006/picture">
                <pic:pic>
                  <pic:nvPicPr>
                    <pic:cNvPr id="0" name="fig4_transaction_sequence.png"/>
                    <pic:cNvPicPr/>
                  </pic:nvPicPr>
                  <pic:blipFill>
                    <a:blip r:embed="rId13"/>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5: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m:oMathPara>
        <m:oMath>
          <m:r>
            <m:t>T = </m:t>
          </m:r>
          <m:d>
            <m:dPr>
              <m:begChr m:val="{"/>
              <m:endChr m:val="}"/>
            </m:dPr>
            <m:e>
              <m:sSub>
                <m:e>
                  <m:r>
                    <m:t>U</m:t>
                  </m:r>
                </m:e>
                <m:sub>
                  <m:r>
                    <m:t>del</m:t>
                  </m:r>
                </m:sub>
              </m:sSub>
              <m:r>
                <m:t>, </m:t>
              </m:r>
              <m:sSub>
                <m:e>
                  <m:r>
                    <m:t>KR</m:t>
                  </m:r>
                </m:e>
                <m:sub>
                  <m:r>
                    <m:t>del</m:t>
                  </m:r>
                </m:sub>
              </m:sSub>
              <m:r>
                <m:t>, </m:t>
              </m:r>
              <m:sSub>
                <m:e>
                  <m:r>
                    <m:t>RH</m:t>
                  </m:r>
                </m:e>
                <m:sub>
                  <m:r>
                    <m:t>del</m:t>
                  </m:r>
                </m:sub>
              </m:sSub>
            </m:e>
          </m:d>
          <m:r>
            <m:t/>
          </m:r>
        </m:oMath>
      </m:oMathPara>
    </w:p>
    <w:p>
      <w:pPr>
        <w:spacing w:before="40" w:after="120" w:line="276" w:lineRule="auto"/>
      </w:pPr>
      <w:r>
        <w:t xml:space="preserve">where </w:t>
      </w:r>
      <m:oMath>
        <m:sSub>
          <m:e>
            <m:r>
              <m:t>U</m:t>
            </m:r>
          </m:e>
          <m:sub>
            <m:r>
              <m:t>del</m:t>
            </m:r>
          </m:sub>
        </m:sSub>
      </m:oMath>
      <w:r>
        <w:t xml:space="preserve"> marks the UaipUpload record as DELETED, </w:t>
      </w:r>
      <m:oMath>
        <m:sSub>
          <m:e>
            <m:r>
              <m:t>KR</m:t>
            </m:r>
          </m:e>
          <m:sub>
            <m:r>
              <m:t>del</m:t>
            </m:r>
          </m:sub>
        </m:sSub>
      </m:oMath>
      <w:r>
        <w:t xml:space="preserve"> marks all associated KnowledgeRecords as DELETED, and </w:t>
      </w:r>
      <m:oMath>
        <m:sSub>
          <m:e>
            <m:r>
              <m:t>RH</m:t>
            </m:r>
          </m:e>
          <m:sub>
            <m:r>
              <m:t>del</m:t>
            </m:r>
          </m:sub>
        </m:sSub>
      </m:oMath>
      <w:r>
        <w:t xml:space="preserve">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m:oMathPara>
        <m:oMath>
          <m:sSub>
            <m:e>
              <m:r>
                <m:t>U</m:t>
              </m:r>
            </m:e>
            <m:sub>
              <m:r>
                <m:t>del</m:t>
              </m:r>
            </m:sub>
          </m:sSub>
          <m:r>
            <m:t>  →  </m:t>
          </m:r>
          <m:sSub>
            <m:e>
              <m:r>
                <m:t>KR</m:t>
              </m:r>
            </m:e>
            <m:sub>
              <m:r>
                <m:t>del</m:t>
              </m:r>
            </m:sub>
          </m:sSub>
          <m:r>
            <m:t>  →  </m:t>
          </m:r>
          <m:sSub>
            <m:e>
              <m:r>
                <m:t>RH</m:t>
              </m:r>
            </m:e>
            <m:sub>
              <m:r>
                <m:t>del</m:t>
              </m:r>
            </m:sub>
          </m:sSub>
        </m:oMath>
      </m:oMathPara>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5.</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320" w:after="100"/>
        <w:jc w:val="left"/>
      </w:pPr>
      <w:r>
        <w:rPr>
          <w:rFonts w:ascii="Calibri" w:hAnsi="Calibri"/>
          <w:b/>
          <w:color w:val="1B365D"/>
          <w:sz w:val="20"/>
        </w:rPr>
        <w:t xml:space="preserve">Table 2: </w:t>
      </w:r>
      <w:r>
        <w:rPr>
          <w:rFonts w:ascii="Calibri" w:hAnsi="Calibri"/>
          <w:i/>
          <w:color w:val="2C3E50"/>
          <w:sz w:val="20"/>
        </w:rPr>
        <w:t>Technology Stack and Architecture Specifications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Layer</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Component</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Technology</w:t>
            </w:r>
          </w:p>
        </w:tc>
        <w:tc>
          <w:tcPr>
            <w:vAlign w:val="center"/>
            <w:tcW w:w="336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Source File(s)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Research Figure/Table</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Web Portal</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Next.js 14, React, Tailwind CSS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app/, components/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 Safety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TypeScript, global.d.ts</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global.d.ts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9.1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HTTP Server</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Express.js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backend/src/index.ts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Authentication</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JWT, Firebase Auth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backend/src/middleware/auth.ts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Rate Limiting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 rate-limit</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backend/src/middleware/rateLimit.ts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 Tracking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requestId middleware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backend/src/middleware/requestId.ts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Document Intelligence</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DocumentIntelligenceService</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backend/src/modules/documentIntelligence/documentIntelligence.service.ts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3</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OCR Processing</w:t>
            </w:r>
          </w:p>
        </w:tc>
        <w:tc>
          <w:tcPr>
            <w:vAlign w:val="center"/>
            <w:tcW w:w="168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Tesseract v5.0, PaddleOCR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backend/src/services/ocr/OCRService.ts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Orchestration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FailoverAIProvider</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backend/src/core/ai/failover.provider.ts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AI Provider (Primary)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Gemini 2.5 Flash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backend/src/core/ai/gemini.provider.ts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Provider (Fallback)</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OpenRouter (gpt-4o-mini)</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backend/src/core/ai/openrouter.provider.ts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 Write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CanonicalWriteService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backend/src/__tests__/canonicalWrite.service.test.ts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Data Access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Mongoose ODM</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backend/src/modules/documentIntelligence/documentIntelligence.repository.ts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File Storage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GridFSProvider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backend/src/storage/GridFSProvider.ts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Primary DB</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(UaipUpload, KnowledgeRecord, ReviewHistory)</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backend/src/models/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Cache/Queue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Redis</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backend/src/shared/services/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Containerization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Dockerfile</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Hosting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Firebase, Vercel</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firebase.json, next.config.mjs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Unit Tests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jest.config.cjs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Integration Tests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Jest + Supertest</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backend/src/__tests__/</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12.2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Monitoring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Error Tracking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Sentry</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sentry.server.config.ts, sentry.edge.config.ts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Sec. 10.1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Logging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Structured Logging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Winston/Pino</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backend/src/utils/logger.ts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Sec. 10.1</w:t>
            </w:r>
          </w:p>
        </w:tc>
      </w:tr>
    </w:tbl>
    <w:p>
      <w:pPr>
        <w:spacing w:before="60" w:after="280"/>
      </w:pPr>
      <w:r>
        <w:rPr>
          <w:rFonts w:ascii="Calibri" w:hAnsi="Calibri"/>
          <w:i/>
          <w:color w:val="555555"/>
          <w:sz w:val="17"/>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2):</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m:oMathPara>
        <m:oMath>
          <m:sSub>
            <m:e>
              <m:r>
                <m:t>Q</m:t>
              </m:r>
            </m:e>
            <m:sub>
              <m:r>
                <m:t>org</m:t>
              </m:r>
            </m:sub>
          </m:sSub>
          <m:r>
            <m:t> = </m:t>
          </m:r>
          <m:d>
            <m:dPr>
              <m:begChr m:val="{"/>
              <m:endChr m:val="}"/>
            </m:dPr>
            <m:e>
              <m:r>
                <m:t>doc  ∈  D  |  doc.organizationId = orgId  ∧  doc.status  ≠  DELETED</m:t>
              </m:r>
            </m:e>
          </m:d>
          <m:r>
            <m:t/>
          </m:r>
        </m:oMath>
      </m:oMathPara>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320" w:after="100"/>
        <w:jc w:val="left"/>
      </w:pPr>
      <w:r>
        <w:rPr>
          <w:rFonts w:ascii="Calibri" w:hAnsi="Calibri"/>
          <w:b/>
          <w:color w:val="1B365D"/>
          <w:sz w:val="20"/>
        </w:rPr>
        <w:t xml:space="preserve">Table 3: </w:t>
      </w:r>
      <w:r>
        <w:rPr>
          <w:rFonts w:ascii="Calibri" w:hAnsi="Calibri"/>
          <w:i/>
          <w:color w:val="2C3E50"/>
          <w:sz w:val="20"/>
        </w:rPr>
        <w:t>Synthetic Dataset Summary and Document Quality Profiles</w:t>
      </w:r>
    </w:p>
    <w:p>
      <w:pPr>
        <w:keepNext/>
        <w:spacing w:before="200" w:after="60"/>
      </w:pPr>
      <w:r>
        <w:rPr>
          <w:rFonts w:ascii="Calibri" w:hAnsi="Calibri"/>
          <w:b/>
          <w:i/>
          <w:color w:val="2C3E50"/>
          <w:sz w:val="19"/>
        </w:rPr>
        <w:t>Table 3. Dataset Summary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Attribute</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Dataset Name</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Academic Universe Synthetic Benchmark Dataset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Total Documents</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Generator 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1.1.0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Seed</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12345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Manifest Hash</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SHA256_aee13265b3e18437</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Created</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2026-07-29T08:42:44.155Z</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Disclaimer</w:t>
            </w:r>
          </w:p>
        </w:tc>
        <w:tc>
          <w:tcPr>
            <w:vAlign w:val="center"/>
            <w:tcW w:w="655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FOR RESEARCH BENCHMARKING ONLY. CONTAINS FICTIONAL INSTITUTIONS AND CONTENT.</w:t>
            </w:r>
          </w:p>
        </w:tc>
      </w:tr>
    </w:tbl>
    <w:p>
      <w:pPr>
        <w:keepNext/>
        <w:spacing w:before="200" w:after="60"/>
      </w:pPr>
      <w:r>
        <w:rPr>
          <w:rFonts w:ascii="Calibri" w:hAnsi="Calibri"/>
          <w:b/>
          <w:i/>
          <w:color w:val="2C3E50"/>
          <w:sz w:val="19"/>
        </w:rPr>
        <w:t>Document Inventory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Template</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Student Name</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Roll Number</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SGPA</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CGPA</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Issue Date</w:t>
            </w:r>
          </w:p>
        </w:tc>
        <w:tc>
          <w:tcPr>
            <w:vAlign w:val="center"/>
            <w:tcW w:w="84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Courses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Tanya Verma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2021329554</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8.00</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7.97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2023-04-20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Isha Sinha</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2023568771</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8.78</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8.33</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2026-01-10</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TEMPLATE_B</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Neha Mehta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2022451611</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7.33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7.84</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2025-05-19</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Komal Tripathi</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2023733459</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7.63</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8.20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2025-03-19</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TEMPLATE_A</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Utkarsh Saxena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2022995286</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7.53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8.10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2024-06-10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bl>
    <w:p>
      <w:pPr>
        <w:keepNext/>
        <w:spacing w:before="200" w:after="60"/>
      </w:pPr>
      <w:r>
        <w:rPr>
          <w:rFonts w:ascii="Calibri" w:hAnsi="Calibri"/>
          <w:b/>
          <w:i/>
          <w:color w:val="2C3E50"/>
          <w:sz w:val="19"/>
        </w:rPr>
        <w:t>Quality Profile Definitions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Profile</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Simulated Degradation</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Digital-born PDF with selectable text</w:t>
            </w:r>
          </w:p>
        </w:tc>
        <w:tc>
          <w:tcPr>
            <w:vAlign w:val="center"/>
            <w:tcW w:w="327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None</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Flatbed scanner output</w:t>
            </w:r>
          </w:p>
        </w:tc>
        <w:tc>
          <w:tcPr>
            <w:vAlign w:val="center"/>
            <w:tcW w:w="327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Minor noise, slight skew</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Smartphone photograph</w:t>
            </w:r>
          </w:p>
        </w:tc>
        <w:tc>
          <w:tcPr>
            <w:vAlign w:val="center"/>
            <w:tcW w:w="327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Blur, perspective distortion, lighting variation</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ROTATED</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Document scanned/page rotated 90 degrees</w:t>
            </w:r>
          </w:p>
        </w:tc>
        <w:tc>
          <w:tcPr>
            <w:vAlign w:val="center"/>
            <w:tcW w:w="327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Requires deskewing before OCR</w:t>
            </w:r>
          </w:p>
        </w:tc>
      </w:tr>
    </w:tbl>
    <w:p>
      <w:pPr>
        <w:keepNext/>
        <w:spacing w:before="200" w:after="60"/>
      </w:pPr>
      <w:r>
        <w:rPr>
          <w:rFonts w:ascii="Calibri" w:hAnsi="Calibri"/>
          <w:b/>
          <w:i/>
          <w:color w:val="2C3E50"/>
          <w:sz w:val="19"/>
        </w:rPr>
        <w:t>Category Distribution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Category</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Count</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Percentage</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CERTIFICATE</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TIMETABLE</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STUDENT_ID</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MARKSHEET</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40%</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6" name="Picture 6"/>
            <wp:cNvGraphicFramePr>
              <a:graphicFrameLocks noChangeAspect="1"/>
            </wp:cNvGraphicFramePr>
            <a:graphic>
              <a:graphicData uri="http://schemas.openxmlformats.org/drawingml/2006/picture">
                <pic:pic>
                  <pic:nvPicPr>
                    <pic:cNvPr id="0" name="fig8_benchmark_workflow.png"/>
                    <pic:cNvPicPr/>
                  </pic:nvPicPr>
                  <pic:blipFill>
                    <a:blip r:embed="rId14"/>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9: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m:oMath>
        <m:r>
          <m:t/>
        </m:r>
      </m:oMath>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m:oMath>
        <m:r>
          <m:t/>
        </m:r>
      </m:oMath>
    </w:p>
    <w:p>
      <w:pPr>
        <w:spacing w:before="40" w:after="120" w:line="276" w:lineRule="auto"/>
      </w:pPr>
      <w:r>
        <w:t>Field-level precision, recall, and F1-score are computed as:</w:t>
      </w:r>
    </w:p>
    <w:p>
      <w:pPr>
        <w:spacing w:before="160" w:after="160"/>
        <w:jc w:val="center"/>
      </w:pPr>
      <m:oMathPara>
        <m:oMath>
          <m:r>
            <m:t>P = </m:t>
          </m:r>
          <m:f>
            <m:num>
              <m:r>
                <m:t>TP</m:t>
              </m:r>
            </m:num>
            <m:den>
              <m:r>
                <m:t>TP + FP</m:t>
              </m:r>
            </m:den>
          </m:f>
          <m:r>
            <m:t>,      R = </m:t>
          </m:r>
          <m:f>
            <m:num>
              <m:r>
                <m:t>TP</m:t>
              </m:r>
            </m:num>
            <m:den>
              <m:r>
                <m:t>TP + FN</m:t>
              </m:r>
            </m:den>
          </m:f>
          <m:r>
            <m:t>,      F1 = </m:t>
          </m:r>
          <m:f>
            <m:num>
              <m:r>
                <m:t>2PR</m:t>
              </m:r>
            </m:num>
            <m:den>
              <m:r>
                <m:t>P + R</m:t>
              </m:r>
            </m:den>
          </m:f>
        </m:oMath>
      </m:oMathPara>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m:oMathPara>
        <m:oMath>
          <m:sSub>
            <m:e>
              <m:r>
                <m:t>T</m:t>
              </m:r>
            </m:e>
            <m:sub>
              <m:r>
                <m:t>total</m:t>
              </m:r>
            </m:sub>
          </m:sSub>
          <m:r>
            <m:t> = </m:t>
          </m:r>
          <m:sSub>
            <m:e>
              <m:r>
                <m:t>T</m:t>
              </m:r>
            </m:e>
            <m:sub>
              <m:r>
                <m:t>upload</m:t>
              </m:r>
            </m:sub>
          </m:sSub>
          <m:r>
            <m:t> + </m:t>
          </m:r>
          <m:sSub>
            <m:e>
              <m:r>
                <m:t>T</m:t>
              </m:r>
            </m:e>
            <m:sub>
              <m:r>
                <m:t>AI</m:t>
              </m:r>
            </m:sub>
          </m:sSub>
          <m:r>
            <m:t> + </m:t>
          </m:r>
          <m:sSub>
            <m:e>
              <m:r>
                <m:t>T</m:t>
              </m:r>
            </m:e>
            <m:sub>
              <m:r>
                <m:t>DB</m:t>
              </m:r>
            </m:sub>
          </m:sSub>
        </m:oMath>
      </m:oMathPara>
    </w:p>
    <w:p>
      <w:pPr>
        <w:spacing w:before="40" w:after="120" w:line="276" w:lineRule="auto"/>
      </w:pPr>
      <w:r>
        <w:t xml:space="preserve">where </w:t>
      </w:r>
      <m:oMath>
        <m:sSub>
          <m:e>
            <m:r>
              <m:t>T</m:t>
            </m:r>
          </m:e>
          <m:sub>
            <m:r>
              <m:t>upload</m:t>
            </m:r>
          </m:sub>
        </m:sSub>
      </m:oMath>
      <w:r>
        <w:t xml:space="preserve"> is the time from upload initiation to storage completion, </w:t>
      </w:r>
      <m:oMath>
        <m:sSub>
          <m:e>
            <m:r>
              <m:t>T</m:t>
            </m:r>
          </m:e>
          <m:sub>
            <m:r>
              <m:t>AI</m:t>
            </m:r>
          </m:sub>
        </m:sSub>
      </m:oMath>
      <w:r>
        <w:t xml:space="preserve"> is the AI inference time, and </w:t>
      </w:r>
      <m:oMath>
        <m:sSub>
          <m:e>
            <m:r>
              <m:t>T</m:t>
            </m:r>
          </m:e>
          <m:sub>
            <m:r>
              <m:t>DB</m:t>
            </m:r>
          </m:sub>
        </m:sSub>
      </m:oMath>
      <w:r>
        <w:t xml:space="preserve">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320" w:after="100"/>
        <w:jc w:val="left"/>
      </w:pPr>
      <w:r>
        <w:rPr>
          <w:rFonts w:ascii="Calibri" w:hAnsi="Calibri"/>
          <w:b/>
          <w:color w:val="1B365D"/>
          <w:sz w:val="20"/>
        </w:rPr>
        <w:t xml:space="preserve">Table 4: </w:t>
      </w:r>
      <w:r>
        <w:rPr>
          <w:rFonts w:ascii="Calibri" w:hAnsi="Calibri"/>
          <w:i/>
          <w:color w:val="2C3E50"/>
          <w:sz w:val="20"/>
        </w:rPr>
        <w:t>Evaluation Metrics Formal Definitions</w:t>
      </w:r>
    </w:p>
    <w:p>
      <w:pPr>
        <w:keepNext/>
        <w:spacing w:before="200" w:after="60"/>
      </w:pPr>
      <w:r>
        <w:rPr>
          <w:rFonts w:ascii="Calibri" w:hAnsi="Calibri"/>
          <w:b/>
          <w:i/>
          <w:color w:val="2C3E50"/>
          <w:sz w:val="19"/>
        </w:rPr>
        <w:t>Field-Level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True Positive (TP)</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correctly extracted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 extracted correctly matching ground truth value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False Positive (FP)</w:t>
            </w:r>
          </w:p>
        </w:tc>
        <w:tc>
          <w:tcPr>
            <w:vAlign w:val="center"/>
            <w:tcW w:w="355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Count of incorrectly extracted fields</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Field extracted but does not match ground truth (hallucination or misread)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False Negative (FN)</w:t>
            </w:r>
          </w:p>
        </w:tc>
        <w:tc>
          <w:tcPr>
            <w:vAlign w:val="center"/>
            <w:tcW w:w="355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Count of missed ground truth fields</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Ground truth field missing from extraction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Precision (P)</w:t>
            </w:r>
          </w:p>
        </w:tc>
        <w:tc>
          <w:tcPr>
            <w:vAlign w:val="center"/>
            <w:tcW w:w="3556" w:type="dxa"/>
            <w:tcMar>
              <w:top w:w="80" w:type="dxa"/>
              <w:bottom w:w="80" w:type="dxa"/>
              <w:left w:w="120" w:type="dxa"/>
              <w:right w:w="120" w:type="dxa"/>
            </w:tcMar>
          </w:tcPr>
          <w:p>
            <w:pPr>
              <w:spacing w:before="20" w:after="20" w:line="264" w:lineRule="auto"/>
              <w:keepLines/>
              <w:jc w:val="left"/>
            </w:pPr>
            <m:oMath>
              <m:r>
                <m:t>P = </m:t>
              </m:r>
              <m:f>
                <m:num>
                  <m:r>
                    <m:t>TP</m:t>
                  </m:r>
                </m:num>
                <m:den>
                  <m:r>
                    <m:t>TP + FP</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extracted fields that are correct</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Recall (R)</w:t>
            </w:r>
          </w:p>
        </w:tc>
        <w:tc>
          <w:tcPr>
            <w:vAlign w:val="center"/>
            <w:tcW w:w="3556" w:type="dxa"/>
            <w:tcMar>
              <w:top w:w="80" w:type="dxa"/>
              <w:bottom w:w="80" w:type="dxa"/>
              <w:left w:w="120" w:type="dxa"/>
              <w:right w:w="120" w:type="dxa"/>
            </w:tcMar>
          </w:tcPr>
          <w:p>
            <w:pPr>
              <w:spacing w:before="20" w:after="20" w:line="264" w:lineRule="auto"/>
              <w:keepLines/>
              <w:jc w:val="left"/>
            </w:pPr>
            <m:oMath>
              <m:r>
                <m:t>R = </m:t>
              </m:r>
              <m:f>
                <m:num>
                  <m:r>
                    <m:t>TP</m:t>
                  </m:r>
                </m:num>
                <m:den>
                  <m:r>
                    <m:t>TP + FN</m:t>
                  </m:r>
                </m:den>
              </m:f>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Proportion of ground truth fields successfully extracted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F1-Score (F1)</w:t>
            </w:r>
          </w:p>
        </w:tc>
        <w:tc>
          <w:tcPr>
            <w:vAlign w:val="center"/>
            <w:tcW w:w="3556" w:type="dxa"/>
            <w:tcMar>
              <w:top w:w="80" w:type="dxa"/>
              <w:bottom w:w="80" w:type="dxa"/>
              <w:left w:w="120" w:type="dxa"/>
              <w:right w:w="120" w:type="dxa"/>
            </w:tcMar>
          </w:tcPr>
          <w:p>
            <w:pPr>
              <w:spacing w:before="20" w:after="20" w:line="264" w:lineRule="auto"/>
              <w:keepLines/>
              <w:jc w:val="left"/>
            </w:pPr>
            <m:oMath>
              <m:r>
                <m:t>F1 = </m:t>
              </m:r>
              <m:f>
                <m:num>
                  <m:r>
                    <m:t>2  ·  P  ·  R</m:t>
                  </m:r>
                </m:num>
                <m:den>
                  <m:r>
                    <m:t>P + R</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Harmonic mean of precision and recall</w:t>
            </w:r>
          </w:p>
        </w:tc>
      </w:tr>
    </w:tbl>
    <w:p>
      <w:pPr>
        <w:keepNext/>
        <w:spacing w:before="200" w:after="60"/>
      </w:pPr>
      <w:r>
        <w:rPr>
          <w:rFonts w:ascii="Calibri" w:hAnsi="Calibri"/>
          <w:b/>
          <w:i/>
          <w:color w:val="2C3E50"/>
          <w:sz w:val="19"/>
        </w:rPr>
        <w:t>Latency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Upload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upload</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from upload initiation to storage completion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AI Inference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AI</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Time from prompt submission to AI response receipt (ms)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DB Staging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DB</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to persist candidate fields to KnowledgeRecord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Total Pipeline Latency</w:t>
            </w:r>
          </w:p>
        </w:tc>
        <w:tc>
          <w:tcPr>
            <w:vAlign w:val="center"/>
            <w:tcW w:w="3556" w:type="dxa"/>
            <w:tcMar>
              <w:top w:w="80" w:type="dxa"/>
              <w:bottom w:w="80" w:type="dxa"/>
              <w:left w:w="120" w:type="dxa"/>
              <w:right w:w="120" w:type="dxa"/>
            </w:tcMar>
          </w:tcPr>
          <w:p>
            <w:pPr>
              <w:spacing w:before="20" w:after="20" w:line="264" w:lineRule="auto"/>
              <w:keepLines/>
              <w:jc w:val="left"/>
            </w:pPr>
            <m:oMath>
              <m:r>
                <m:t>T = </m:t>
              </m:r>
              <m:sSub>
                <m:e>
                  <m:r>
                    <m:t>t</m:t>
                  </m:r>
                </m:e>
                <m:sub>
                  <m:r>
                    <m:t>upload</m:t>
                  </m:r>
                </m:sub>
              </m:sSub>
              <m:r>
                <m:t> + </m:t>
              </m:r>
              <m:sSub>
                <m:e>
                  <m:r>
                    <m:t>t</m:t>
                  </m:r>
                </m:e>
                <m:sub>
                  <m:r>
                    <m:t>AI</m:t>
                  </m:r>
                </m:sub>
              </m:sSub>
              <m:r>
                <m:t> + </m:t>
              </m:r>
              <m:sSub>
                <m:e>
                  <m:r>
                    <m:t>t</m:t>
                  </m:r>
                </m:e>
                <m:sub>
                  <m:r>
                    <m:t>DB</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pipeline latency (ms)</w:t>
            </w:r>
          </w:p>
        </w:tc>
      </w:tr>
    </w:tbl>
    <w:p>
      <w:pPr>
        <w:keepNext/>
        <w:spacing w:before="200" w:after="60"/>
      </w:pPr>
      <w:r>
        <w:rPr>
          <w:rFonts w:ascii="Calibri" w:hAnsi="Calibri"/>
          <w:b/>
          <w:i/>
          <w:color w:val="2C3E50"/>
          <w:sz w:val="19"/>
        </w:rPr>
        <w:t>Document-Level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Success</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Pipeline completed without system error (1 = Success, 0 = Failure)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Fallback Triggered</w:t>
            </w:r>
          </w:p>
        </w:tc>
        <w:tc>
          <w:tcPr>
            <w:vAlign w:val="center"/>
            <w:tcW w:w="3556" w:type="dxa"/>
            <w:tcMar>
              <w:top w:w="80" w:type="dxa"/>
              <w:bottom w:w="80" w:type="dxa"/>
              <w:left w:w="120" w:type="dxa"/>
              <w:right w:w="120" w:type="dxa"/>
            </w:tcMar>
          </w:tcPr>
          <w:p>
            <w:pPr>
              <w:spacing w:before="20" w:after="20" w:line="264" w:lineRule="auto"/>
              <w:keepLines/>
              <w:jc w:val="left"/>
            </w:pPr>
            <w:r>
              <w:rPr>
                <w:rFonts w:ascii="Calibri" w:hAnsi="Calibri"/>
                <w:color w:val="222222"/>
                <w:sz w:val="19"/>
              </w:rPr>
              <w:t xml:space="preserve">Boolean </w:t>
            </w:r>
            <m:oMath>
              <m:r>
                <m:t> ∈  </m:t>
              </m:r>
              <m:d>
                <m:dPr>
                  <m:begChr m:val="{"/>
                  <m:endChr m:val="}"/>
                </m:dPr>
                <m:e>
                  <m:r>
                    <m:t>0, 1</m:t>
                  </m:r>
                </m:e>
              </m:d>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Primary AI provider failed, fallback provider used (1 = Yes, 0 = 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HITL Review Duration</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review</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reviewer spent on document (seconds)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Fields Corrected</w:t>
            </w:r>
          </w:p>
        </w:tc>
        <w:tc>
          <w:tcPr>
            <w:vAlign w:val="center"/>
            <w:tcW w:w="3556" w:type="dxa"/>
            <w:tcMar>
              <w:top w:w="80" w:type="dxa"/>
              <w:bottom w:w="80" w:type="dxa"/>
              <w:left w:w="120" w:type="dxa"/>
              <w:right w:w="120" w:type="dxa"/>
            </w:tcMar>
          </w:tcPr>
          <w:p>
            <w:pPr>
              <w:spacing w:before="20" w:after="20" w:line="264" w:lineRule="auto"/>
              <w:keepLines/>
              <w:jc w:val="left"/>
            </w:pPr>
            <m:oMath>
              <m:sSub>
                <m:e>
                  <m:r>
                    <m:t>n</m:t>
                  </m:r>
                </m:e>
                <m:sub>
                  <m:r>
                    <m:t>corr</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Number of fields modified during HITL review</w:t>
            </w:r>
          </w:p>
        </w:tc>
      </w:tr>
    </w:tbl>
    <w:p>
      <w:pPr>
        <w:keepNext/>
        <w:spacing w:before="200" w:after="60"/>
      </w:pPr>
      <w:r>
        <w:rPr>
          <w:rFonts w:ascii="Calibri" w:hAnsi="Calibri"/>
          <w:b/>
          <w:i/>
          <w:color w:val="2C3E50"/>
          <w:sz w:val="19"/>
        </w:rPr>
        <w:t>System-Level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Definition / 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TP</w:t>
            </w:r>
          </w:p>
        </w:tc>
        <w:tc>
          <w:tcPr>
            <w:vAlign w:val="center"/>
            <w:tcW w:w="3556" w:type="dxa"/>
            <w:tcMar>
              <w:top w:w="80" w:type="dxa"/>
              <w:bottom w:w="80" w:type="dxa"/>
              <w:left w:w="120" w:type="dxa"/>
              <w:right w:w="120" w:type="dxa"/>
            </w:tcMar>
          </w:tcPr>
          <w:p>
            <w:pPr>
              <w:spacing w:before="20" w:after="20" w:line="264" w:lineRule="auto"/>
              <w:keepLines/>
              <w:jc w:val="left"/>
            </w:pPr>
            <m:oMath>
              <m:sSub>
                <m:e>
                  <m:r>
                    <m:t>TP</m:t>
                  </m:r>
                </m:e>
                <m:sub>
                  <m:r>
                    <m:t>agg</m:t>
                  </m:r>
                </m:sub>
              </m:sSub>
              <m:r>
                <m:t> = </m:t>
              </m:r>
              <m:nary>
                <m:naryPr>
                  <m:chr m:val="∑"/>
                  <m:limLoc m:val="undOvr"/>
                </m:naryPr>
                <m:sub>
                  <m:r>
                    <m:t>i=1</m:t>
                  </m:r>
                </m:sub>
                <m:sup>
                  <m:r>
                    <m:t>N</m:t>
                  </m:r>
                </m:sup>
                <m:e>
                  <m:sSub>
                    <m:e>
                      <m:r>
                        <m:t>TP</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true positives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FP</w:t>
            </w:r>
          </w:p>
        </w:tc>
        <w:tc>
          <w:tcPr>
            <w:vAlign w:val="center"/>
            <w:tcW w:w="3556" w:type="dxa"/>
            <w:tcMar>
              <w:top w:w="80" w:type="dxa"/>
              <w:bottom w:w="80" w:type="dxa"/>
              <w:left w:w="120" w:type="dxa"/>
              <w:right w:w="120" w:type="dxa"/>
            </w:tcMar>
          </w:tcPr>
          <w:p>
            <w:pPr>
              <w:spacing w:before="20" w:after="20" w:line="264" w:lineRule="auto"/>
              <w:keepLines/>
              <w:jc w:val="left"/>
            </w:pPr>
            <m:oMath>
              <m:sSub>
                <m:e>
                  <m:r>
                    <m:t>FP</m:t>
                  </m:r>
                </m:e>
                <m:sub>
                  <m:r>
                    <m:t>agg</m:t>
                  </m:r>
                </m:sub>
              </m:sSub>
              <m:r>
                <m:t> = </m:t>
              </m:r>
              <m:nary>
                <m:naryPr>
                  <m:chr m:val="∑"/>
                  <m:limLoc m:val="undOvr"/>
                </m:naryPr>
                <m:sub>
                  <m:r>
                    <m:t>i=1</m:t>
                  </m:r>
                </m:sub>
                <m:sup>
                  <m:r>
                    <m:t>N</m:t>
                  </m:r>
                </m:sup>
                <m:e>
                  <m:sSub>
                    <m:e>
                      <m:r>
                        <m:t>FP</m:t>
                      </m:r>
                    </m:e>
                    <m:sub>
                      <m:r>
                        <m:t>i</m:t>
                      </m:r>
                    </m:sub>
                  </m:sSub>
                </m:e>
              </m:nary>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Total false positives across all documents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FN</w:t>
            </w:r>
          </w:p>
        </w:tc>
        <w:tc>
          <w:tcPr>
            <w:vAlign w:val="center"/>
            <w:tcW w:w="3556" w:type="dxa"/>
            <w:tcMar>
              <w:top w:w="80" w:type="dxa"/>
              <w:bottom w:w="80" w:type="dxa"/>
              <w:left w:w="120" w:type="dxa"/>
              <w:right w:w="120" w:type="dxa"/>
            </w:tcMar>
          </w:tcPr>
          <w:p>
            <w:pPr>
              <w:spacing w:before="20" w:after="20" w:line="264" w:lineRule="auto"/>
              <w:keepLines/>
              <w:jc w:val="left"/>
            </w:pPr>
            <m:oMath>
              <m:sSub>
                <m:e>
                  <m:r>
                    <m:t>FN</m:t>
                  </m:r>
                </m:e>
                <m:sub>
                  <m:r>
                    <m:t>agg</m:t>
                  </m:r>
                </m:sub>
              </m:sSub>
              <m:r>
                <m:t> = </m:t>
              </m:r>
              <m:nary>
                <m:naryPr>
                  <m:chr m:val="∑"/>
                  <m:limLoc m:val="undOvr"/>
                </m:naryPr>
                <m:sub>
                  <m:r>
                    <m:t>i=1</m:t>
                  </m:r>
                </m:sub>
                <m:sup>
                  <m:r>
                    <m:t>N</m:t>
                  </m:r>
                </m:sup>
                <m:e>
                  <m:sSub>
                    <m:e>
                      <m:r>
                        <m:t>FN</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false negatives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Precision</w:t>
            </w:r>
          </w:p>
        </w:tc>
        <w:tc>
          <w:tcPr>
            <w:vAlign w:val="center"/>
            <w:tcW w:w="3556" w:type="dxa"/>
            <w:tcMar>
              <w:top w:w="80" w:type="dxa"/>
              <w:bottom w:w="80" w:type="dxa"/>
              <w:left w:w="120" w:type="dxa"/>
              <w:right w:w="120" w:type="dxa"/>
            </w:tcMar>
          </w:tcPr>
          <w:p>
            <w:pPr>
              <w:spacing w:before="20" w:after="20" w:line="264" w:lineRule="auto"/>
              <w:keepLines/>
              <w:jc w:val="left"/>
            </w:pPr>
            <m:oMath>
              <m:sSub>
                <m:e>
                  <m:r>
                    <m:t>P</m:t>
                  </m:r>
                </m:e>
                <m:sub>
                  <m:r>
                    <m:t>agg</m:t>
                  </m:r>
                </m:sub>
              </m:sSub>
              <m:r>
                <m:t> = \frac{</m:t>
              </m:r>
              <m:sSub>
                <m:e>
                  <m:r>
                    <m:t>TP</m:t>
                  </m:r>
                </m:e>
                <m:sub>
                  <m:r>
                    <m:t>agg</m:t>
                  </m:r>
                </m:sub>
              </m:sSub>
              <m:r>
                <m:t>}{</m:t>
              </m:r>
              <m:sSub>
                <m:e>
                  <m:r>
                    <m:t>TP</m:t>
                  </m:r>
                </m:e>
                <m:sub>
                  <m:r>
                    <m:t>agg</m:t>
                  </m:r>
                </m:sub>
              </m:sSub>
              <m:r>
                <m:t> + </m:t>
              </m:r>
              <m:sSub>
                <m:e>
                  <m:r>
                    <m:t>FP</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precision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Recall</w:t>
            </w:r>
          </w:p>
        </w:tc>
        <w:tc>
          <w:tcPr>
            <w:vAlign w:val="center"/>
            <w:tcW w:w="3556" w:type="dxa"/>
            <w:tcMar>
              <w:top w:w="80" w:type="dxa"/>
              <w:bottom w:w="80" w:type="dxa"/>
              <w:left w:w="120" w:type="dxa"/>
              <w:right w:w="120" w:type="dxa"/>
            </w:tcMar>
          </w:tcPr>
          <w:p>
            <w:pPr>
              <w:spacing w:before="20" w:after="20" w:line="264" w:lineRule="auto"/>
              <w:keepLines/>
              <w:jc w:val="left"/>
            </w:pPr>
            <m:oMath>
              <m:sSub>
                <m:e>
                  <m:r>
                    <m:t>R</m:t>
                  </m:r>
                </m:e>
                <m:sub>
                  <m:r>
                    <m:t>agg</m:t>
                  </m:r>
                </m:sub>
              </m:sSub>
              <m:r>
                <m:t> = \frac{</m:t>
              </m:r>
              <m:sSub>
                <m:e>
                  <m:r>
                    <m:t>TP</m:t>
                  </m:r>
                </m:e>
                <m:sub>
                  <m:r>
                    <m:t>agg</m:t>
                  </m:r>
                </m:sub>
              </m:sSub>
              <m:r>
                <m:t>}{</m:t>
              </m:r>
              <m:sSub>
                <m:e>
                  <m:r>
                    <m:t>TP</m:t>
                  </m:r>
                </m:e>
                <m:sub>
                  <m:r>
                    <m:t>agg</m:t>
                  </m:r>
                </m:sub>
              </m:sSub>
              <m:r>
                <m:t> + </m:t>
              </m:r>
              <m:sSub>
                <m:e>
                  <m:r>
                    <m:t>FN</m:t>
                  </m:r>
                </m:e>
                <m:sub>
                  <m:r>
                    <m:t>agg</m:t>
                  </m:r>
                </m:sub>
              </m:sSub>
              <m:r>
                <m:t>}</m:t>
              </m:r>
            </m:oMath>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System-wide recall</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F1</w:t>
            </w:r>
          </w:p>
        </w:tc>
        <w:tc>
          <w:tcPr>
            <w:vAlign w:val="center"/>
            <w:tcW w:w="3556" w:type="dxa"/>
            <w:tcMar>
              <w:top w:w="80" w:type="dxa"/>
              <w:bottom w:w="80" w:type="dxa"/>
              <w:left w:w="120" w:type="dxa"/>
              <w:right w:w="120" w:type="dxa"/>
            </w:tcMar>
          </w:tcPr>
          <w:p>
            <w:pPr>
              <w:spacing w:before="20" w:after="20" w:line="264" w:lineRule="auto"/>
              <w:keepLines/>
              <w:jc w:val="left"/>
            </w:pPr>
            <m:oMath>
              <m:sSub>
                <m:e>
                  <m:r>
                    <m:t>F1</m:t>
                  </m:r>
                </m:e>
                <m:sub>
                  <m:r>
                    <m:t>agg</m:t>
                  </m:r>
                </m:sub>
              </m:sSub>
              <m:r>
                <m:t> = \frac{2  ·  </m:t>
              </m:r>
              <m:sSub>
                <m:e>
                  <m:r>
                    <m:t>P</m:t>
                  </m:r>
                </m:e>
                <m:sub>
                  <m:r>
                    <m:t>agg</m:t>
                  </m:r>
                </m:sub>
              </m:sSub>
              <m:r>
                <m:t>  ·  </m:t>
              </m:r>
              <m:sSub>
                <m:e>
                  <m:r>
                    <m:t>R</m:t>
                  </m:r>
                </m:e>
                <m:sub>
                  <m:r>
                    <m:t>agg</m:t>
                  </m:r>
                </m:sub>
              </m:sSub>
              <m:r>
                <m:t>}{</m:t>
              </m:r>
              <m:sSub>
                <m:e>
                  <m:r>
                    <m:t>P</m:t>
                  </m:r>
                </m:e>
                <m:sub>
                  <m:r>
                    <m:t>agg</m:t>
                  </m:r>
                </m:sub>
              </m:sSub>
              <m:r>
                <m:t> + </m:t>
              </m:r>
              <m:sSub>
                <m:e>
                  <m:r>
                    <m:t>R</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F1-score</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Mean Latency</w:t>
            </w:r>
          </w:p>
        </w:tc>
        <w:tc>
          <w:tcPr>
            <w:vAlign w:val="center"/>
            <w:tcW w:w="3556" w:type="dxa"/>
            <w:tcMar>
              <w:top w:w="80" w:type="dxa"/>
              <w:bottom w:w="80" w:type="dxa"/>
              <w:left w:w="120" w:type="dxa"/>
              <w:right w:w="120" w:type="dxa"/>
            </w:tcMar>
          </w:tcPr>
          <w:p>
            <w:pPr>
              <w:spacing w:before="20" w:after="20" w:line="264" w:lineRule="auto"/>
              <w:keepLines/>
              <w:jc w:val="left"/>
            </w:pPr>
            <m:oMath>
              <m:r>
                <m:t>\bar{T} = </m:t>
              </m:r>
              <m:f>
                <m:num>
                  <m:r>
                    <m:t>1</m:t>
                  </m:r>
                </m:num>
                <m:den>
                  <m:r>
                    <m:t>N</m:t>
                  </m:r>
                </m:den>
              </m:f>
              <m:r>
                <m:t> \</m:t>
              </m:r>
              <m:sSub>
                <m:e>
                  <m:r>
                    <m:t>sum</m:t>
                  </m:r>
                </m:e>
                <m:sub>
                  <m:r>
                    <m:t>i=1</m:t>
                  </m:r>
                </m:sub>
              </m:sSub>
              <m:r>
                <m:t>^{N} </m:t>
              </m:r>
              <m:sSub>
                <m:e>
                  <m:r>
                    <m:t>T</m:t>
                  </m:r>
                </m:e>
                <m:sub>
                  <m:r>
                    <m:t>i</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Average total pipeline latency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Success Rate</w:t>
            </w:r>
          </w:p>
        </w:tc>
        <w:tc>
          <w:tcPr>
            <w:vAlign w:val="center"/>
            <w:tcW w:w="3556" w:type="dxa"/>
            <w:tcMar>
              <w:top w:w="80" w:type="dxa"/>
              <w:bottom w:w="80" w:type="dxa"/>
              <w:left w:w="120" w:type="dxa"/>
              <w:right w:w="120" w:type="dxa"/>
            </w:tcMar>
          </w:tcPr>
          <w:p>
            <w:pPr>
              <w:spacing w:before="20" w:after="20" w:line="264" w:lineRule="auto"/>
              <w:keepLines/>
              <w:jc w:val="left"/>
            </w:pPr>
            <m:oMath>
              <m:r>
                <m:t>SR = \frac{</m:t>
              </m:r>
              <m:sSub>
                <m:e>
                  <m:r>
                    <m:t>N</m:t>
                  </m:r>
                </m:e>
                <m:sub>
                  <m:r>
                    <m:t>success</m:t>
                  </m:r>
                </m:sub>
              </m:sSub>
              <m:r>
                <m:t>}{</m:t>
              </m:r>
              <m:sSub>
                <m:e>
                  <m:r>
                    <m:t>N</m:t>
                  </m:r>
                </m:e>
                <m:sub>
                  <m:r>
                    <m:t>total</m:t>
                  </m:r>
                </m:sub>
              </m:sSub>
              <m:r>
                <m:t>}</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successful extractions</w:t>
            </w:r>
          </w:p>
        </w:tc>
      </w:tr>
    </w:tbl>
    <w:p>
      <w:pPr>
        <w:keepNext/>
        <w:spacing w:before="200" w:after="60"/>
      </w:pPr>
      <w:r>
        <w:rPr>
          <w:rFonts w:ascii="Calibri" w:hAnsi="Calibri"/>
          <w:b/>
          <w:i/>
          <w:color w:val="2C3E50"/>
          <w:sz w:val="19"/>
        </w:rPr>
        <w:t>Statistical Analysis Notation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Notation</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Meaning</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μ</m:t>
              </m:r>
            </m:oMath>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Mean value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σ</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Standard deviation</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p</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p-value from statistical test</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d</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Cohen's d effect size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W</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Wilcoxon signed-rank statistic</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m:oMathPara>
        <m:oMath>
          <m:sSub>
            <m:e>
              <m:r>
                <m:t>TP</m:t>
              </m:r>
            </m:e>
            <m:sub>
              <m:r>
                <m:t>agg</m:t>
              </m:r>
            </m:sub>
          </m:sSub>
          <m:r>
            <m:t> = </m:t>
          </m:r>
          <m:nary>
            <m:naryPr>
              <m:chr m:val="∑"/>
              <m:limLoc m:val="undOvr"/>
            </m:naryPr>
            <m:sub>
              <m:r>
                <m:t>i=1</m:t>
              </m:r>
            </m:sub>
            <m:sup>
              <m:r>
                <m:t>N</m:t>
              </m:r>
            </m:sup>
            <m:e>
              <m:sSub>
                <m:e>
                  <m:r>
                    <m:t>TP</m:t>
                  </m:r>
                </m:e>
                <m:sub>
                  <m:r>
                    <m:t>i</m:t>
                  </m:r>
                </m:sub>
              </m:sSub>
            </m:e>
          </m:nary>
          <m:r>
            <m:t>,      </m:t>
          </m:r>
          <m:sSub>
            <m:e>
              <m:r>
                <m:t>FP</m:t>
              </m:r>
            </m:e>
            <m:sub>
              <m:r>
                <m:t>agg</m:t>
              </m:r>
            </m:sub>
          </m:sSub>
          <m:r>
            <m:t> = \</m:t>
          </m:r>
          <m:sSub>
            <m:e>
              <m:r>
                <m:t>sum</m:t>
              </m:r>
            </m:e>
            <m:sub>
              <m:r>
                <m:t>i=1</m:t>
              </m:r>
            </m:sub>
          </m:sSub>
          <m:r>
            <m:t>^{N} </m:t>
          </m:r>
          <m:sSub>
            <m:e>
              <m:r>
                <m:t>FP</m:t>
              </m:r>
            </m:e>
            <m:sub>
              <m:r>
                <m:t>i</m:t>
              </m:r>
            </m:sub>
          </m:sSub>
          <m:r>
            <m:t>,      </m:t>
          </m:r>
          <m:sSub>
            <m:e>
              <m:r>
                <m:t>FN</m:t>
              </m:r>
            </m:e>
            <m:sub>
              <m:r>
                <m:t>agg</m:t>
              </m:r>
            </m:sub>
          </m:sSub>
          <m:r>
            <m:t> = \</m:t>
          </m:r>
          <m:sSub>
            <m:e>
              <m:r>
                <m:t>sum</m:t>
              </m:r>
            </m:e>
            <m:sub>
              <m:r>
                <m:t>i=1</m:t>
              </m:r>
            </m:sub>
          </m:sSub>
          <m:r>
            <m:t>^{N} </m:t>
          </m:r>
          <m:sSub>
            <m:e>
              <m:r>
                <m:t>FN</m:t>
              </m:r>
            </m:e>
            <m:sub>
              <m:r>
                <m:t>i</m:t>
              </m:r>
            </m:sub>
          </m:sSub>
        </m:oMath>
      </m:oMathPara>
    </w:p>
    <w:p>
      <w:pPr>
        <w:spacing w:before="40" w:after="120" w:line="276" w:lineRule="auto"/>
      </w:pPr>
      <w:r>
        <w:t xml:space="preserve">Aggregate precision, recall, and F1 are computed from these totals. Mean latency is the arithmetic mean of </w:t>
      </w:r>
      <m:oMath>
        <m:sSub>
          <m:e>
            <m:r>
              <m:t>T</m:t>
            </m:r>
          </m:e>
          <m:sub>
            <m:r>
              <m:t>total</m:t>
            </m:r>
          </m:sub>
        </m:sSub>
      </m:oMath>
      <w:r>
        <w:t xml:space="preserve">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320" w:after="100"/>
        <w:jc w:val="left"/>
      </w:pPr>
      <w:r>
        <w:rPr>
          <w:rFonts w:ascii="Calibri" w:hAnsi="Calibri"/>
          <w:b/>
          <w:color w:val="1B365D"/>
          <w:sz w:val="20"/>
        </w:rPr>
        <w:t xml:space="preserve">Table 6: </w:t>
      </w:r>
      <w:r>
        <w:rPr>
          <w:rFonts w:ascii="Calibri" w:hAnsi="Calibri"/>
          <w:i/>
          <w:color w:val="2C3E50"/>
          <w:sz w:val="20"/>
        </w:rPr>
        <w:t>System-Level Aggregate Performance (EXP-VAL-20260729)</w:t>
      </w:r>
    </w:p>
    <w:p>
      <w:pPr>
        <w:keepNext/>
        <w:spacing w:before="200" w:after="60"/>
      </w:pPr>
      <w:r>
        <w:rPr>
          <w:rFonts w:ascii="Calibri" w:hAnsi="Calibri"/>
          <w:b/>
          <w:i/>
          <w:color w:val="2C3E50"/>
          <w:sz w:val="19"/>
        </w:rPr>
        <w:t>Table 6.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System</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 Evaluated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Extracted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Mean Latency (ms)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 Count</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HITL Review (s)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Corrections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 Rate</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0.886</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0.939</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1,228</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SYS-BASE-2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34</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0.971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0.986</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0.914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0.955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2,402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SYS-PROP</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2,773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bl>
    <w:p>
      <w:pPr>
        <w:keepNext/>
        <w:spacing w:before="200" w:after="60"/>
      </w:pPr>
      <w:r>
        <w:rPr>
          <w:rFonts w:ascii="Calibri" w:hAnsi="Calibri"/>
          <w:b/>
          <w:i/>
          <w:color w:val="2C3E50"/>
          <w:sz w:val="19"/>
        </w:rPr>
        <w:t>Latency Breakdown (Mean per System)</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System</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Upload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AI Inference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DB Staging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Total (ms)</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SYS-BASE-1</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1,056</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1,228</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SYS-BASE-2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1,850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2,073</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SYS-BASE-3</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2,160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2,402</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SYS-PROP</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2,510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141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2,773</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5_accuracy_compariso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Field Extraction Precision Comparison Across Evaluation Systems per Synthetic Document.</w:t>
      </w:r>
    </w:p>
    <w:p>
      <w:pPr>
        <w:spacing w:before="40" w:after="120" w:line="276" w:lineRule="auto"/>
      </w:pPr>
      <w:r>
        <w:t>Fig. 6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fig6_latency_breakdown.png"/>
                    <pic:cNvPicPr/>
                  </pic:nvPicPr>
                  <pic:blipFill>
                    <a:blip r:embed="rId16"/>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7: Mean Latency Decomposition (Upload, AI Inference, DB Staging) per System.</w:t>
      </w:r>
    </w:p>
    <w:p>
      <w:pPr>
        <w:spacing w:before="40" w:after="120" w:line="276" w:lineRule="auto"/>
      </w:pPr>
      <w:r>
        <w:t>Fig. 7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320" w:after="100"/>
        <w:jc w:val="left"/>
      </w:pPr>
      <w:r>
        <w:rPr>
          <w:rFonts w:ascii="Calibri" w:hAnsi="Calibri"/>
          <w:b/>
          <w:color w:val="1B365D"/>
          <w:sz w:val="20"/>
        </w:rPr>
        <w:t xml:space="preserve">Table 7: </w:t>
      </w:r>
      <w:r>
        <w:rPr>
          <w:rFonts w:ascii="Calibri" w:hAnsi="Calibri"/>
          <w:i/>
          <w:color w:val="2C3E50"/>
          <w:sz w:val="20"/>
        </w:rPr>
        <w:t>Category Breakdown and Quality Profile Impact (SYS-PROP Only)</w:t>
      </w:r>
    </w:p>
    <w:p>
      <w:pPr>
        <w:keepNext/>
        <w:spacing w:before="200" w:after="60"/>
      </w:pPr>
      <w:r>
        <w:rPr>
          <w:rFonts w:ascii="Calibri" w:hAnsi="Calibri"/>
          <w:b/>
          <w:i/>
          <w:color w:val="2C3E50"/>
          <w:sz w:val="19"/>
        </w:rPr>
        <w:t>Category-Level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040"/>
        <w:gridCol w:w="1040"/>
        <w:gridCol w:w="1040"/>
        <w:gridCol w:w="1040"/>
        <w:gridCol w:w="1040"/>
        <w:gridCol w:w="1040"/>
        <w:gridCol w:w="1040"/>
        <w:gridCol w:w="1040"/>
        <w:gridCol w:w="1040"/>
      </w:tblGrid>
      <w:tr>
        <w:trPr>
          <w:cantSplit/>
          <w:tblHeader/>
        </w:trPr>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Latency (ms)</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14</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2,800</w:t>
            </w:r>
          </w:p>
        </w:tc>
      </w:tr>
    </w:tbl>
    <w:p>
      <w:pPr>
        <w:keepNext/>
        <w:spacing w:before="200" w:after="60"/>
      </w:pPr>
      <w:r>
        <w:rPr>
          <w:rFonts w:ascii="Calibri" w:hAnsi="Calibri"/>
          <w:b/>
          <w:i/>
          <w:color w:val="2C3E50"/>
          <w:sz w:val="19"/>
        </w:rPr>
        <w:t>Quality Profile Impact on SYS-PROP</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560"/>
        <w:gridCol w:w="1560"/>
        <w:gridCol w:w="1560"/>
        <w:gridCol w:w="1560"/>
        <w:gridCol w:w="1560"/>
        <w:gridCol w:w="1560"/>
      </w:tblGrid>
      <w:tr>
        <w:trPr>
          <w:cantSplit/>
          <w:tblHeader/>
        </w:trPr>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Document ID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F1-Score</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Fallback Triggered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HITL Review (s)</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Fields Corrected</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SYNTH_CERT_001</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SYNTH_TT_002</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8</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SYNTH_ID_003</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SYNTH_MS_004</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3</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SYNTH_MS_005</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7</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bl>
    <w:p>
      <w:pPr>
        <w:keepNext/>
        <w:spacing w:before="200" w:after="60"/>
      </w:pPr>
      <w:r>
        <w:rPr>
          <w:rFonts w:ascii="Calibri" w:hAnsi="Calibri"/>
          <w:b/>
          <w:i/>
          <w:color w:val="2C3E50"/>
          <w:sz w:val="19"/>
        </w:rPr>
        <w:t>HITL Impact Analysis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421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51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Documents requiring HITL review</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5 of 5 (100%)</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review time</w:t>
            </w:r>
          </w:p>
        </w:tc>
        <w:tc>
          <w:tcPr>
            <w:vAlign w:val="center"/>
            <w:tcW w:w="51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35 seconds</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Mean review time per document</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7.0 seconds</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fields corrected</w:t>
            </w:r>
          </w:p>
        </w:tc>
        <w:tc>
          <w:tcPr>
            <w:vAlign w:val="center"/>
            <w:tcW w:w="51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Fields corrected per reviewed doc</w:t>
            </w:r>
          </w:p>
        </w:tc>
        <w:tc>
          <w:tcPr>
            <w:vAlign w:val="center"/>
            <w:tcW w:w="51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0.4</w:t>
            </w:r>
          </w:p>
        </w:tc>
      </w:tr>
      <w:tr>
        <w:trPr>
          <w:cantSplit/>
        </w:trPr>
        <w:tc>
          <w:tcPr>
            <w:vAlign w:val="center"/>
            <w:tcW w:w="421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Fallback-to-HITL correlation</w:t>
            </w:r>
          </w:p>
        </w:tc>
        <w:tc>
          <w:tcPr>
            <w:vAlign w:val="center"/>
            <w:tcW w:w="514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100% (3 of 3 fallback docs reviewed)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9" name="Picture 9"/>
            <wp:cNvGraphicFramePr>
              <a:graphicFrameLocks noChangeAspect="1"/>
            </wp:cNvGraphicFramePr>
            <a:graphic>
              <a:graphicData uri="http://schemas.openxmlformats.org/drawingml/2006/picture">
                <pic:pic>
                  <pic:nvPicPr>
                    <pic:cNvPr id="0" name="fig3_hitl_review.png"/>
                    <pic:cNvPicPr/>
                  </pic:nvPicPr>
                  <pic:blipFill>
                    <a:blip r:embed="rId17"/>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4: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4)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5)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320" w:after="100"/>
        <w:jc w:val="left"/>
      </w:pPr>
      <w:r>
        <w:rPr>
          <w:rFonts w:ascii="Calibri" w:hAnsi="Calibri"/>
          <w:b/>
          <w:color w:val="1B365D"/>
          <w:sz w:val="20"/>
        </w:rPr>
        <w:t xml:space="preserve">Table 8: </w:t>
      </w:r>
      <w:r>
        <w:rPr>
          <w:rFonts w:ascii="Calibri" w:hAnsi="Calibri"/>
          <w:i/>
          <w:color w:val="2C3E50"/>
          <w:sz w:val="20"/>
        </w:rPr>
        <w:t>Comprehensive Threats to Validity Matrix</w:t>
      </w:r>
    </w:p>
    <w:p>
      <w:pPr>
        <w:keepNext/>
        <w:spacing w:before="200" w:after="60"/>
      </w:pPr>
      <w:r>
        <w:rPr>
          <w:rFonts w:ascii="Calibri" w:hAnsi="Calibri"/>
          <w:b/>
          <w:i/>
          <w:color w:val="2C3E50"/>
          <w:sz w:val="19"/>
        </w:rPr>
        <w:t>Internal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Simulated data does not represent real-world document variability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Small sample size (N=5) limits statistical power</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explicitly. Results are for workflow validation only, not for generalization. Large-scale evaluation (N &gt;= 500) is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Ground truth generated programmatically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dataset includes disclaimer. Human-annotated validation set is planned for future work.</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Single baseline per system type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one representative system per category was evaluated. Multiple baselines per category are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reviewer is single and non-blind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Reviewer identity is known and not blinded to system source. Blinded multi-reviewer evaluation is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IV-6</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measurements include network variability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Measurements include end-to-end pipeline latency. Isolated AI inference latency is also recorded for comparison.</w:t>
            </w:r>
          </w:p>
        </w:tc>
      </w:tr>
    </w:tbl>
    <w:p>
      <w:pPr>
        <w:keepNext/>
        <w:spacing w:before="200" w:after="60"/>
      </w:pPr>
      <w:r>
        <w:rPr>
          <w:rFonts w:ascii="Calibri" w:hAnsi="Calibri"/>
          <w:b/>
          <w:i/>
          <w:color w:val="2C3E50"/>
          <w:sz w:val="19"/>
        </w:rPr>
        <w:t>External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Limited to academic documents (certificates, timetables, IDs, marksheets)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Synthetic data may not capture real document degradation patterns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Mobile camera quality profiles are simulated. Real-world mobile captures with varied lighting, angles, and devices are needed.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Results may not generalize across tenants with different document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Multi-tenant architecture is validated for isolation, but document format diversity across tenants is limited in this study.</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AI provider versions may change over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Gemini 2.5 Flash and gpt-4o-mini are specific versions. Future model updates may alter relative performance.</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Evaluation environment (hardware, network) not representative of production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Tests run in development environment. Production performance profiling is planned before deployment.</w:t>
            </w:r>
          </w:p>
        </w:tc>
      </w:tr>
    </w:tbl>
    <w:p>
      <w:pPr>
        <w:keepNext/>
        <w:spacing w:before="200" w:after="60"/>
      </w:pPr>
      <w:r>
        <w:rPr>
          <w:rFonts w:ascii="Calibri" w:hAnsi="Calibri"/>
          <w:b/>
          <w:i/>
          <w:color w:val="2C3E50"/>
          <w:sz w:val="19"/>
        </w:rPr>
        <w:t>Construct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F1-score may not capture all aspects of extraction quality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per-field confidence scores and HITL correction counts. Additional metrics (BLEU, edit distance) are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does not account for user-perceived response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latency is measured. Client-side rendering time and network latency are not separated.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"Success" metric is binary and does not reflect partial correctness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field-level precision, recall, and F1. Document-level success indicates pipeline completion, not quality.</w:t>
            </w:r>
          </w:p>
        </w:tc>
      </w:tr>
    </w:tbl>
    <w:p>
      <w:pPr>
        <w:keepNext/>
        <w:spacing w:before="200" w:after="60"/>
      </w:pPr>
      <w:r>
        <w:rPr>
          <w:rFonts w:ascii="Calibri" w:hAnsi="Calibri"/>
          <w:b/>
          <w:i/>
          <w:color w:val="2C3E50"/>
          <w:sz w:val="19"/>
        </w:rPr>
        <w:t>Conclusion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No statistical significance testing due to small 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Results are explicitly not claimed to be statistically significant. Hypothesis testing will be conducted with N &gt;= 500 in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CC-2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Performance differences between systems may be due to chance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Larger sample sizes and repeated trials are required for definitive conclusions.</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 effect on metrics is confounded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HITL-corrected results are tracked separately from raw AI output. Comparison between raw and corrected results is planned.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320" w:after="100"/>
        <w:jc w:val="left"/>
      </w:pPr>
      <w:r>
        <w:rPr>
          <w:rFonts w:ascii="Calibri" w:hAnsi="Calibri"/>
          <w:b/>
          <w:color w:val="1B365D"/>
          <w:sz w:val="20"/>
        </w:rPr>
        <w:t xml:space="preserve">Table 9: </w:t>
      </w:r>
      <w:r>
        <w:rPr>
          <w:rFonts w:ascii="Calibri" w:hAnsi="Calibri"/>
          <w:i/>
          <w:color w:val="2C3E50"/>
          <w:sz w:val="20"/>
        </w:rPr>
        <w:t>System, Data, and Methodological Limitations</w:t>
      </w:r>
    </w:p>
    <w:p>
      <w:pPr>
        <w:keepNext/>
        <w:spacing w:before="200" w:after="60"/>
      </w:pPr>
      <w:r>
        <w:rPr>
          <w:rFonts w:ascii="Calibri" w:hAnsi="Calibri"/>
          <w:b/>
          <w:i/>
          <w:color w:val="2C3E50"/>
          <w:sz w:val="19"/>
        </w:rPr>
        <w:t>Data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Small validation set</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5 synthetic documents used for benchmarking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Limits statistical power and generalizability of results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Scale to 500-10,000 documents with diverse formats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Synthetic-only dataset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real-world human-annotated documents</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Results may not reflect real degradation patterns and edge cases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Collect and annotate real academic document corpus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 language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All documents are in English</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System performance on multilingual documents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evaluation to Hindi, regional languages, and mixed-language documents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Limited document categories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CERTIFICATE, TIMETABLE, STUDENT_ID, MARKSHEET</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behavior on other academic documents (transcripts, diplomas) is unknown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Expand category taxonomy and re-evaluate</w:t>
            </w:r>
          </w:p>
        </w:tc>
      </w:tr>
    </w:tbl>
    <w:p>
      <w:pPr>
        <w:keepNext/>
        <w:spacing w:before="200" w:after="60"/>
      </w:pPr>
      <w:r>
        <w:rPr>
          <w:rFonts w:ascii="Calibri" w:hAnsi="Calibri"/>
          <w:b/>
          <w:i/>
          <w:color w:val="2C3E50"/>
          <w:sz w:val="19"/>
        </w:rPr>
        <w:t>System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Two-provider limitation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Gemini and OpenRouter are integrated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Provider availability and cost constraints may affect production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Abstract provider interface to support N providers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offline mode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requires internet for AI inference</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Not suitable for low-connectivity environments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local LLM fallback (e.g., Llama 3)</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OCR dependency</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Structured extraction relies on OCR quality for scanned documents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Poor scan quality may degrade results despite HITL</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adaptive OCR quality assessment and pre-processing</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Fixed field schema</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7 core fields are hardcoded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adapt to institution-specific document formats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dynamic field schema discovery</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Single-reviewer bias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 corrections performed by one reviewer</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Corrections may reflect individual interpretation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Multi-reviewer consensus protocol</w:t>
            </w:r>
          </w:p>
        </w:tc>
      </w:tr>
    </w:tbl>
    <w:p>
      <w:pPr>
        <w:keepNext/>
        <w:spacing w:before="200" w:after="60"/>
      </w:pPr>
      <w:r>
        <w:rPr>
          <w:rFonts w:ascii="Calibri" w:hAnsi="Calibri"/>
          <w:b/>
          <w:i/>
          <w:color w:val="2C3E50"/>
          <w:sz w:val="19"/>
        </w:rPr>
        <w:t>Methodological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statistical testing</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N=5 prevents meaningful hypothesis testing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Cannot claim statistical significance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Increase N and apply t-tests, Wilcoxon, Cohen's d</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longitudinal study</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Single snapshot evaluation</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assess system improvement over time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Conduct repeated evaluations across model versions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cost analysis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AI API costs not measured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cost of ownership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Track and report API costs per document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A/B testing</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randomized controlled trial</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isolate effect of individual features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Design factorial experiments for HITL, fallback, dual-provider</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Benchmarking not automated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Manual execution of benchmark</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Prone to human error and not reproducible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automated benchmark harness</w:t>
            </w:r>
          </w:p>
        </w:tc>
      </w:tr>
    </w:tbl>
    <w:p>
      <w:pPr>
        <w:keepNext/>
        <w:spacing w:before="200" w:after="60"/>
      </w:pPr>
      <w:r>
        <w:rPr>
          <w:rFonts w:ascii="Calibri" w:hAnsi="Calibri"/>
          <w:b/>
          <w:i/>
          <w:color w:val="2C3E50"/>
          <w:sz w:val="19"/>
        </w:rPr>
        <w:t>Scalability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Single-tenant validation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Multi-tenancy validated for isolation but not at scale</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Performance under concurrent multi-tenant load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load testing with 100+ concurrent tenants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No CDN or edge deployment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All processing centralized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Latency may be high for geographically distant users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Evaluate edge deployment and CDN strategies</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Database scaling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performance at scale not tested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Query performance may degrade with large document corpora</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Benchmark with 10K+ documents, add indexes, evaluate sharding</w:t>
            </w:r>
          </w:p>
        </w:tc>
      </w:tr>
    </w:tbl>
    <w:p>
      <w:pPr>
        <w:keepNext/>
        <w:spacing w:before="200" w:after="60"/>
      </w:pPr>
      <w:r>
        <w:rPr>
          <w:rFonts w:ascii="Calibri" w:hAnsi="Calibri"/>
          <w:b/>
          <w:i/>
          <w:color w:val="2C3E50"/>
          <w:sz w:val="19"/>
        </w:rPr>
        <w:t>Ethical and Regulatory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PII handling not evaluated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 contains no real PII</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Real-world PII compliance (GDPR, DPDP)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privacy impact assessment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bias evaluation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AI model biases not assessed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Potential for biased extractions across demographics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bias detection and fairness metrics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Audit trail completeness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Audit trail covers review actions but not AI decisions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Full explainability of AI outputs is limited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AI decision logging and explanation generation</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320" w:after="100"/>
        <w:jc w:val="left"/>
      </w:pPr>
      <w:r>
        <w:rPr>
          <w:rFonts w:ascii="Calibri" w:hAnsi="Calibri"/>
          <w:b/>
          <w:color w:val="1B365D"/>
          <w:sz w:val="20"/>
        </w:rPr>
        <w:t xml:space="preserve">Table 10: </w:t>
      </w:r>
      <w:r>
        <w:rPr>
          <w:rFonts w:ascii="Calibri" w:hAnsi="Calibri"/>
          <w:i/>
          <w:color w:val="2C3E50"/>
          <w:sz w:val="20"/>
        </w:rPr>
        <w:t>Multi-Horizon Research Agenda for AU DIC v2.0</w:t>
      </w:r>
    </w:p>
    <w:p>
      <w:pPr>
        <w:keepNext/>
        <w:spacing w:before="200" w:after="60"/>
      </w:pPr>
      <w:r>
        <w:rPr>
          <w:rFonts w:ascii="Calibri" w:hAnsi="Calibri"/>
          <w:b/>
          <w:i/>
          <w:color w:val="2C3E50"/>
          <w:sz w:val="19"/>
        </w:rPr>
        <w:t>Immediate (Next 3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Scale benchmark to 500 documents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Expand synthetic dataset to 500 documents with 10+ quality profiles and 8+ document categories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FW-2</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Collect real-world validation set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Partner with 2-3 educational institutions to collect anonymized real documents with human annotations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FW-3</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Implement automated benchmark harness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CI/CD-integrated benchmark pipeline that runs nightly and tracks regression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FW-4</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Add statistical analysis</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Apply t-tests, Wilcoxon signed-rank, and Cohen's d to compare system pairs with N &gt;= 500</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FW-5</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Multi-reviewer HITL study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Recruit 3-5 reviewers per document to measure inter-rater reliability (Cohen's kappa)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Short-Term (3-6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FW-6</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Dynamic field schema discovery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Replace hardcoded 7-field schema with AI-driven field discovery that adapts to institution-specific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FW-7</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Local LLM fallback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Integrate Llama 3 or Mistral for offline/edge processing scenarios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FW-8</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Multilingual support</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extraction to Hindi, Tamil, Bengali, and other regional languages used in academic documents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FW-9</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Cost analysis and optimization</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Track per-document AI API costs and implement cost-aware provider routing</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Explainable AI outputs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Log and expose AI reasoning for each extracted field to support reviewer trust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Medium-Term (6-12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Large-scale evaluation (10,000+ docs)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full benchmark with 10,000+ documents across multiple institutions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FW-12</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A/B testing framework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feature flag system for controlled experiments (HITL on/off, dual-provider on/off)</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FW-13</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Cross-domain adaptation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system beyond academic documents to invoices, receipts, legal contracts, medical records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FW-14</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Federated learning for multi-tenant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Explore federated fine-tuning of extraction models per tenant without sharing data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FW-15</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Real-time collaboration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Enable multiple reviewers to collaborate on HITL review with conflict resolution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r>
    </w:tbl>
    <w:p>
      <w:pPr>
        <w:keepNext/>
        <w:spacing w:before="200" w:after="60"/>
      </w:pPr>
      <w:r>
        <w:rPr>
          <w:rFonts w:ascii="Calibri" w:hAnsi="Calibri"/>
          <w:b/>
          <w:i/>
          <w:color w:val="2C3E50"/>
          <w:sz w:val="19"/>
        </w:rPr>
        <w:t>Long-Term (12+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FW-16</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Self-improving system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 HITL corrections as training data to fine-tune extraction models and reduce reviewer burden over time</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FW-17</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Cross-institutional benchmarking</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Publish open benchmark with ground truth for academic document intelligence community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FW-18</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Integration with LMS platforms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Native integrations with Moodle, Canvas, Google Classroom for seamless document ingestion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FW-19</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Mobile-first HITL</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Develop mobile-optimized review interface for on-the-go verification</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FW-20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Compliance framework</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Build GDPR, DPDP, and HIPAA compliance features including data residency and consent management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bl>
    <w:p>
      <w:pPr>
        <w:keepNext/>
        <w:spacing w:before="200" w:after="60"/>
      </w:pPr>
      <w:r>
        <w:rPr>
          <w:rFonts w:ascii="Calibri" w:hAnsi="Calibri"/>
          <w:b/>
          <w:i/>
          <w:color w:val="2C3E50"/>
          <w:sz w:val="19"/>
        </w:rPr>
        <w:t>Research Directions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56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Theoretical bounds on dual-provider accuracy</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Formal analysis of how provider diversity impacts extraction accuracy and error correlation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HITL scheduling optimization</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Determine optimal threshold for routing documents to HITL vs. auto-approval to minimize reviewer burden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RD-3</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Adversarial robustness</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Evaluate system resilience to adversarially crafted documents designed to fool extraction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RD-4</w:t>
            </w:r>
          </w:p>
        </w:tc>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Cross-lingual transfer</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Study how training on one language affects extraction quality on related languages</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RD-5</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Economic modeling</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cost-benefit model for HITL vs. fully automated extraction in production SaaS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320" w:after="100"/>
        <w:jc w:val="left"/>
      </w:pPr>
      <w:r>
        <w:rPr>
          <w:rFonts w:ascii="Calibri" w:hAnsi="Calibri"/>
          <w:b/>
          <w:color w:val="1B365D"/>
          <w:sz w:val="20"/>
        </w:rPr>
        <w:t xml:space="preserve">Table 5: </w:t>
      </w:r>
      <w:r>
        <w:rPr>
          <w:rFonts w:ascii="Calibri" w:hAnsi="Calibri"/>
          <w:i/>
          <w:color w:val="2C3E50"/>
          <w:sz w:val="20"/>
        </w:rPr>
        <w:t>Document-Level Evaluation Results (EXP-VAL-20260729)</w:t>
      </w:r>
    </w:p>
    <w:p>
      <w:pPr>
        <w:keepNext/>
        <w:spacing w:before="200" w:after="60"/>
      </w:pPr>
      <w:r>
        <w:rPr>
          <w:rFonts w:ascii="Calibri" w:hAnsi="Calibri"/>
          <w:b/>
          <w:i/>
          <w:color w:val="2C3E50"/>
          <w:sz w:val="19"/>
        </w:rPr>
        <w:t>SYS-BASE-1: Tesseract OCR v5.0 (No-AI)</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1,145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1,245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985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1,280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1,485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SYS-BASE-2: Gemini 1.5 Pro (Single, no fallback)</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2,065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2,140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1,935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2,035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2,190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SYS-BASE-3: OpenRouter gpt-4o-mini (Single)</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2,330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2,465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2,260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2,400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2,555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SYS-PROP: AU DIC Hybrid (Dual-Provider + HITL Staging)</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2,620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2,980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