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Human-in-the-Loop Multimodal Document Intelligence for Verifiable Academic Credential Parsing in Multi-Tenant SaaS Environments</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document processing remains a critical bottleneck in educational technology workflows, with existing solutions struggling to balance automation accuracy against verifiability requirements. This paper presents the Academic Universe Document Intelligence Core (AU DIC), a novel multi-tenant SaaS architecture that integrates dual-provider multimodal large language models (LLMs) with a structured human-in-the-loop (HITL) staging pipeline for academic credential parsing. The system orchestrates Gemini 2.5 Flash as the primary AI provider and OpenRouter (gpt-4o-mini) as an automatic fallback, routing extracted candidate fields through a reviewer staging interface before canonical write operations. We validate the complete research paper generation pipeline using a minimal validation dataset of five synthetic academic documents spanning four quality profiles: CLEAN_PDF, SCANNER_COPY, MOBILE_CAMERA, and ROTATED. Four systems are evaluated: Tesseract OCR v5.0 (SYS-BASE-1), Gemini 1.5 Pro (SYS-BASE-2), OpenRouter gpt-4o-mini (SYS-BASE-3), and AU DIC Hybrid (SYS-PROP). The AU DIC Hybrid system achieves a precision of 1.000, recall of 1.000, and F1-score of 1.000 across 35 field evaluations, with fallback triggered on 3 of 5 documents, HITL review applied on all 5 documents, and field corrections applied on 2 of 5 documents. This experiment represents a workflow validation using a minimal validation dataset of five synthetic academic documents. Large-scale evaluation will be conducted in the next research iteration. The results validate the end-to-end pipeline from document ingestion through HITL review to transaction-safe soft deletion, establishing a reproducible benchmark framework for future academic document intelligence research.</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spacing w:before="40" w:after="120" w:line="276" w:lineRule="auto"/>
      </w:pPr>
      <w:r>
        <w:t>Academic institutions process millions of documents annually, including certificates, mark sheets, student ID cards, and timetables.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This paper introduces the Academic Universe Document Intelligence Core (AU DIC), a production-grade system that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reviews related literature (Sections 5–6), identifies the research gap and objectives (Sections 7–8), presents the proposed methodology and system architecture (Sections 9–10), describes the experimental design and results (Sections 11–14), and concludes with discussion, limitations, and future directions (Sections 15–19).</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320" w:after="100"/>
        <w:jc w:val="left"/>
      </w:pPr>
      <w:r>
        <w:rPr>
          <w:rFonts w:ascii="Calibri" w:hAnsi="Calibri"/>
          <w:b/>
          <w:color w:val="1B365D"/>
          <w:sz w:val="20"/>
        </w:rPr>
        <w:t xml:space="preserve">Table 1: </w:t>
      </w:r>
      <w:r>
        <w:rPr>
          <w:rFonts w:ascii="Calibri" w:hAnsi="Calibri"/>
          <w:i/>
          <w:color w:val="2C3E50"/>
          <w:sz w:val="20"/>
        </w:rPr>
        <w:t>System Feature Matrix — AU DIC vs. Enterprise Alternatives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Feature</w:t>
            </w:r>
          </w:p>
        </w:tc>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AU DIC (Proposed)</w:t>
            </w:r>
          </w:p>
        </w:tc>
        <w:tc>
          <w:tcPr>
            <w:vAlign w:val="center"/>
            <w:tcW w:w="177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SAP S/4HANA</w:t>
            </w:r>
          </w:p>
        </w:tc>
        <w:tc>
          <w:tcPr>
            <w:vAlign w:val="center"/>
            <w:tcW w:w="177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Workday HCM</w:t>
            </w:r>
          </w:p>
        </w:tc>
        <w:tc>
          <w:tcPr>
            <w:vAlign w:val="center"/>
            <w:tcW w:w="168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Moodle LMS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Intelligence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(Dual-Provider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 (OCR add-on)</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Basic (Tesseract)</w:t>
            </w:r>
          </w:p>
        </w:tc>
      </w:tr>
      <w:tr>
        <w:trPr>
          <w:cantSplit/>
        </w:trPr>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Multimodal LLM Integration</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(Gemini + OpenRouter)</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Human-in-the-Loop (HITL)</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(Candidate Staging)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Dual-Provider Failover</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(Automatic)</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Multi-Tenant SaaS</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(Organization-scoped)</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(Plugin)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Soft Deletion</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(Transaction-safe)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Structured JSON Extraction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(7 core fields + arrays)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Confidence Scoring</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(Per-field)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Mobile Camera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(Quality profiles)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Scanner Copy Support</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(OCR fallback)</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Rotated Document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(Deskew +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Audit Trail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(ReviewHistory)</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Tenant Isolation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(organizationId scoping)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REST API</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(Express.js)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(OData)</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(REST)</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(Web services)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Open Source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Document Categories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Academic (Certificate, Timetable, ID, Marksheet)</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Academic 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Canonical Write</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(After HITL approval)</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Bulk Operations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(Bulk delete review required)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Scalability</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Cloud-native (MongoDB + Redis)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Self-hosted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Cost Model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Pay-per-use (AI API)</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Free</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1" name="Picture 1"/>
            <wp:cNvGraphicFramePr>
              <a:graphicFrameLocks noChangeAspect="1"/>
            </wp:cNvGraphicFramePr>
            <a:graphic>
              <a:graphicData uri="http://schemas.openxmlformats.org/drawingml/2006/picture">
                <pic:pic>
                  <pic:nvPicPr>
                    <pic:cNvPr id="0" name="fig7_research_workflow.png"/>
                    <pic:cNvPicPr/>
                  </pic:nvPicPr>
                  <pic:blipFill>
                    <a:blip r:embed="rId9"/>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7: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2" name="Picture 2"/>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1: AU DIC Four-Tier Microservice Architecture showing Presentation, API, Service, and Data layers with Multi-Tenant Organization Isolation.</w:t>
      </w:r>
    </w:p>
    <w:p>
      <w:pPr>
        <w:spacing w:before="40" w:after="120" w:line="276" w:lineRule="auto"/>
      </w:pPr>
      <w:r>
        <w:t>The AU DIC system follows a layered microservice architecture (Fig. 1)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($P$) and fallback provider ($F$), the system attempts inference on $P$:</w:t>
      </w:r>
    </w:p>
    <w:p>
      <w:pPr>
        <w:spacing w:before="160" w:after="160"/>
        <w:jc w:val="center"/>
      </w:pPr>
      <w:r>
        <w:rPr>
          <w:rFonts w:ascii="Cambria Math" w:hAnsi="Cambria Math"/>
          <w:i/>
          <w:color w:val="1B365D"/>
          <w:sz w:val="22"/>
        </w:rPr>
        <w:t>y_P = P(x)</w:t>
      </w:r>
    </w:p>
    <w:p>
      <w:pPr>
        <w:spacing w:before="40" w:after="120" w:line="276" w:lineRule="auto"/>
      </w:pPr>
      <w:r>
        <w:t>If $P$ raises an availability error ($E_P \in \mathcal{E}_{avail}$), the system transparently retries on $F$:</w:t>
      </w:r>
    </w:p>
    <w:p>
      <w:pPr>
        <w:spacing w:before="160" w:after="160"/>
        <w:jc w:val="center"/>
      </w:pPr>
      <w:r>
        <w:rPr>
          <w:rFonts w:ascii="Cambria Math" w:hAnsi="Cambria Math"/>
          <w:i/>
          <w:color w:val="1B365D"/>
          <w:sz w:val="22"/>
        </w:rPr>
        <w:t>y_F = F(x)</w:t>
      </w:r>
    </w:p>
    <w:p>
      <w:pPr>
        <w:spacing w:before="40" w:after="120" w:line="276" w:lineRule="auto"/>
      </w:pPr>
      <w:r>
        <w:t>The final output is $y = y_P$ if $P$ succeeds, otherwise $y = y_F$ if $F$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3" name="Picture 3"/>
            <wp:cNvGraphicFramePr>
              <a:graphicFrameLocks noChangeAspect="1"/>
            </wp:cNvGraphicFramePr>
            <a:graphic>
              <a:graphicData uri="http://schemas.openxmlformats.org/drawingml/2006/picture">
                <pic:pic>
                  <pic:nvPicPr>
                    <pic:cNvPr id="0" name="fig2_dic_pipeline.png"/>
                    <pic:cNvPicPr/>
                  </pic:nvPicPr>
                  <pic:blipFill>
                    <a:blip r:embed="rId11"/>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2: End-to-End Document Intelligence Pipeline from Upload Validation through AI Orchestration to HITL Staging.</w:t>
      </w:r>
    </w:p>
    <w:p>
      <w:pPr>
        <w:spacing w:before="40" w:after="120" w:line="276" w:lineRule="auto"/>
      </w:pPr>
      <w:r>
        <w:t>The document intelligence pipeline (Fig. 2)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w:r>
        <w:rPr>
          <w:rFonts w:ascii="Cambria Math" w:hAnsi="Cambria Math"/>
          <w:i/>
          <w:color w:val="1B365D"/>
          <w:sz w:val="22"/>
        </w:rPr>
        <w:t>\text{fields} = \{studentName, rollNumber, semester, sgpa, cgpa, issueDate, courseMarks\}</w:t>
      </w:r>
    </w:p>
    <w:p>
      <w:pPr>
        <w:spacing w:before="40" w:after="120" w:line="276" w:lineRule="auto"/>
      </w:pPr>
      <w:r>
        <w:t>where $courseMarks$ is an array of objects with keys $courseCode$, $courseName$, $marksObtained$, and $maxMarks$.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3)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4" name="Picture 4"/>
            <wp:cNvGraphicFramePr>
              <a:graphicFrameLocks noChangeAspect="1"/>
            </wp:cNvGraphicFramePr>
            <a:graphic>
              <a:graphicData uri="http://schemas.openxmlformats.org/drawingml/2006/picture">
                <pic:pic>
                  <pic:nvPicPr>
                    <pic:cNvPr id="0" name="fig4_transaction_sequence.png"/>
                    <pic:cNvPicPr/>
                  </pic:nvPicPr>
                  <pic:blipFill>
                    <a:blip r:embed="rId12"/>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4: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w:r>
        <w:rPr>
          <w:rFonts w:ascii="Cambria Math" w:hAnsi="Cambria Math"/>
          <w:i/>
          <w:color w:val="1B365D"/>
          <w:sz w:val="22"/>
        </w:rPr>
        <w:t>\mathcal{T} = \{U_{del}, KR_{del}, RH_{del}\}</w:t>
      </w:r>
    </w:p>
    <w:p>
      <w:pPr>
        <w:spacing w:before="40" w:after="120" w:line="276" w:lineRule="auto"/>
      </w:pPr>
      <w:r>
        <w:t>where $U_{del}$ marks the UaipUpload record as DELETED, $KR_{del}$ marks all associated KnowledgeRecords as DELETED, and $RH_{del}$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w:r>
        <w:rPr>
          <w:rFonts w:ascii="Cambria Math" w:hAnsi="Cambria Math"/>
          <w:i/>
          <w:color w:val="1B365D"/>
          <w:sz w:val="22"/>
        </w:rPr>
        <w:t>U_{del} \rightarrow KR_{del} \rightarrow RH_{del}</w:t>
      </w:r>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4.</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320" w:after="100"/>
        <w:jc w:val="left"/>
      </w:pPr>
      <w:r>
        <w:rPr>
          <w:rFonts w:ascii="Calibri" w:hAnsi="Calibri"/>
          <w:b/>
          <w:color w:val="1B365D"/>
          <w:sz w:val="20"/>
        </w:rPr>
        <w:t xml:space="preserve">Table 2: </w:t>
      </w:r>
      <w:r>
        <w:rPr>
          <w:rFonts w:ascii="Calibri" w:hAnsi="Calibri"/>
          <w:i/>
          <w:color w:val="2C3E50"/>
          <w:sz w:val="20"/>
        </w:rPr>
        <w:t>Technology Stack and Architecture Specifications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Layer</w:t>
            </w:r>
          </w:p>
        </w:tc>
        <w:tc>
          <w:tcPr>
            <w:vAlign w:val="center"/>
            <w:tcW w:w="1497"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Component</w:t>
            </w:r>
          </w:p>
        </w:tc>
        <w:tc>
          <w:tcPr>
            <w:vAlign w:val="center"/>
            <w:tcW w:w="168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Technology</w:t>
            </w:r>
          </w:p>
        </w:tc>
        <w:tc>
          <w:tcPr>
            <w:vAlign w:val="center"/>
            <w:tcW w:w="336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Source File(s)</w:t>
            </w:r>
          </w:p>
        </w:tc>
        <w:tc>
          <w:tcPr>
            <w:vAlign w:val="center"/>
            <w:tcW w:w="187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Research Figure/Table</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Web Portal</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Next.js 14, React, Tailwind CSS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app/, components/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 Safety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TypeScript, global.d.ts</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global.d.ts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HTTP Server</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Express.js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backend/src/index.ts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Authentication</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JWT, Firebase Auth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backend/src/middleware/auth.ts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Rate Limiting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 rate-limit</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backend/src/middleware/rateLimit.ts</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 Tracking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requestId middleware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backend/src/middleware/requestId.ts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Document Intelligence</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DocumentIntelligenceService</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backend/src/modules/documentIntelligence/documentIntelligence.service.ts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3</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OCR Processing</w:t>
            </w:r>
          </w:p>
        </w:tc>
        <w:tc>
          <w:tcPr>
            <w:vAlign w:val="center"/>
            <w:tcW w:w="168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Tesseract v5.0, PaddleOCR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backend/src/services/ocr/OCRService.ts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Orchestration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FailoverAIProvider</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backend/src/core/ai/failover.provider.ts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AI Provider (Primary)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Gemini 2.5 Flash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backend/src/core/ai/gemini.provider.ts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Provider (Fallback)</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OpenRouter (gpt-4o-mini)</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backend/src/core/ai/openrouter.provider.ts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 Write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CanonicalWriteService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backend/src/__tests__/canonicalWrite.service.test.ts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Data Access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Mongoose ODM</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backend/src/modules/documentIntelligence/documentIntelligence.repository.ts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File Storage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GridFSProvider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backend/src/storage/GridFSProvider.ts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Primary DB</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(UaipUpload, KnowledgeRecord, ReviewHistory)</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backend/src/models/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Cache/Queue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Redis</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backend/src/shared/services/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Containerization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Dockerfile</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Hosting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Firebase, Vercel</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firebase.json, next.config.mjs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Unit Tests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jest.config.cjs</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Integration Tests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Jest + Supertest</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backend/src/__tests__/</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Monitoring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Error Tracking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Sentry</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sentry.server.config.ts, sentry.edge.config.ts</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Logging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Structured Logging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Winston/Pino</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backend/src/utils/logger.ts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bl>
    <w:p>
      <w:pPr>
        <w:spacing w:before="60" w:after="280"/>
      </w:pPr>
      <w:r>
        <w:rPr>
          <w:rFonts w:ascii="Calibri" w:hAnsi="Calibri"/>
          <w:i/>
          <w:color w:val="555555"/>
          <w:sz w:val="17"/>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1):</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w:r>
        <w:rPr>
          <w:rFonts w:ascii="Cambria Math" w:hAnsi="Cambria Math"/>
          <w:i/>
          <w:color w:val="1B365D"/>
          <w:sz w:val="22"/>
        </w:rPr>
        <w:t>Q_{org} = \{doc \in \mathcal{D} \mid doc.organizationId = orgId \land doc.status \neq DELETED\}</w:t>
      </w:r>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color w:val="222222"/>
          <w:sz w:val="22"/>
        </w:rPr>
      </w: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color w:val="222222"/>
          <w:sz w:val="22"/>
        </w:rPr>
      </w: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color w:val="222222"/>
          <w:sz w:val="22"/>
        </w:rPr>
      </w: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color w:val="222222"/>
          <w:sz w:val="22"/>
        </w:rPr>
      </w: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color w:val="222222"/>
          <w:sz w:val="22"/>
        </w:rPr>
      </w: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color w:val="222222"/>
          <w:sz w:val="22"/>
        </w:rPr>
      </w: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color w:val="222222"/>
          <w:sz w:val="22"/>
        </w:rPr>
      </w: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320" w:after="100"/>
        <w:jc w:val="left"/>
      </w:pPr>
      <w:r>
        <w:rPr>
          <w:rFonts w:ascii="Calibri" w:hAnsi="Calibri"/>
          <w:b/>
          <w:color w:val="1B365D"/>
          <w:sz w:val="20"/>
        </w:rPr>
        <w:t xml:space="preserve">Table 3: </w:t>
      </w:r>
      <w:r>
        <w:rPr>
          <w:rFonts w:ascii="Calibri" w:hAnsi="Calibri"/>
          <w:i/>
          <w:color w:val="2C3E50"/>
          <w:sz w:val="20"/>
        </w:rPr>
        <w:t>Synthetic Dataset Summary and Document Quality Profiles</w:t>
      </w:r>
    </w:p>
    <w:p>
      <w:pPr>
        <w:keepNext/>
        <w:spacing w:before="200" w:after="60"/>
      </w:pPr>
      <w:r>
        <w:rPr>
          <w:rFonts w:ascii="Calibri" w:hAnsi="Calibri"/>
          <w:b/>
          <w:i/>
          <w:color w:val="2C3E50"/>
          <w:sz w:val="19"/>
        </w:rPr>
        <w:t>Table 3. Dataset Summary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Attribute</w:t>
            </w:r>
          </w:p>
        </w:tc>
        <w:tc>
          <w:tcPr>
            <w:vAlign w:val="center"/>
            <w:tcW w:w="655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Dataset Name</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Academic Universe Synthetic Benchmark Dataset</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Total Documents</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Generator 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1.1.0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Seed</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12345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Manifest Hash</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SHA256_aee13265b3e18437</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Created</w:t>
            </w:r>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2026-07-29T08:42:44.155Z</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Disclaimer</w:t>
            </w:r>
          </w:p>
        </w:tc>
        <w:tc>
          <w:tcPr>
            <w:vAlign w:val="center"/>
            <w:tcW w:w="655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FOR RESEARCH BENCHMARKING ONLY. CONTAINS FICTIONAL INSTITUTIONS AND CONTENT.</w:t>
            </w:r>
          </w:p>
        </w:tc>
      </w:tr>
    </w:tbl>
    <w:p>
      <w:pPr>
        <w:keepNext/>
        <w:spacing w:before="200" w:after="60"/>
      </w:pPr>
      <w:r>
        <w:rPr>
          <w:rFonts w:ascii="Calibri" w:hAnsi="Calibri"/>
          <w:b/>
          <w:i/>
          <w:color w:val="2C3E50"/>
          <w:sz w:val="19"/>
        </w:rPr>
        <w:t>Document Inventory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1123"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Quality Profile</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Template</w:t>
            </w:r>
          </w:p>
        </w:tc>
        <w:tc>
          <w:tcPr>
            <w:vAlign w:val="center"/>
            <w:tcW w:w="1123"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Student Name</w:t>
            </w:r>
          </w:p>
        </w:tc>
        <w:tc>
          <w:tcPr>
            <w:vAlign w:val="center"/>
            <w:tcW w:w="7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Roll Number</w:t>
            </w:r>
          </w:p>
        </w:tc>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SGPA</w:t>
            </w:r>
          </w:p>
        </w:tc>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CGPA</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Issue Date</w:t>
            </w:r>
          </w:p>
        </w:tc>
        <w:tc>
          <w:tcPr>
            <w:vAlign w:val="center"/>
            <w:tcW w:w="84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Courses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Tanya Verma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2021329554</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8.00</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7.97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2023-04-20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Isha Sinha</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2023568771</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8.78</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8.33</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2026-01-10</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TEMPLATE_B</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Neha Mehta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2022451611</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7.33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7.84</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2025-05-19</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Komal Tripathi</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2023733459</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7.63</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8.20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2025-03-19</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TEMPLATE_A</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Utkarsh Saxena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2022995286</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7.53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8.10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2024-06-10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bl>
    <w:p>
      <w:pPr>
        <w:keepNext/>
        <w:spacing w:before="200" w:after="60"/>
      </w:pPr>
      <w:r>
        <w:rPr>
          <w:rFonts w:ascii="Calibri" w:hAnsi="Calibri"/>
          <w:b/>
          <w:i/>
          <w:color w:val="2C3E50"/>
          <w:sz w:val="19"/>
        </w:rPr>
        <w:t>Quality Profile Definitions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Profile</w:t>
            </w:r>
          </w:p>
        </w:tc>
        <w:tc>
          <w:tcPr>
            <w:vAlign w:val="center"/>
            <w:tcW w:w="374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327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Simulated Degradation</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Digital-born PDF with selectable text</w:t>
            </w:r>
          </w:p>
        </w:tc>
        <w:tc>
          <w:tcPr>
            <w:vAlign w:val="center"/>
            <w:tcW w:w="327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None</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Flatbed scanner output</w:t>
            </w:r>
          </w:p>
        </w:tc>
        <w:tc>
          <w:tcPr>
            <w:vAlign w:val="center"/>
            <w:tcW w:w="327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Minor noise, slight skew</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Smartphone photograph</w:t>
            </w:r>
          </w:p>
        </w:tc>
        <w:tc>
          <w:tcPr>
            <w:vAlign w:val="center"/>
            <w:tcW w:w="327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Blur, perspective distortion, lighting variation</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ROTATED</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Document scanned/page rotated 90 degrees</w:t>
            </w:r>
          </w:p>
        </w:tc>
        <w:tc>
          <w:tcPr>
            <w:vAlign w:val="center"/>
            <w:tcW w:w="327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Requires deskewing before OCR</w:t>
            </w:r>
          </w:p>
        </w:tc>
      </w:tr>
    </w:tbl>
    <w:p>
      <w:pPr>
        <w:keepNext/>
        <w:spacing w:before="200" w:after="60"/>
      </w:pPr>
      <w:r>
        <w:rPr>
          <w:rFonts w:ascii="Calibri" w:hAnsi="Calibri"/>
          <w:b/>
          <w:i/>
          <w:color w:val="2C3E50"/>
          <w:sz w:val="19"/>
        </w:rPr>
        <w:t>Category Distribution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Category</w:t>
            </w:r>
          </w:p>
        </w:tc>
        <w:tc>
          <w:tcPr>
            <w:vAlign w:val="center"/>
            <w:tcW w:w="374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Count</w:t>
            </w:r>
          </w:p>
        </w:tc>
        <w:tc>
          <w:tcPr>
            <w:vAlign w:val="center"/>
            <w:tcW w:w="327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Percentage</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CERTIFICATE</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TIMETABLE</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STUDENT_ID</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MARKSHEET</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40%</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color w:val="222222"/>
          <w:sz w:val="22"/>
        </w:rPr>
      </w: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color w:val="222222"/>
          <w:sz w:val="22"/>
        </w:rPr>
      </w: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color w:val="222222"/>
          <w:sz w:val="22"/>
        </w:rPr>
      </w: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color w:val="222222"/>
          <w:sz w:val="22"/>
        </w:rPr>
      </w: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5" name="Picture 5"/>
            <wp:cNvGraphicFramePr>
              <a:graphicFrameLocks noChangeAspect="1"/>
            </wp:cNvGraphicFramePr>
            <a:graphic>
              <a:graphicData uri="http://schemas.openxmlformats.org/drawingml/2006/picture">
                <pic:pic>
                  <pic:nvPicPr>
                    <pic:cNvPr id="0" name="fig8_benchmark_workflow.png"/>
                    <pic:cNvPicPr/>
                  </pic:nvPicPr>
                  <pic:blipFill>
                    <a:blip r:embed="rId13"/>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8: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w:p>
    <w:p>
      <w:pPr>
        <w:spacing w:before="40" w:after="120" w:line="276" w:lineRule="auto"/>
      </w:pPr>
      <w:r>
        <w:t>Field-level precision, recall, and F1-score are computed as:</w:t>
      </w:r>
    </w:p>
    <w:p>
      <w:pPr>
        <w:spacing w:before="160" w:after="160"/>
        <w:jc w:val="center"/>
      </w:pPr>
      <w:r>
        <w:rPr>
          <w:rFonts w:ascii="Cambria Math" w:hAnsi="Cambria Math"/>
          <w:i/>
          <w:color w:val="1B365D"/>
          <w:sz w:val="22"/>
        </w:rPr>
        <w:t>P = \frac{TP}{TP + FP}, \quad R = \frac{TP}{TP + FN}, \quad F1 = \frac{2PR}{P + R}</w:t>
      </w:r>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w:r>
        <w:rPr>
          <w:rFonts w:ascii="Cambria Math" w:hAnsi="Cambria Math"/>
          <w:i/>
          <w:color w:val="1B365D"/>
          <w:sz w:val="22"/>
        </w:rPr>
        <w:t>T_{total} = T_{upload} + T_{AI} + T_{DB}</w:t>
      </w:r>
    </w:p>
    <w:p>
      <w:pPr>
        <w:spacing w:before="40" w:after="120" w:line="276" w:lineRule="auto"/>
      </w:pPr>
      <w:r>
        <w:t>where $T_{upload}$ is the time from upload initiation to storage completion, $T_{AI}$ is the AI inference time, and $T_{DB}$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320" w:after="100"/>
        <w:jc w:val="left"/>
      </w:pPr>
      <w:r>
        <w:rPr>
          <w:rFonts w:ascii="Calibri" w:hAnsi="Calibri"/>
          <w:b/>
          <w:color w:val="1B365D"/>
          <w:sz w:val="20"/>
        </w:rPr>
        <w:t xml:space="preserve">Table 4: </w:t>
      </w:r>
      <w:r>
        <w:rPr>
          <w:rFonts w:ascii="Calibri" w:hAnsi="Calibri"/>
          <w:i/>
          <w:color w:val="2C3E50"/>
          <w:sz w:val="20"/>
        </w:rPr>
        <w:t>Evaluation Metrics Formal Definitions</w:t>
      </w:r>
    </w:p>
    <w:p>
      <w:pPr>
        <w:keepNext/>
        <w:spacing w:before="200" w:after="60"/>
      </w:pPr>
      <w:r>
        <w:rPr>
          <w:rFonts w:ascii="Calibri" w:hAnsi="Calibri"/>
          <w:b/>
          <w:i/>
          <w:color w:val="2C3E50"/>
          <w:sz w:val="19"/>
        </w:rPr>
        <w:t>Field-Level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True Positive (TP)</w:t>
            </w:r>
          </w:p>
        </w:tc>
        <w:tc>
          <w:tcPr>
            <w:vAlign w:val="center"/>
            <w:tcW w:w="355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 extracted correctly matching ground truth value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False Positive (FP)</w:t>
            </w:r>
          </w:p>
        </w:tc>
        <w:tc>
          <w:tcPr>
            <w:vAlign w:val="center"/>
            <w:tcW w:w="355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Field extracted but does not match ground truth (hallucination or misread)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False Negative (FN)</w:t>
            </w:r>
          </w:p>
        </w:tc>
        <w:tc>
          <w:tcPr>
            <w:vAlign w:val="center"/>
            <w:tcW w:w="355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Ground truth field missing from extraction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Precision (P)</w:t>
            </w:r>
          </w:p>
        </w:tc>
        <w:tc>
          <w:tcPr>
            <w:vAlign w:val="center"/>
            <w:tcW w:w="355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P = \frac{TP}{TP + FP}</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extracted fields that are correct</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Recall (R)</w:t>
            </w:r>
          </w:p>
        </w:tc>
        <w:tc>
          <w:tcPr>
            <w:vAlign w:val="center"/>
            <w:tcW w:w="355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 = \frac{TP}{TP + FN}</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Proportion of ground truth fields successfully extracted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F1-Score (F1)</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F1 = \frac{2 \cdot P \cdot R}{P + R}</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Harmonic mean of precision and recall</w:t>
            </w:r>
          </w:p>
        </w:tc>
      </w:tr>
    </w:tbl>
    <w:p>
      <w:pPr>
        <w:keepNext/>
        <w:spacing w:before="200" w:after="60"/>
      </w:pPr>
      <w:r>
        <w:rPr>
          <w:rFonts w:ascii="Calibri" w:hAnsi="Calibri"/>
          <w:b/>
          <w:i/>
          <w:color w:val="2C3E50"/>
          <w:sz w:val="19"/>
        </w:rPr>
        <w:t>Latency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Upload Latency</w:t>
            </w:r>
          </w:p>
        </w:tc>
        <w:tc>
          <w:tcPr>
            <w:vAlign w:val="center"/>
            <w:tcW w:w="355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t_{upload}</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from upload initiation to storage completion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AI Inference Latency</w:t>
            </w:r>
          </w:p>
        </w:tc>
        <w:tc>
          <w:tcPr>
            <w:vAlign w:val="center"/>
            <w:tcW w:w="355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t_{AI}</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Time from prompt submission to AI response receipt (ms)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DB Staging Latency</w:t>
            </w:r>
          </w:p>
        </w:tc>
        <w:tc>
          <w:tcPr>
            <w:vAlign w:val="center"/>
            <w:tcW w:w="355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t_{DB}</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to persist candidate fields to KnowledgeRecord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Total Pipeline Latency</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 = t_{upload} + t_{AI} + t_{DB}</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pipeline latency (ms)</w:t>
            </w:r>
          </w:p>
        </w:tc>
      </w:tr>
    </w:tbl>
    <w:p>
      <w:pPr>
        <w:keepNext/>
        <w:spacing w:before="200" w:after="60"/>
      </w:pPr>
      <w:r>
        <w:rPr>
          <w:rFonts w:ascii="Calibri" w:hAnsi="Calibri"/>
          <w:b/>
          <w:i/>
          <w:color w:val="2C3E50"/>
          <w:sz w:val="19"/>
        </w:rPr>
        <w:t>Document-Level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Success</w:t>
            </w:r>
          </w:p>
        </w:tc>
        <w:tc>
          <w:tcPr>
            <w:vAlign w:val="center"/>
            <w:tcW w:w="355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Boolean: pipeline completed without system error</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Fallback Triggered</w:t>
            </w:r>
          </w:p>
        </w:tc>
        <w:tc>
          <w:tcPr>
            <w:vAlign w:val="center"/>
            <w:tcW w:w="355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Boolean: primary AI provider failed, fallback provider used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HITL Review Duration</w:t>
            </w:r>
          </w:p>
        </w:tc>
        <w:tc>
          <w:tcPr>
            <w:vAlign w:val="center"/>
            <w:tcW w:w="355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t_{review}</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reviewer spent on document (seconds)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Fields Corrected</w:t>
            </w:r>
          </w:p>
        </w:tc>
        <w:tc>
          <w:tcPr>
            <w:vAlign w:val="center"/>
            <w:tcW w:w="355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n_{corr}</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Number of fields modified during HITL review</w:t>
            </w:r>
          </w:p>
        </w:tc>
      </w:tr>
    </w:tbl>
    <w:p>
      <w:pPr>
        <w:keepNext/>
        <w:spacing w:before="200" w:after="60"/>
      </w:pPr>
      <w:r>
        <w:rPr>
          <w:rFonts w:ascii="Calibri" w:hAnsi="Calibri"/>
          <w:b/>
          <w:i/>
          <w:color w:val="2C3E50"/>
          <w:sz w:val="19"/>
        </w:rPr>
        <w:t>System-Level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TP</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TP_{agg} = \sum_{i=1}^{N} TP_i</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true positives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FP</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FP_{agg} = \sum_{i=1}^{N} FP_i</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Total false positives across all documents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FN</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FN_{agg} = \sum_{i=1}^{N} FN_i</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false negatives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Precision</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P_{agg} = \frac{TP_{agg}}{TP_{agg} + FP_{agg}}</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precision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Recall</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R_{agg} = \frac{TP_{agg}}{TP_{agg} + FN_{agg}}</w:t>
            </w:r>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System-wide recall</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F1</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F1_{agg} = \frac{2 \cdot P_{agg} \cdot R_{agg}}{P_{agg} + R_{agg}}</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F1-score</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Mean Latency</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\bar{T} = \frac{1}{N} \sum_{i=1}^{N} T_i</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Average total pipeline latency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Success Rate</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SR = \frac{N_{success}}{N_{total}}</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successful extractions</w:t>
            </w:r>
          </w:p>
        </w:tc>
      </w:tr>
    </w:tbl>
    <w:p>
      <w:pPr>
        <w:keepNext/>
        <w:spacing w:before="200" w:after="60"/>
      </w:pPr>
      <w:r>
        <w:rPr>
          <w:rFonts w:ascii="Calibri" w:hAnsi="Calibri"/>
          <w:b/>
          <w:i/>
          <w:color w:val="2C3E50"/>
          <w:sz w:val="19"/>
        </w:rPr>
        <w:t>Statistical Analysis Notation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Notation</w:t>
            </w:r>
          </w:p>
        </w:tc>
        <w:tc>
          <w:tcPr>
            <w:vAlign w:val="center"/>
            <w:tcW w:w="655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Meaning</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\mu</w:t>
            </w:r>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Mean value</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\sigma</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Standard deviation</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p</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p-value from statistical test</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d</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Cohen's d effect size</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W</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Wilcoxon signed-rank statistic</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w:r>
        <w:rPr>
          <w:rFonts w:ascii="Cambria Math" w:hAnsi="Cambria Math"/>
          <w:i/>
          <w:color w:val="1B365D"/>
          <w:sz w:val="22"/>
        </w:rPr>
        <w:t>TP_{agg} = \sum_{i=1}^{N} TP_i, \quad FP_{agg} = \sum_{i=1}^{N} FP_i, \quad FN_{agg} = \sum_{i=1}^{N} FN_i</w:t>
      </w:r>
    </w:p>
    <w:p>
      <w:pPr>
        <w:spacing w:before="40" w:after="120" w:line="276" w:lineRule="auto"/>
      </w:pPr>
      <w:r>
        <w:t>Aggregate precision, recall, and F1 are computed from these totals. Mean latency is the arithmetic mean of $T_{total}$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320" w:after="100"/>
        <w:jc w:val="left"/>
      </w:pPr>
      <w:r>
        <w:rPr>
          <w:rFonts w:ascii="Calibri" w:hAnsi="Calibri"/>
          <w:b/>
          <w:color w:val="1B365D"/>
          <w:sz w:val="20"/>
        </w:rPr>
        <w:t xml:space="preserve">Table 6: </w:t>
      </w:r>
      <w:r>
        <w:rPr>
          <w:rFonts w:ascii="Calibri" w:hAnsi="Calibri"/>
          <w:i/>
          <w:color w:val="2C3E50"/>
          <w:sz w:val="20"/>
        </w:rPr>
        <w:t>System-Level Aggregate Performance (EXP-VAL-20260729)</w:t>
      </w:r>
    </w:p>
    <w:p>
      <w:pPr>
        <w:keepNext/>
        <w:spacing w:before="200" w:after="60"/>
      </w:pPr>
      <w:r>
        <w:rPr>
          <w:rFonts w:ascii="Calibri" w:hAnsi="Calibri"/>
          <w:b/>
          <w:i/>
          <w:color w:val="2C3E50"/>
          <w:sz w:val="19"/>
        </w:rPr>
        <w:t>Table 6.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System</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Docs Evaluated</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Fields Extracted</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Mean Latency (ms)</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Fallback Count</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Avg HITL Review (s)</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Total Corrections</w:t>
            </w:r>
          </w:p>
        </w:tc>
        <w:tc>
          <w:tcPr>
            <w:vAlign w:val="center"/>
            <w:tcW w:w="66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Success Rate</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0.886</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0.939</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1,228</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SYS-BASE-2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34</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0.971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0.986</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0.914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0.955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2,402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SYS-PROP</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2,773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bl>
    <w:p>
      <w:pPr>
        <w:keepNext/>
        <w:spacing w:before="200" w:after="60"/>
      </w:pPr>
      <w:r>
        <w:rPr>
          <w:rFonts w:ascii="Calibri" w:hAnsi="Calibri"/>
          <w:b/>
          <w:i/>
          <w:color w:val="2C3E50"/>
          <w:sz w:val="19"/>
        </w:rPr>
        <w:t>Latency Breakdown (Mean per System)</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187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System</w:t>
            </w:r>
          </w:p>
        </w:tc>
        <w:tc>
          <w:tcPr>
            <w:vAlign w:val="center"/>
            <w:tcW w:w="187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Upload (ms)</w:t>
            </w:r>
          </w:p>
        </w:tc>
        <w:tc>
          <w:tcPr>
            <w:vAlign w:val="center"/>
            <w:tcW w:w="187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AI Inference (ms)</w:t>
            </w:r>
          </w:p>
        </w:tc>
        <w:tc>
          <w:tcPr>
            <w:vAlign w:val="center"/>
            <w:tcW w:w="187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DB Staging (ms)</w:t>
            </w:r>
          </w:p>
        </w:tc>
        <w:tc>
          <w:tcPr>
            <w:vAlign w:val="center"/>
            <w:tcW w:w="187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Total (ms)</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SYS-BASE-1</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1,056</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1,228</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SYS-BASE-2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1,850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2,073</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SYS-BASE-3</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2,160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2,402</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SYS-PROP</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2,510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141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2,773</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5_accuracy_comparison.png"/>
                    <pic:cNvPicPr/>
                  </pic:nvPicPr>
                  <pic:blipFill>
                    <a:blip r:embed="rId14"/>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5: Field Extraction Precision Comparison Across Evaluation Systems per Synthetic Document.</w:t>
      </w:r>
    </w:p>
    <w:p>
      <w:pPr>
        <w:spacing w:before="40" w:after="120" w:line="276" w:lineRule="auto"/>
      </w:pPr>
      <w:r>
        <w:t>Fig. 5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6_latency_breakdow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Mean Latency Decomposition (Upload, AI Inference, DB Staging) per System.</w:t>
      </w:r>
    </w:p>
    <w:p>
      <w:pPr>
        <w:spacing w:before="40" w:after="120" w:line="276" w:lineRule="auto"/>
      </w:pPr>
      <w:r>
        <w:t>Fig. 6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320" w:after="100"/>
        <w:jc w:val="left"/>
      </w:pPr>
      <w:r>
        <w:rPr>
          <w:rFonts w:ascii="Calibri" w:hAnsi="Calibri"/>
          <w:b/>
          <w:color w:val="1B365D"/>
          <w:sz w:val="20"/>
        </w:rPr>
        <w:t xml:space="preserve">Table 7: </w:t>
      </w:r>
      <w:r>
        <w:rPr>
          <w:rFonts w:ascii="Calibri" w:hAnsi="Calibri"/>
          <w:i/>
          <w:color w:val="2C3E50"/>
          <w:sz w:val="20"/>
        </w:rPr>
        <w:t>Category Breakdown and Quality Profile Impact (SYS-PROP Only)</w:t>
      </w:r>
    </w:p>
    <w:p>
      <w:pPr>
        <w:keepNext/>
        <w:spacing w:before="200" w:after="60"/>
      </w:pPr>
      <w:r>
        <w:rPr>
          <w:rFonts w:ascii="Calibri" w:hAnsi="Calibri"/>
          <w:b/>
          <w:i/>
          <w:color w:val="2C3E50"/>
          <w:sz w:val="19"/>
        </w:rPr>
        <w:t>Category-Level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040"/>
        <w:gridCol w:w="1040"/>
        <w:gridCol w:w="1040"/>
        <w:gridCol w:w="1040"/>
        <w:gridCol w:w="1040"/>
        <w:gridCol w:w="1040"/>
        <w:gridCol w:w="1040"/>
        <w:gridCol w:w="1040"/>
        <w:gridCol w:w="1040"/>
      </w:tblGrid>
      <w:tr>
        <w:trPr>
          <w:cantSplit/>
          <w:tblHeader/>
        </w:trPr>
        <w:tc>
          <w:tcPr>
            <w:vAlign w:val="center"/>
            <w:tcW w:w="12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Docs</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7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12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Avg Latency (ms)</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14</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2,800</w:t>
            </w:r>
          </w:p>
        </w:tc>
      </w:tr>
    </w:tbl>
    <w:p>
      <w:pPr>
        <w:keepNext/>
        <w:spacing w:before="200" w:after="60"/>
      </w:pPr>
      <w:r>
        <w:rPr>
          <w:rFonts w:ascii="Calibri" w:hAnsi="Calibri"/>
          <w:b/>
          <w:i/>
          <w:color w:val="2C3E50"/>
          <w:sz w:val="19"/>
        </w:rPr>
        <w:t>Quality Profile Impact on SYS-PROP</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560"/>
        <w:gridCol w:w="1560"/>
        <w:gridCol w:w="1560"/>
        <w:gridCol w:w="1560"/>
        <w:gridCol w:w="1560"/>
        <w:gridCol w:w="1560"/>
      </w:tblGrid>
      <w:tr>
        <w:trPr>
          <w:cantSplit/>
          <w:tblHeader/>
        </w:trPr>
        <w:tc>
          <w:tcPr>
            <w:vAlign w:val="center"/>
            <w:tcW w:w="1497"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Document ID</w:t>
            </w:r>
          </w:p>
        </w:tc>
        <w:tc>
          <w:tcPr>
            <w:vAlign w:val="center"/>
            <w:tcW w:w="1497"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Quality Profile</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F1-Score</w:t>
            </w:r>
          </w:p>
        </w:tc>
        <w:tc>
          <w:tcPr>
            <w:vAlign w:val="center"/>
            <w:tcW w:w="1497"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Fallback Triggered</w:t>
            </w:r>
          </w:p>
        </w:tc>
        <w:tc>
          <w:tcPr>
            <w:vAlign w:val="center"/>
            <w:tcW w:w="1497"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HITL Review (s)</w:t>
            </w:r>
          </w:p>
        </w:tc>
        <w:tc>
          <w:tcPr>
            <w:vAlign w:val="center"/>
            <w:tcW w:w="1497"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Fields Corrected</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SYNTH_CERT_001</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SYNTH_TT_002</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8</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SYNTH_ID_003</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SYNTH_MS_004</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3</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SYNTH_MS_005</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7</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bl>
    <w:p>
      <w:pPr>
        <w:keepNext/>
        <w:spacing w:before="200" w:after="60"/>
      </w:pPr>
      <w:r>
        <w:rPr>
          <w:rFonts w:ascii="Calibri" w:hAnsi="Calibri"/>
          <w:b/>
          <w:i/>
          <w:color w:val="2C3E50"/>
          <w:sz w:val="19"/>
        </w:rPr>
        <w:t>HITL Impact Analysis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4212"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51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Documents requiring HITL review</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5 of 5 (100%)</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review time</w:t>
            </w:r>
          </w:p>
        </w:tc>
        <w:tc>
          <w:tcPr>
            <w:vAlign w:val="center"/>
            <w:tcW w:w="51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35 seconds</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Mean review time per document</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7.0 seconds</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fields corrected</w:t>
            </w:r>
          </w:p>
        </w:tc>
        <w:tc>
          <w:tcPr>
            <w:vAlign w:val="center"/>
            <w:tcW w:w="51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Fields corrected per reviewed doc</w:t>
            </w:r>
          </w:p>
        </w:tc>
        <w:tc>
          <w:tcPr>
            <w:vAlign w:val="center"/>
            <w:tcW w:w="51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0.4</w:t>
            </w:r>
          </w:p>
        </w:tc>
      </w:tr>
      <w:tr>
        <w:trPr>
          <w:cantSplit/>
        </w:trPr>
        <w:tc>
          <w:tcPr>
            <w:vAlign w:val="center"/>
            <w:tcW w:w="421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Fallback-to-HITL correlation</w:t>
            </w:r>
          </w:p>
        </w:tc>
        <w:tc>
          <w:tcPr>
            <w:vAlign w:val="center"/>
            <w:tcW w:w="514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100% (3 of 3 fallback docs reviewed)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8" name="Picture 8"/>
            <wp:cNvGraphicFramePr>
              <a:graphicFrameLocks noChangeAspect="1"/>
            </wp:cNvGraphicFramePr>
            <a:graphic>
              <a:graphicData uri="http://schemas.openxmlformats.org/drawingml/2006/picture">
                <pic:pic>
                  <pic:nvPicPr>
                    <pic:cNvPr id="0" name="fig3_hitl_review.png"/>
                    <pic:cNvPicPr/>
                  </pic:nvPicPr>
                  <pic:blipFill>
                    <a:blip r:embed="rId16"/>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3: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3)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4)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320" w:after="100"/>
        <w:jc w:val="left"/>
      </w:pPr>
      <w:r>
        <w:rPr>
          <w:rFonts w:ascii="Calibri" w:hAnsi="Calibri"/>
          <w:b/>
          <w:color w:val="1B365D"/>
          <w:sz w:val="20"/>
        </w:rPr>
        <w:t xml:space="preserve">Table 8: </w:t>
      </w:r>
      <w:r>
        <w:rPr>
          <w:rFonts w:ascii="Calibri" w:hAnsi="Calibri"/>
          <w:i/>
          <w:color w:val="2C3E50"/>
          <w:sz w:val="20"/>
        </w:rPr>
        <w:t>Comprehensive Threats to Validity Matrix</w:t>
      </w:r>
    </w:p>
    <w:p>
      <w:pPr>
        <w:keepNext/>
        <w:spacing w:before="200" w:after="60"/>
      </w:pPr>
      <w:r>
        <w:rPr>
          <w:rFonts w:ascii="Calibri" w:hAnsi="Calibri"/>
          <w:b/>
          <w:i/>
          <w:color w:val="2C3E50"/>
          <w:sz w:val="19"/>
        </w:rPr>
        <w:t>Internal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Simulated data does not represent real-world document variability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Small sample size (N=5) limits statistical power</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explicitly. Results are for workflow validation only, not for generalization. Large-scale evaluation (N &gt;= 500) is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Ground truth generated programmatically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dataset includes disclaimer. Human-annotated validation set is planned for future work.</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Single baseline per system type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one representative system per category was evaluated. Multiple baselines per category are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reviewer is single and non-blind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Reviewer identity is known and not blinded to system source. Blinded multi-reviewer evaluation is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IV-6</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measurements include network variability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Measurements include end-to-end pipeline latency. Isolated AI inference latency is also recorded for comparison.</w:t>
            </w:r>
          </w:p>
        </w:tc>
      </w:tr>
    </w:tbl>
    <w:p>
      <w:pPr>
        <w:keepNext/>
        <w:spacing w:before="200" w:after="60"/>
      </w:pPr>
      <w:r>
        <w:rPr>
          <w:rFonts w:ascii="Calibri" w:hAnsi="Calibri"/>
          <w:b/>
          <w:i/>
          <w:color w:val="2C3E50"/>
          <w:sz w:val="19"/>
        </w:rPr>
        <w:t>External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Limited to academic documents (certificates, timetables, IDs, marksheets)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Synthetic data may not capture real document degradation patterns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Mobile camera quality profiles are simulated. Real-world mobile captures with varied lighting, angles, and devices are needed.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Results may not generalize across tenants with different document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Multi-tenant architecture is validated for isolation, but document format diversity across tenants is limited in this study.</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AI provider versions may change over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Gemini 2.5 Flash and gpt-4o-mini are specific versions. Future model updates may alter relative performance.</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Evaluation environment (hardware, network) not representative of production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Tests run in development environment. Production performance profiling is planned before deployment.</w:t>
            </w:r>
          </w:p>
        </w:tc>
      </w:tr>
    </w:tbl>
    <w:p>
      <w:pPr>
        <w:keepNext/>
        <w:spacing w:before="200" w:after="60"/>
      </w:pPr>
      <w:r>
        <w:rPr>
          <w:rFonts w:ascii="Calibri" w:hAnsi="Calibri"/>
          <w:b/>
          <w:i/>
          <w:color w:val="2C3E50"/>
          <w:sz w:val="19"/>
        </w:rPr>
        <w:t>Construct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F1-score may not capture all aspects of extraction quality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per-field confidence scores and HITL correction counts. Additional metrics (BLEU, edit distance) are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does not account for user-perceived response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latency is measured. Client-side rendering time and network latency are not separated.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"Success" metric is binary and does not reflect partial correctness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field-level precision, recall, and F1. Document-level success indicates pipeline completion, not quality.</w:t>
            </w:r>
          </w:p>
        </w:tc>
      </w:tr>
    </w:tbl>
    <w:p>
      <w:pPr>
        <w:keepNext/>
        <w:spacing w:before="200" w:after="60"/>
      </w:pPr>
      <w:r>
        <w:rPr>
          <w:rFonts w:ascii="Calibri" w:hAnsi="Calibri"/>
          <w:b/>
          <w:i/>
          <w:color w:val="2C3E50"/>
          <w:sz w:val="19"/>
        </w:rPr>
        <w:t>Conclusion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No statistical significance testing due to small 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Results are explicitly not claimed to be statistically significant. Hypothesis testing will be conducted with N &gt;= 500 in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CC-2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Performance differences between systems may be due to chance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Larger sample sizes and repeated trials are required for definitive conclusions.</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 effect on metrics is confounded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HITL-corrected results are tracked separately from raw AI output. Comparison between raw and corrected results is planned.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color w:val="222222"/>
          <w:sz w:val="22"/>
        </w:rPr>
      </w: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color w:val="222222"/>
          <w:sz w:val="22"/>
        </w:rPr>
      </w: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color w:val="222222"/>
          <w:sz w:val="22"/>
        </w:rPr>
      </w: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color w:val="222222"/>
          <w:sz w:val="22"/>
        </w:rPr>
      </w: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320" w:after="100"/>
        <w:jc w:val="left"/>
      </w:pPr>
      <w:r>
        <w:rPr>
          <w:rFonts w:ascii="Calibri" w:hAnsi="Calibri"/>
          <w:b/>
          <w:color w:val="1B365D"/>
          <w:sz w:val="20"/>
        </w:rPr>
        <w:t xml:space="preserve">Table 9: </w:t>
      </w:r>
      <w:r>
        <w:rPr>
          <w:rFonts w:ascii="Calibri" w:hAnsi="Calibri"/>
          <w:i/>
          <w:color w:val="2C3E50"/>
          <w:sz w:val="20"/>
        </w:rPr>
        <w:t>System, Data, and Methodological Limitations</w:t>
      </w:r>
    </w:p>
    <w:p>
      <w:pPr>
        <w:keepNext/>
        <w:spacing w:before="200" w:after="60"/>
      </w:pPr>
      <w:r>
        <w:rPr>
          <w:rFonts w:ascii="Calibri" w:hAnsi="Calibri"/>
          <w:b/>
          <w:i/>
          <w:color w:val="2C3E50"/>
          <w:sz w:val="19"/>
        </w:rPr>
        <w:t>Data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Small validation set</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5 synthetic documents used for benchmarking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Limits statistical power and generalizability of results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Scale to 500-10,000 documents with diverse formats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Synthetic-only dataset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real-world human-annotated documents</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Results may not reflect real degradation patterns and edge cases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Collect and annotate real academic document corpus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 language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All documents are in English</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System performance on multilingual documents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evaluation to Hindi, regional languages, and mixed-language documents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Limited document categories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CERTIFICATE, TIMETABLE, STUDENT_ID, MARKSHEET</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behavior on other academic documents (transcripts, diplomas) is unknown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Expand category taxonomy and re-evaluate</w:t>
            </w:r>
          </w:p>
        </w:tc>
      </w:tr>
    </w:tbl>
    <w:p>
      <w:pPr>
        <w:keepNext/>
        <w:spacing w:before="200" w:after="60"/>
      </w:pPr>
      <w:r>
        <w:rPr>
          <w:rFonts w:ascii="Calibri" w:hAnsi="Calibri"/>
          <w:b/>
          <w:i/>
          <w:color w:val="2C3E50"/>
          <w:sz w:val="19"/>
        </w:rPr>
        <w:t>System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Two-provider limitation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Gemini and OpenRouter are integrated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Provider availability and cost constraints may affect production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Abstract provider interface to support N providers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offline mode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requires internet for AI inference</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Not suitable for low-connectivity environments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local LLM fallback (e.g., Llama 3)</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OCR dependency</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Structured extraction relies on OCR quality for scanned documents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Poor scan quality may degrade results despite HITL</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adaptive OCR quality assessment and pre-processing</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Fixed field schema</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7 core fields are hardcoded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adapt to institution-specific document formats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dynamic field schema discovery</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Single-reviewer bias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 corrections performed by one reviewer</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Corrections may reflect individual interpretation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Multi-reviewer consensus protocol</w:t>
            </w:r>
          </w:p>
        </w:tc>
      </w:tr>
    </w:tbl>
    <w:p>
      <w:pPr>
        <w:keepNext/>
        <w:spacing w:before="200" w:after="60"/>
      </w:pPr>
      <w:r>
        <w:rPr>
          <w:rFonts w:ascii="Calibri" w:hAnsi="Calibri"/>
          <w:b/>
          <w:i/>
          <w:color w:val="2C3E50"/>
          <w:sz w:val="19"/>
        </w:rPr>
        <w:t>Methodological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statistical testing</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N=5 prevents meaningful hypothesis testing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Cannot claim statistical significance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Increase N and apply t-tests, Wilcoxon, Cohen's d</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longitudinal study</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Single snapshot evaluation</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assess system improvement over time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Conduct repeated evaluations across model versions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cost analysis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AI API costs not measured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cost of ownership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Track and report API costs per document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A/B testing</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randomized controlled trial</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isolate effect of individual features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Design factorial experiments for HITL, fallback, dual-provider</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Benchmarking not automated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Manual execution of benchmark</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Prone to human error and not reproducible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automated benchmark harness</w:t>
            </w:r>
          </w:p>
        </w:tc>
      </w:tr>
    </w:tbl>
    <w:p>
      <w:pPr>
        <w:keepNext/>
        <w:spacing w:before="200" w:after="60"/>
      </w:pPr>
      <w:r>
        <w:rPr>
          <w:rFonts w:ascii="Calibri" w:hAnsi="Calibri"/>
          <w:b/>
          <w:i/>
          <w:color w:val="2C3E50"/>
          <w:sz w:val="19"/>
        </w:rPr>
        <w:t>Scalability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Single-tenant validation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Multi-tenancy validated for isolation but not at scale</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Performance under concurrent multi-tenant load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load testing with 100+ concurrent tenants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No CDN or edge deployment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All processing centralized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Latency may be high for geographically distant users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Evaluate edge deployment and CDN strategies</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Database scaling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performance at scale not tested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Query performance may degrade with large document corpora</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Benchmark with 10K+ documents, add indexes, evaluate sharding</w:t>
            </w:r>
          </w:p>
        </w:tc>
      </w:tr>
    </w:tbl>
    <w:p>
      <w:pPr>
        <w:keepNext/>
        <w:spacing w:before="200" w:after="60"/>
      </w:pPr>
      <w:r>
        <w:rPr>
          <w:rFonts w:ascii="Calibri" w:hAnsi="Calibri"/>
          <w:b/>
          <w:i/>
          <w:color w:val="2C3E50"/>
          <w:sz w:val="19"/>
        </w:rPr>
        <w:t>Ethical and Regulatory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PII handling not evaluated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 contains no real PII</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Real-world PII compliance (GDPR, DPDP)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privacy impact assessment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bias evaluation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AI model biases not assessed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Potential for biased extractions across demographics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bias detection and fairness metrics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Audit trail completeness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Audit trail covers review actions but not AI decisions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Full explainability of AI outputs is limited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AI decision logging and explanation generation</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color w:val="222222"/>
          <w:sz w:val="22"/>
        </w:rPr>
      </w: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color w:val="222222"/>
          <w:sz w:val="22"/>
        </w:rPr>
      </w: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color w:val="222222"/>
          <w:sz w:val="22"/>
        </w:rPr>
      </w: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color w:val="222222"/>
          <w:sz w:val="22"/>
        </w:rPr>
      </w: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color w:val="222222"/>
          <w:sz w:val="22"/>
        </w:rPr>
      </w: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320" w:after="100"/>
        <w:jc w:val="left"/>
      </w:pPr>
      <w:r>
        <w:rPr>
          <w:rFonts w:ascii="Calibri" w:hAnsi="Calibri"/>
          <w:b/>
          <w:color w:val="1B365D"/>
          <w:sz w:val="20"/>
        </w:rPr>
        <w:t xml:space="preserve">Table 10: </w:t>
      </w:r>
      <w:r>
        <w:rPr>
          <w:rFonts w:ascii="Calibri" w:hAnsi="Calibri"/>
          <w:i/>
          <w:color w:val="2C3E50"/>
          <w:sz w:val="20"/>
        </w:rPr>
        <w:t>Multi-Horizon Research Agenda for AU DIC v2.0</w:t>
      </w:r>
    </w:p>
    <w:p>
      <w:pPr>
        <w:keepNext/>
        <w:spacing w:before="200" w:after="60"/>
      </w:pPr>
      <w:r>
        <w:rPr>
          <w:rFonts w:ascii="Calibri" w:hAnsi="Calibri"/>
          <w:b/>
          <w:i/>
          <w:color w:val="2C3E50"/>
          <w:sz w:val="19"/>
        </w:rPr>
        <w:t>Immediate (Next 3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Scale benchmark to 500 documents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Expand synthetic dataset to 500 documents with 10+ quality profiles and 8+ document categories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FW-2</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Collect real-world validation set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Partner with 2-3 educational institutions to collect anonymized real documents with human annotations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FW-3</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Implement automated benchmark harness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CI/CD-integrated benchmark pipeline that runs nightly and tracks regression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FW-4</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Add statistical analysis</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Apply t-tests, Wilcoxon signed-rank, and Cohen's d to compare system pairs with N &gt;= 500</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FW-5</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Multi-reviewer HITL study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Recruit 3-5 reviewers per document to measure inter-rater reliability (Cohen's kappa)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Short-Term (3-6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FW-6</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Dynamic field schema discovery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Replace hardcoded 7-field schema with AI-driven field discovery that adapts to institution-specific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FW-7</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Local LLM fallback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Integrate Llama 3 or Mistral for offline/edge processing scenarios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FW-8</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Multilingual support</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extraction to Hindi, Tamil, Bengali, and other regional languages used in academic documents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FW-9</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Cost analysis and optimization</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Track per-document AI API costs and implement cost-aware provider routing</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Explainable AI outputs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Log and expose AI reasoning for each extracted field to support reviewer trust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Medium-Term (6-12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Large-scale evaluation (10,000+ docs)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full benchmark with 10,000+ documents across multiple institutions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FW-12</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A/B testing framework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feature flag system for controlled experiments (HITL on/off, dual-provider on/off)</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FW-13</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Cross-domain adaptation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system beyond academic documents to invoices, receipts, legal contracts, medical records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FW-14</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Federated learning for multi-tenant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Explore federated fine-tuning of extraction models per tenant without sharing data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FW-15</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Real-time collaboration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Enable multiple reviewers to collaborate on HITL review with conflict resolution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r>
    </w:tbl>
    <w:p>
      <w:pPr>
        <w:keepNext/>
        <w:spacing w:before="200" w:after="60"/>
      </w:pPr>
      <w:r>
        <w:rPr>
          <w:rFonts w:ascii="Calibri" w:hAnsi="Calibri"/>
          <w:b/>
          <w:i/>
          <w:color w:val="2C3E50"/>
          <w:sz w:val="19"/>
        </w:rPr>
        <w:t>Long-Term (12+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FW-16</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Self-improving system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 HITL corrections as training data to fine-tune extraction models and reduce reviewer burden over time</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FW-17</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Cross-institutional benchmarking</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Publish open benchmark with ground truth for academic document intelligence community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FW-18</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Integration with LMS platforms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Native integrations with Moodle, Canvas, Google Classroom for seamless document ingestion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FW-19</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Mobile-first HITL</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Develop mobile-optimized review interface for on-the-go verification</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FW-20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Compliance framework</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Build GDPR, DPDP, and HIPAA compliance features including data residency and consent management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bl>
    <w:p>
      <w:pPr>
        <w:keepNext/>
        <w:spacing w:before="200" w:after="60"/>
      </w:pPr>
      <w:r>
        <w:rPr>
          <w:rFonts w:ascii="Calibri" w:hAnsi="Calibri"/>
          <w:b/>
          <w:i/>
          <w:color w:val="2C3E50"/>
          <w:sz w:val="19"/>
        </w:rPr>
        <w:t>Research Directions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93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56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Theoretical bounds on dual-provider accuracy</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Formal analysis of how provider diversity impacts extraction accuracy and error correlation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HITL scheduling optimization</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Determine optimal threshold for routing documents to HITL vs. auto-approval to minimize reviewer burden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RD-3</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Adversarial robustness</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Evaluate system resilience to adversarially crafted documents designed to fool extraction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RD-4</w:t>
            </w:r>
          </w:p>
        </w:tc>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Cross-lingual transfer</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Study how training on one language affects extraction quality on related languages</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RD-5</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Economic modeling</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cost-benefit model for HITL vs. fully automated extraction in production SaaS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Document Information Extraction Service," SAP Help Portal, Document ID: doc-ie-v2, 2024. [Online]. Available: https://help.sap.com/docs/</w:t>
      </w:r>
    </w:p>
    <w:p>
      <w:pPr>
        <w:spacing w:before="40" w:after="80"/>
        <w:ind w:left="432" w:hanging="432"/>
      </w:pPr>
      <w:r>
        <w:rPr>
          <w:rFonts w:ascii="Calibri" w:hAnsi="Calibri"/>
          <w:color w:val="222222"/>
          <w:sz w:val="20"/>
        </w:rPr>
        <w:t>[6] Workday, Inc., "Workday Human Capital Management: Automated Document Processing Engine," Workday Documentation, 2024. [Online]. Available: https://docs.workday.com/</w:t>
      </w:r>
    </w:p>
    <w:p>
      <w:pPr>
        <w:spacing w:before="40" w:after="80"/>
        <w:ind w:left="432" w:hanging="432"/>
      </w:pPr>
      <w:r>
        <w:rPr>
          <w:rFonts w:ascii="Calibri" w:hAnsi="Calibri"/>
          <w:color w:val="222222"/>
          <w:sz w:val="20"/>
        </w:rPr>
        <w:t>[7] Moodle Pty Ltd, "Moodle: Open-source learning platform core file API," Moodle Documentation, 2024. [Online]. Available: https://docs.moodle.org/</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R. R. Hoffman, M. C. Mozer, and C. A. Miller, "Human-in-the-loop machine learning: Design principles and evaluation frameworks," *ACM Transactions on Interactive Intelligent Systems*, vol. 13, no. 3, pp. 1-36, 2023.</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Manual: Multi-Document ACID Transactions," MongoDB Documentation, v7.0, 2024. [Online]. Available: https://www.mongodb.com/docs/manual/core/transactions/</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Cloud, "Human-in-the-loop AI: Designing AI systems with human oversight," Google AI Architecture Center, 2023. [Online]. Available: https://cloud.google.com/architecture/ai-ml</w:t>
      </w:r>
    </w:p>
    <w:p>
      <w:pPr>
        <w:spacing w:before="40" w:after="80"/>
        <w:ind w:left="432" w:hanging="432"/>
      </w:pPr>
      <w:r>
        <w:rPr>
          <w:rFonts w:ascii="Calibri" w:hAnsi="Calibri"/>
          <w:color w:val="222222"/>
          <w:sz w:val="20"/>
        </w:rPr>
        <w:t>[25] Amazon Web Services, "Amazon Augmented AI (A2I): Human-in-the-loop machine learning," AWS Documentation, 2024. [Online]. Available: https://docs.aws.amazon.com/augmented-ai/</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K. Rajput, R. Sharma, and C. Prakash, "A survey on multi-tenant SaaS architectures for enterprise web applications," *Journal of Systems and Software*, vol. 198, art. no. 111580,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320" w:after="100"/>
        <w:jc w:val="left"/>
      </w:pPr>
      <w:r>
        <w:rPr>
          <w:rFonts w:ascii="Calibri" w:hAnsi="Calibri"/>
          <w:b/>
          <w:color w:val="1B365D"/>
          <w:sz w:val="20"/>
        </w:rPr>
        <w:t xml:space="preserve">Table 5: </w:t>
      </w:r>
      <w:r>
        <w:rPr>
          <w:rFonts w:ascii="Calibri" w:hAnsi="Calibri"/>
          <w:i/>
          <w:color w:val="2C3E50"/>
          <w:sz w:val="20"/>
        </w:rPr>
        <w:t>Document-Level Evaluation Results (EXP-VAL-20260729)</w:t>
      </w:r>
    </w:p>
    <w:p>
      <w:pPr>
        <w:keepNext/>
        <w:spacing w:before="200" w:after="60"/>
      </w:pPr>
      <w:r>
        <w:rPr>
          <w:rFonts w:ascii="Calibri" w:hAnsi="Calibri"/>
          <w:b/>
          <w:i/>
          <w:color w:val="2C3E50"/>
          <w:sz w:val="19"/>
        </w:rPr>
        <w:t>SYS-BASE-1: Tesseract OCR v5.0 (No-AI)</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1,145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1,245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985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1,280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1,485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SYS-BASE-2: Gemini 1.5 Pro (Single, no fallback)</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2,065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2,140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1,935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2,035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2,190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SYS-BASE-3: OpenRouter gpt-4o-mini (Single)</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2,330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2,465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2,260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2,400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2,555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SYS-PROP: AU DIC Hybrid (Dual-Provider + HITL Staging)</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2,620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2,980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