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rPr>
          <w:rFonts w:ascii="Times New Roman" w:hAnsi="Times New Roman"/>
          <w:b/>
          <w:sz w:val="20"/>
        </w:rPr>
        <w:t>Authors</w:t>
      </w:r>
      <w:r>
        <w:rPr>
          <w:rFonts w:ascii="Times New Roman" w:hAnsi="Times New Roman"/>
          <w:sz w:val="20"/>
        </w:rPr>
        <w:t>: AU DIC Research Team</w:t>
      </w:r>
    </w:p>
    <w:p w14:paraId="39299AC9">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30DF3D25">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14C6355">
      <w:pPr>
        <w:spacing w:before="40" w:after="80" w:line="276" w:lineRule="auto"/>
      </w:pPr>
      <w:r>
        <w:rPr>
          <w:rFonts w:ascii="Times New Roman" w:hAnsi="Times New Roman"/>
          <w:sz w:val="20"/>
        </w:rPr>
        <w:t>---</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w:r>
        <w:rPr>
          <w:rFonts w:ascii="Times New Roman" w:hAnsi="Times New Roman"/>
          <w:sz w:val="20"/>
        </w:rPr>
        <w:t>We evaluate the benchmark suite across 360 specimens (</w:t>
      </w: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060AE78D">
      <w:pPr>
        <w:spacing w:before="40" w:after="80" w:line="276" w:lineRule="auto"/>
      </w:pPr>
      <w:r>
        <w:rPr>
          <w:rFonts w:ascii="Times New Roman" w:hAnsi="Times New Roman"/>
          <w:sz w:val="20"/>
        </w:rPr>
        <w:t>---</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 [27], [30], [33].</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classical OCR engines, Large Language Models (LLMs), and Vision-Language Models (VLMs) under controlled experimental conditions.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C7932EC">
      <w:pPr>
        <w:spacing w:before="40" w:after="80" w:line="276" w:lineRule="auto"/>
      </w:pPr>
      <w:r>
        <w:rPr>
          <w:rFonts w:ascii="Times New Roman" w:hAnsi="Times New Roman"/>
          <w:sz w:val="20"/>
        </w:rPr>
        <w:t>---</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rPr>
          <w:rFonts w:ascii="Times New Roman" w:hAnsi="Times New Roman"/>
          <w:b/>
          <w:sz w:val="20"/>
        </w:rPr>
        <w:t>Fine-Grained Layout Attention &amp; Unified Tokenization</w:t>
      </w:r>
      <w:r>
        <w:rPr>
          <w:rFonts w:ascii="Times New Roman" w:hAnsi="Times New Roman"/>
          <w:sz w:val="20"/>
        </w:rPr>
        <w:t xml:space="preserve">: </w:t>
      </w:r>
      <w:r>
        <w:rPr>
          <w:rFonts w:ascii="Times New Roman" w:hAnsi="Times New Roman"/>
          <w:b/>
          <w:sz w:val="20"/>
        </w:rPr>
        <w:t>DocFormers 2.0</w:t>
      </w:r>
      <w:r>
        <w:rPr>
          <w:rFonts w:ascii="Times New Roman" w:hAnsi="Times New Roman"/>
          <w:sz w:val="20"/>
        </w:rPr>
        <w:t xml:space="preserve"> [32] introduced fine-grained multimodal layout attention, </w:t>
      </w:r>
      <w:r>
        <w:rPr>
          <w:rFonts w:ascii="Times New Roman" w:hAnsi="Times New Roman"/>
          <w:b/>
          <w:sz w:val="20"/>
        </w:rPr>
        <w:t>Kim et al.</w:t>
      </w:r>
      <w:r>
        <w:rPr>
          <w:rFonts w:ascii="Times New Roman" w:hAnsi="Times New Roman"/>
          <w:sz w:val="20"/>
        </w:rPr>
        <w:t xml:space="preserve"> [34] established unified document tokenization for high-resolution page understanding, and </w:t>
      </w:r>
      <w:r>
        <w:rPr>
          <w:rFonts w:ascii="Times New Roman" w:hAnsi="Times New Roman"/>
          <w:b/>
          <w:sz w:val="20"/>
        </w:rPr>
        <w:t>Martinez et al.</w:t>
      </w:r>
      <w:r>
        <w:rPr>
          <w:rFonts w:ascii="Times New Roman" w:hAnsi="Times New Roman"/>
          <w:sz w:val="20"/>
        </w:rPr>
        <w:t xml:space="preserve"> [33] benchmarked OCR-free vision-language architectures under physical image distortions.</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rPr>
          <w:rFonts w:ascii="Times New Roman" w:hAnsi="Times New Roman"/>
          <w:sz w:val="20"/>
        </w:rPr>
        <w:t>Table 0 provides an objective, comprehensive comparative analysis contrasting ADBG v1.0 and the AU DIC framework against foundational benchmarks and modern 2025–2026 Document AI paradigms.</w:t>
      </w:r>
    </w:p>
    <w:p w14:paraId="50009E26">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2EA679E7">
      <w:pPr>
        <w:spacing w:after="120"/>
      </w:pPr>
    </w:p>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2FB5DAD">
      <w:pPr>
        <w:spacing w:before="40" w:after="80" w:line="276" w:lineRule="auto"/>
      </w:pPr>
      <w:r>
        <w:rPr>
          <w:rFonts w:ascii="Times New Roman" w:hAnsi="Times New Roman"/>
          <w:sz w:val="20"/>
        </w:rPr>
        <w:t>---</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jc w:val="center"/>
      </w:pPr>
      <w:r>
        <w:drawing>
          <wp:inline distT="0" distB="0" distL="114300" distR="114300">
            <wp:extent cx="2794635" cy="773176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794635" cy="7731760"/>
                    </a:xfrm>
                    <a:prstGeom prst="rect">
                      <a:avLst/>
                    </a:prstGeom>
                  </pic:spPr>
                </pic:pic>
              </a:graphicData>
            </a:graphic>
          </wp: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6E16FD90">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A6A26F3">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72A6DE10">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2E663D9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125609C0">
      <w:pPr>
        <w:spacing w:after="120"/>
      </w:pPr>
    </w:p>
    <w:p w14:paraId="433FE6AF">
      <w:pPr>
        <w:spacing w:before="40" w:after="80" w:line="276" w:lineRule="auto"/>
      </w:pPr>
      <w:r>
        <w:rPr>
          <w:rFonts w:ascii="Times New Roman" w:hAnsi="Times New Roman"/>
          <w:sz w:val="20"/>
        </w:rPr>
        <w:t>---</w:t>
      </w:r>
    </w:p>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2657B9BC">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0B6F120C">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3A5AC0ED">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526006D4">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bookmarkStart w:id="0" w:name="_GoBack"/>
      <w:bookmarkEnd w:id="0"/>
    </w:p>
    <w:p w14:paraId="3096A6D7">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[21] between canonically normalized predicted field strings and expected ground truth field strings, normalized by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456E9AE3">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28D3FA95">
      <w:pPr>
        <w:spacing w:before="20" w:after="40"/>
        <w:ind w:left="360"/>
      </w:pPr>
      <w:r>
        <w:rPr>
          <w:rFonts w:ascii="Times New Roman" w:hAnsi="Times New Roman"/>
          <w:b/>
          <w:sz w:val="20"/>
        </w:rPr>
        <w:t>4. Word Error Rate (WER)</w:t>
      </w:r>
      <w:r>
        <w:rPr>
          <w:rFonts w:ascii="Times New Roman" w:hAnsi="Times New Roman"/>
          <w:sz w:val="20"/>
        </w:rPr>
        <w:t>: Tokenized word-level edit distance [20]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456A4CA1">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22B41161">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4D33CC89">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6B789D83">
      <w:pPr>
        <w:spacing w:before="40" w:after="80" w:line="276" w:lineRule="auto"/>
      </w:pPr>
      <w:r>
        <w:rPr>
          <w:rFonts w:ascii="Times New Roman" w:hAnsi="Times New Roman"/>
          <w:sz w:val="20"/>
        </w:rPr>
        <w:t>---</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71A92F66">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D758CA0">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6DD2ED62">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8D6DDA">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6E0B802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780474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1A773B1A">
            <w:pPr>
              <w:spacing w:before="40" w:after="40"/>
              <w:jc w:val="center"/>
            </w:pPr>
            <w:r>
              <w:rPr>
                <w:rFonts w:ascii="Times New Roman" w:hAnsi="Times New Roman"/>
                <w:b/>
                <w:color w:val="FFFFFF"/>
                <w:sz w:val="19"/>
              </w:rP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18678141">
      <w:pPr>
        <w:spacing w:after="120"/>
      </w:pPr>
    </w:p>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rPr>
          <w:rFonts w:ascii="Times New Roman" w:hAnsi="Times New Roman"/>
          <w:b/>
          <w:i/>
          <w:sz w:val="21"/>
        </w:rPr>
        <w:t>5.4.1 Inference Pipeline Disambiguation (Option B)</w:t>
      </w:r>
    </w:p>
    <w:p w14:paraId="7661D40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7B658E96">
      <w:pPr>
        <w:spacing w:before="160" w:after="80"/>
        <w:jc w:val="center"/>
      </w:pPr>
      <w:r>
        <w:drawing>
          <wp:inline distT="0" distB="0" distL="114300" distR="11430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62752EBD">
      <w:pPr>
        <w:spacing w:after="160"/>
        <w:jc w:val="center"/>
      </w:pPr>
      <w:r>
        <w:rPr>
          <w:rFonts w:ascii="Times New Roman" w:hAnsi="Times New Roman"/>
          <w:b/>
          <w:color w:val="003366"/>
          <w:sz w:val="19"/>
        </w:rPr>
        <w:t>Fig. 3. Option B Zero-Shot Text-Prompted Neural LLM Evaluation Pipeline Architecture.</w:t>
      </w:r>
    </w:p>
    <w:p w14:paraId="109F1399">
      <w:pPr>
        <w:spacing w:before="40" w:after="80" w:line="276" w:lineRule="auto"/>
      </w:pPr>
      <w:r>
        <w:rPr>
          <w:rFonts w:ascii="Times New Roman" w:hAnsi="Times New Roman"/>
          <w:sz w:val="20"/>
        </w:rPr>
        <w:t xml:space="preserve">Fig. 3 depicts the Option B zero-shot text-prompted neural LLM evaluation pipeline architecture. 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21FBA05F">
      <w:pPr>
        <w:spacing w:before="40" w:after="80" w:line="276" w:lineRule="auto"/>
      </w:pPr>
      <w:r>
        <w:rPr>
          <w:rFonts w:ascii="Times New Roman" w:hAnsi="Times New Roman"/>
          <w:sz w:val="20"/>
        </w:rPr>
        <w:t>Table 2 details live model extraction and document category classification performance evaluated on Groq Cloud Llama 3.1 8B Instant.</w:t>
      </w:r>
    </w:p>
    <w:p w14:paraId="29D205C5">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293CE496">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10FE9E63">
            <w:pPr>
              <w:spacing w:before="40" w:after="40"/>
              <w:jc w:val="center"/>
            </w:pPr>
            <w:r>
              <w:rPr>
                <w:rFonts w:ascii="Times New Roman" w:hAnsi="Times New Roman"/>
                <w:b/>
                <w:color w:val="FFFFFF"/>
                <w:sz w:val="19"/>
              </w:rP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63E7BE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1D8298">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66FFFC0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B61E41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6CA88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3FED81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41A060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3F52F76">
            <w:pPr>
              <w:spacing w:before="40" w:after="40"/>
              <w:jc w:val="center"/>
            </w:pPr>
            <w:r>
              <w:rPr>
                <w:rFonts w:ascii="Times New Roman" w:hAnsi="Times New Roman"/>
                <w:sz w:val="18"/>
              </w:rP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0DE6AB5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EB505E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0F6E5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E470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02D05BF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7E58A7E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AB6AC97">
            <w:pPr>
              <w:spacing w:before="40" w:after="40"/>
              <w:jc w:val="center"/>
            </w:pPr>
            <w:r>
              <w:rPr>
                <w:rFonts w:ascii="Times New Roman" w:hAnsi="Times New Roman"/>
                <w:sz w:val="18"/>
              </w:rP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E8E1A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7A54031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56AF2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247317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3E6999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C756EE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E0B3D0C">
            <w:pPr>
              <w:spacing w:before="40" w:after="40"/>
              <w:jc w:val="center"/>
            </w:pPr>
            <w:r>
              <w:rPr>
                <w:rFonts w:ascii="Times New Roman" w:hAnsi="Times New Roman"/>
                <w:sz w:val="18"/>
              </w:rP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FC658C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DBCE0C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0EC234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5B74AC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5804FB">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6EE89C6A">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6BBBD7B">
            <w:pPr>
              <w:spacing w:before="40" w:after="40"/>
              <w:jc w:val="center"/>
            </w:pPr>
            <w:r>
              <w:rPr>
                <w:rFonts w:ascii="Times New Roman" w:hAnsi="Times New Roman"/>
                <w:sz w:val="18"/>
              </w:rP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093241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7DA7CB4">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DD33A9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FCD709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F8CBF4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C1501CF">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AF8FCAB">
            <w:pPr>
              <w:spacing w:before="40" w:after="40"/>
              <w:jc w:val="center"/>
            </w:pPr>
            <w:r>
              <w:rPr>
                <w:rFonts w:ascii="Times New Roman" w:hAnsi="Times New Roman"/>
                <w:b/>
                <w:sz w:val="18"/>
              </w:rPr>
              <w:t>0.00%</w:t>
            </w:r>
          </w:p>
        </w:tc>
      </w:tr>
    </w:tbl>
    <w:p w14:paraId="445F0E85">
      <w:pPr>
        <w:spacing w:after="120"/>
      </w:pPr>
    </w:p>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59DEFCF">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rPr>
          <w:rFonts w:ascii="Times New Roman" w:hAnsi="Times New Roman"/>
          <w:sz w:val="20"/>
        </w:rPr>
        <w: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rPr>
          <w:rFonts w:ascii="Times New Roman" w:hAnsi="Times New Roman"/>
          <w:sz w:val="20"/>
        </w:rPr>
        <w:t>Table 3 summarizes the empirical metric impact of semantic canonical normalization measured during the two-pass ablation study.</w:t>
      </w:r>
    </w:p>
    <w:p w14:paraId="17F928D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09DD34EF">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E364019">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3A0CD186">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7CC0946">
            <w:pPr>
              <w:spacing w:before="40" w:after="40"/>
              <w:jc w:val="center"/>
            </w:pPr>
            <w:r>
              <w:rPr>
                <w:rFonts w:ascii="Times New Roman" w:hAnsi="Times New Roman"/>
                <w:b/>
                <w:color w:val="FFFFFF"/>
                <w:sz w:val="19"/>
              </w:rPr>
              <w:t>Mean WER</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747A485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F1F416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9F7D00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A0DDE50">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0CAB29A">
            <w:pPr>
              <w:spacing w:before="40" w:after="40"/>
              <w:jc w:val="center"/>
            </w:pPr>
            <w:r>
              <w:rPr>
                <w:rFonts w:ascii="Times New Roman" w:hAnsi="Times New Roman"/>
                <w:sz w:val="18"/>
              </w:rPr>
              <w:t>285.31%</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F51C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52DCBC">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2385BA7">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835AC34">
            <w:pPr>
              <w:spacing w:before="40" w:after="40"/>
              <w:jc w:val="center"/>
            </w:pPr>
            <w:r>
              <w:rPr>
                <w:rFonts w:ascii="Times New Roman" w:hAnsi="Times New Roman"/>
                <w:b/>
                <w:sz w:val="18"/>
              </w:rPr>
              <w:t>27.01%</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79B6828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C43BF7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0B3CF">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552A3AE">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8569E93">
            <w:pPr>
              <w:spacing w:before="40" w:after="40"/>
              <w:jc w:val="center"/>
            </w:pPr>
            <w:r>
              <w:rPr>
                <w:rFonts w:ascii="Times New Roman" w:hAnsi="Times New Roman"/>
                <w:b/>
                <w:sz w:val="18"/>
              </w:rPr>
              <w:t>-258.30%</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5D041F5A">
      <w:pPr>
        <w:spacing w:after="120"/>
      </w:pPr>
    </w:p>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6BAA8573">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4949581">
      <w:pPr>
        <w:spacing w:after="120"/>
      </w:pPr>
    </w:p>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1B7C724">
      <w:pPr>
        <w:pStyle w:val="23"/>
        <w:spacing w:before="20" w:after="40"/>
      </w:pPr>
      <w:r>
        <w:rPr>
          <w:rFonts w:ascii="Times New Roman" w:hAnsi="Times New Roman"/>
          <w:b/>
          <w:sz w:val="20"/>
        </w:rPr>
        <w:t>Fig. 4</w:t>
      </w:r>
      <w:r>
        <w:rPr>
          <w:rFonts w:ascii="Times New Roman" w:hAnsi="Times New Roman"/>
          <w:sz w:val="20"/>
        </w:rPr>
        <w:t xml:space="preserve"> illustrates accuracy improvement after semantic canonical normalization.</w:t>
      </w:r>
    </w:p>
    <w:p w14:paraId="7ABE8873">
      <w:pPr>
        <w:pStyle w:val="23"/>
        <w:spacing w:before="20" w:after="40"/>
      </w:pPr>
      <w:r>
        <w:rPr>
          <w:rFonts w:ascii="Times New Roman" w:hAnsi="Times New Roman"/>
          <w:b/>
          <w:sz w:val="20"/>
        </w:rPr>
        <w:t>Fig. 5</w:t>
      </w:r>
      <w:r>
        <w:rPr>
          <w:rFonts w:ascii="Times New Roman" w:hAnsi="Times New Roman"/>
          <w:sz w:val="20"/>
        </w:rPr>
        <w:t xml:space="preserve"> shows Character Error Rate (CER) and Word Error Rate (WER) reduction resulting from canonical normalization.</w:t>
      </w:r>
    </w:p>
    <w:p w14:paraId="4FCB3581">
      <w:pPr>
        <w:pStyle w:val="23"/>
        <w:spacing w:before="20" w:after="40"/>
      </w:pPr>
      <w:r>
        <w:rPr>
          <w:rFonts w:ascii="Times New Roman" w:hAnsi="Times New Roman"/>
          <w:b/>
          <w:sz w:val="20"/>
        </w:rPr>
        <w:t>Fig. 6</w:t>
      </w:r>
      <w:r>
        <w:rPr>
          <w:rFonts w:ascii="Times New Roman" w:hAnsi="Times New Roman"/>
          <w:sz w:val="20"/>
        </w:rPr>
        <w:t xml:space="preserve"> presents total false-negative field mismatches resolved by each individual domain normalizer rule.</w:t>
      </w:r>
    </w:p>
    <w:p w14:paraId="5688C503">
      <w:pPr>
        <w:pStyle w:val="23"/>
        <w:spacing w:before="20" w:after="40"/>
      </w:pPr>
      <w:r>
        <w:rPr>
          <w:rFonts w:ascii="Times New Roman" w:hAnsi="Times New Roman"/>
          <w:b/>
          <w:sz w:val="20"/>
        </w:rPr>
        <w:t>Fig. 7</w:t>
      </w:r>
      <w:r>
        <w:rPr>
          <w:rFonts w:ascii="Times New Roman" w:hAnsi="Times New Roman"/>
          <w:sz w:val="20"/>
        </w:rPr>
        <w:t xml:space="preserve"> depicts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rPr>
          <w:rFonts w:ascii="Times New Roman" w:hAnsi="Times New Roman"/>
          <w:sz w:val="20"/>
        </w:rPr>
        <w:t xml:space="preserve">Routing field extractions through CanonicalNormalizer (Pass B) recovers true extraction performance, boosting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5DAB0695">
      <w:pPr>
        <w:spacing w:before="40" w:after="80" w:line="276" w:lineRule="auto"/>
      </w:pPr>
      <w:r>
        <w:rPr>
          <w:rFonts w:ascii="Times New Roman" w:hAnsi="Times New Roman"/>
          <w:sz w:val="20"/>
        </w:rPr>
        <w:t>Table 5 summarizes statistical hypothesis testing results across the 5,760 paired field observations.</w:t>
      </w:r>
    </w:p>
    <w:p w14:paraId="0E5E9854">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6DFBE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8CB6E77">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140756C">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64AAC8C">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7D6B92D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030B7A06">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4C6E366B">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FB2FEBF">
            <w:pPr>
              <w:spacing w:before="40" w:after="40"/>
              <w:jc w:val="center"/>
            </w:pPr>
            <w:r>
              <w:rPr>
                <w:rFonts w:ascii="Times New Roman" w:hAnsi="Times New Roman"/>
                <w:b/>
                <w:color w:val="FFFFFF"/>
                <w:sz w:val="19"/>
              </w:rPr>
              <w:t>Significance Level</w:t>
            </w:r>
          </w:p>
        </w:tc>
      </w:tr>
      <w:tr w14:paraId="109DED9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05AF4432">
            <w:pPr>
              <w:spacing w:before="40" w:after="40"/>
              <w:jc w:val="left"/>
            </w:pPr>
            <w:r>
              <w:rPr>
                <w:rFonts w:ascii="Times New Roman" w:hAnsi="Times New Roman"/>
                <w:b/>
                <w:sz w:val="18"/>
              </w:rPr>
              <w:t>McNemar Test</w:t>
            </w:r>
            <w:r>
              <w:rPr>
                <w:rFonts w:ascii="Times New Roman" w:hAnsi="Times New Roman"/>
                <w:sz w:val="18"/>
              </w:rPr>
              <w:t xml:space="preserve"> [22]</w:t>
            </w:r>
          </w:p>
        </w:tc>
        <w:tc>
          <w:tcPr>
            <w:tcW w:w="1337" w:type="dxa"/>
            <w:shd w:val="clear" w:color="auto" w:fill="FFFFFF"/>
            <w:tcMar>
              <w:top w:w="100" w:type="dxa"/>
              <w:left w:w="130" w:type="dxa"/>
              <w:bottom w:w="100" w:type="dxa"/>
              <w:right w:w="130" w:type="dxa"/>
            </w:tcMar>
          </w:tcPr>
          <w:p w14:paraId="74644C47">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8916090">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0D99A008">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41BD005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100D1F57">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78133BB7">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5A435A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07AE8AD">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8F9FA"/>
            <w:tcMar>
              <w:top w:w="100" w:type="dxa"/>
              <w:left w:w="130" w:type="dxa"/>
              <w:bottom w:w="100" w:type="dxa"/>
              <w:right w:w="130" w:type="dxa"/>
            </w:tcMar>
          </w:tcPr>
          <w:p w14:paraId="0A68209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FA2065">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163C01BF">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3DEF9D35">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7ABA1916">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0C319A5E">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340E8B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D2B9C0F">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FFFFF"/>
            <w:tcMar>
              <w:top w:w="100" w:type="dxa"/>
              <w:left w:w="130" w:type="dxa"/>
              <w:bottom w:w="100" w:type="dxa"/>
              <w:right w:w="130" w:type="dxa"/>
            </w:tcMar>
          </w:tcPr>
          <w:p w14:paraId="5EF5E9AC">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4919BAB7">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58A1A845">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6A32979F">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777CBEC9">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1CDFDD94">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68ADB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8E43F6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358E2A89">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661063D">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13D9D2F5">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1E5CC5C1">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142ADBF7">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45E8C6CD">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0B7C4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92331F">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A36186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11A86AB7">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26950817">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4FDF2C2A">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4BD8E7D9">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0E798EB2">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3E373470">
      <w:pPr>
        <w:spacing w:after="120"/>
      </w:pPr>
    </w:p>
    <w:p w14:paraId="788D6430">
      <w:pPr>
        <w:spacing w:before="40" w:after="80" w:line="276" w:lineRule="auto"/>
      </w:pPr>
      <w:r>
        <w:rPr>
          <w:rFonts w:ascii="Times New Roman" w:hAnsi="Times New Roman"/>
          <w:sz w:val="20"/>
        </w:rPr>
        <w:t xml:space="preserve">McNemar's test [22]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4F9F57F8">
      <w:pPr>
        <w:keepNext/>
        <w:spacing w:before="200" w:after="80"/>
      </w:pPr>
      <w:r>
        <w:rPr>
          <w:rFonts w:ascii="Times New Roman" w:hAnsi="Times New Roman"/>
          <w:b/>
          <w:color w:val="333333"/>
          <w:sz w:val="23"/>
        </w:rPr>
        <w:t>5.7 Non-Parametric 95% Bootstrap Confidence Intervals</w:t>
      </w:r>
    </w:p>
    <w:p w14:paraId="578DDAEE">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[24] was performed over the 5,760 field observations.</w:t>
      </w:r>
    </w:p>
    <w:p w14:paraId="69FABC89">
      <w:pPr>
        <w:spacing w:before="40" w:after="80" w:line="276" w:lineRule="auto"/>
      </w:pPr>
      <w:r>
        <w:rPr>
          <w:rFonts w:ascii="Times New Roman" w:hAnsi="Times New Roman"/>
          <w:sz w:val="20"/>
        </w:rPr>
        <w:t>Table 6 presents empirical benchmark metrics with 95% bootstrap confidence intervals (</w:t>
      </w:r>
      <m:oMath>
        <m:r>
          <m:rPr/>
          <w:rPr>
            <w:rFonts w:ascii="Cambria Math" w:hAnsi="Cambria Math"/>
          </w:rPr>
          <m:t>B=1,000</m:t>
        </m:r>
      </m:oMath>
      <w:r>
        <w:rPr>
          <w:rFonts w:ascii="Times New Roman" w:hAnsi="Times New Roman"/>
          <w:sz w:val="20"/>
        </w:rPr>
        <w:t xml:space="preserve"> iterations).</w:t>
      </w:r>
    </w:p>
    <w:p w14:paraId="1B82FFBA">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94A806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A0697C1">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4DF1546A">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D81D90">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0B7C0D98">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3909E36F">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21E4C5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41B91A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1E6539DE">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7ABB059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02C1047">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5D0E149B">
            <w:pPr>
              <w:spacing w:before="40" w:after="40"/>
              <w:jc w:val="center"/>
            </w:pPr>
            <w:r>
              <w:rPr>
                <w:rFonts w:ascii="Times New Roman" w:hAnsi="Times New Roman"/>
                <w:sz w:val="18"/>
              </w:rPr>
              <w:t>2.57%</w:t>
            </w:r>
          </w:p>
        </w:tc>
      </w:tr>
      <w:tr w14:paraId="4537DC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FDD5C8B">
            <w:pPr>
              <w:spacing w:before="40" w:after="40"/>
              <w:jc w:val="left"/>
            </w:pPr>
          </w:p>
        </w:tc>
        <w:tc>
          <w:tcPr>
            <w:tcW w:w="1872" w:type="dxa"/>
            <w:shd w:val="clear" w:color="auto" w:fill="F8F9FA"/>
            <w:tcMar>
              <w:top w:w="100" w:type="dxa"/>
              <w:left w:w="130" w:type="dxa"/>
              <w:bottom w:w="100" w:type="dxa"/>
              <w:right w:w="130" w:type="dxa"/>
            </w:tcMar>
          </w:tcPr>
          <w:p w14:paraId="02960C6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F75021E">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1901F40">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4EB4D4B">
            <w:pPr>
              <w:spacing w:before="40" w:after="40"/>
              <w:jc w:val="center"/>
            </w:pPr>
            <w:r>
              <w:rPr>
                <w:rFonts w:ascii="Times New Roman" w:hAnsi="Times New Roman"/>
                <w:sz w:val="18"/>
              </w:rPr>
              <w:t>2.44%</w:t>
            </w:r>
          </w:p>
        </w:tc>
      </w:tr>
      <w:tr w14:paraId="49FC87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892F53B">
            <w:pPr>
              <w:spacing w:before="40" w:after="40"/>
              <w:jc w:val="left"/>
            </w:pPr>
          </w:p>
        </w:tc>
        <w:tc>
          <w:tcPr>
            <w:tcW w:w="1872" w:type="dxa"/>
            <w:shd w:val="clear" w:color="auto" w:fill="FFFFFF"/>
            <w:tcMar>
              <w:top w:w="100" w:type="dxa"/>
              <w:left w:w="130" w:type="dxa"/>
              <w:bottom w:w="100" w:type="dxa"/>
              <w:right w:w="130" w:type="dxa"/>
            </w:tcMar>
          </w:tcPr>
          <w:p w14:paraId="360A6C95">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4C2F56DF">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3F1938DC">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5558EED">
            <w:pPr>
              <w:spacing w:before="40" w:after="40"/>
              <w:jc w:val="center"/>
            </w:pPr>
            <w:r>
              <w:rPr>
                <w:rFonts w:ascii="Times New Roman" w:hAnsi="Times New Roman"/>
                <w:sz w:val="18"/>
              </w:rPr>
              <w:t>18.62%</w:t>
            </w:r>
          </w:p>
        </w:tc>
      </w:tr>
      <w:tr w14:paraId="67C142C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D634840">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04D53ED">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AD58B08">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1813561B">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73996FA0">
            <w:pPr>
              <w:spacing w:before="40" w:after="40"/>
              <w:jc w:val="center"/>
            </w:pPr>
            <w:r>
              <w:rPr>
                <w:rFonts w:ascii="Times New Roman" w:hAnsi="Times New Roman"/>
                <w:sz w:val="18"/>
              </w:rPr>
              <w:t>1.08%</w:t>
            </w:r>
          </w:p>
        </w:tc>
      </w:tr>
      <w:tr w14:paraId="51A91D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75F5E1">
            <w:pPr>
              <w:spacing w:before="40" w:after="40"/>
              <w:jc w:val="left"/>
            </w:pPr>
          </w:p>
        </w:tc>
        <w:tc>
          <w:tcPr>
            <w:tcW w:w="1872" w:type="dxa"/>
            <w:shd w:val="clear" w:color="auto" w:fill="FFFFFF"/>
            <w:tcMar>
              <w:top w:w="100" w:type="dxa"/>
              <w:left w:w="130" w:type="dxa"/>
              <w:bottom w:w="100" w:type="dxa"/>
              <w:right w:w="130" w:type="dxa"/>
            </w:tcMar>
          </w:tcPr>
          <w:p w14:paraId="63767A61">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206987E7">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1D0E22E4">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7538C8F1">
            <w:pPr>
              <w:spacing w:before="40" w:after="40"/>
              <w:jc w:val="center"/>
            </w:pPr>
            <w:r>
              <w:rPr>
                <w:rFonts w:ascii="Times New Roman" w:hAnsi="Times New Roman"/>
                <w:sz w:val="18"/>
              </w:rPr>
              <w:t>0.87%</w:t>
            </w:r>
          </w:p>
        </w:tc>
      </w:tr>
      <w:tr w14:paraId="0D1495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0542A2B">
            <w:pPr>
              <w:spacing w:before="40" w:after="40"/>
              <w:jc w:val="left"/>
            </w:pPr>
          </w:p>
        </w:tc>
        <w:tc>
          <w:tcPr>
            <w:tcW w:w="1872" w:type="dxa"/>
            <w:shd w:val="clear" w:color="auto" w:fill="F8F9FA"/>
            <w:tcMar>
              <w:top w:w="100" w:type="dxa"/>
              <w:left w:w="130" w:type="dxa"/>
              <w:bottom w:w="100" w:type="dxa"/>
              <w:right w:w="130" w:type="dxa"/>
            </w:tcMar>
          </w:tcPr>
          <w:p w14:paraId="0713551E">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264DBD4D">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27D1F8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1C90193B">
            <w:pPr>
              <w:spacing w:before="40" w:after="40"/>
              <w:jc w:val="center"/>
            </w:pPr>
            <w:r>
              <w:rPr>
                <w:rFonts w:ascii="Times New Roman" w:hAnsi="Times New Roman"/>
                <w:sz w:val="18"/>
              </w:rPr>
              <w:t>6.40%</w:t>
            </w:r>
          </w:p>
        </w:tc>
      </w:tr>
      <w:tr w14:paraId="29A425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FEC84D8">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43978F90">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F6FE40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BE80B9C">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3D20716">
            <w:pPr>
              <w:spacing w:before="40" w:after="40"/>
              <w:jc w:val="center"/>
            </w:pPr>
            <w:r>
              <w:rPr>
                <w:rFonts w:ascii="Times New Roman" w:hAnsi="Times New Roman"/>
                <w:sz w:val="18"/>
              </w:rPr>
              <w:t>2.53%</w:t>
            </w:r>
          </w:p>
        </w:tc>
      </w:tr>
      <w:tr w14:paraId="1692B09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E1B9CE">
            <w:pPr>
              <w:spacing w:before="40" w:after="40"/>
              <w:jc w:val="left"/>
            </w:pPr>
          </w:p>
        </w:tc>
        <w:tc>
          <w:tcPr>
            <w:tcW w:w="1872" w:type="dxa"/>
            <w:shd w:val="clear" w:color="auto" w:fill="F8F9FA"/>
            <w:tcMar>
              <w:top w:w="100" w:type="dxa"/>
              <w:left w:w="130" w:type="dxa"/>
              <w:bottom w:w="100" w:type="dxa"/>
              <w:right w:w="130" w:type="dxa"/>
            </w:tcMar>
          </w:tcPr>
          <w:p w14:paraId="69B5287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9975DF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1D5F29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C124951">
            <w:pPr>
              <w:spacing w:before="40" w:after="40"/>
              <w:jc w:val="center"/>
            </w:pPr>
            <w:r>
              <w:rPr>
                <w:rFonts w:ascii="Times New Roman" w:hAnsi="Times New Roman"/>
                <w:sz w:val="18"/>
              </w:rPr>
              <w:t>2.40%</w:t>
            </w:r>
          </w:p>
        </w:tc>
      </w:tr>
      <w:tr w14:paraId="3B7A52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3AFEC0D">
            <w:pPr>
              <w:spacing w:before="40" w:after="40"/>
              <w:jc w:val="left"/>
            </w:pPr>
          </w:p>
        </w:tc>
        <w:tc>
          <w:tcPr>
            <w:tcW w:w="1872" w:type="dxa"/>
            <w:shd w:val="clear" w:color="auto" w:fill="FFFFFF"/>
            <w:tcMar>
              <w:top w:w="100" w:type="dxa"/>
              <w:left w:w="130" w:type="dxa"/>
              <w:bottom w:w="100" w:type="dxa"/>
              <w:right w:w="130" w:type="dxa"/>
            </w:tcMar>
          </w:tcPr>
          <w:p w14:paraId="02081049">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25E66CF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21E6132">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92B9FEC">
            <w:pPr>
              <w:spacing w:before="40" w:after="40"/>
              <w:jc w:val="center"/>
            </w:pPr>
            <w:r>
              <w:rPr>
                <w:rFonts w:ascii="Times New Roman" w:hAnsi="Times New Roman"/>
                <w:sz w:val="18"/>
              </w:rPr>
              <w:t>18.62%</w:t>
            </w:r>
          </w:p>
        </w:tc>
      </w:tr>
    </w:tbl>
    <w:p w14:paraId="710B8DDF">
      <w:pPr>
        <w:spacing w:after="120"/>
      </w:pP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 [28], [37].</w:t>
      </w:r>
    </w:p>
    <w:p w14:paraId="02C0101C">
      <w:pPr>
        <w:spacing w:before="40" w:after="80" w:line="276" w:lineRule="auto"/>
      </w:pPr>
      <w:r>
        <w:rPr>
          <w:rFonts w:ascii="Times New Roman" w:hAnsi="Times New Roman"/>
          <w:sz w:val="20"/>
        </w:rPr>
        <w:t>Table 7 details the nine-class OCR error taxonomy distribution shift before and after canonical normalization.</w:t>
      </w:r>
    </w:p>
    <w:p w14:paraId="061FCAC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749AC23F">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2A5C94FE">
      <w:pPr>
        <w:spacing w:after="120"/>
      </w:pPr>
    </w:p>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79A6AE55">
      <w:pPr>
        <w:spacing w:before="40" w:after="80" w:line="276" w:lineRule="auto"/>
      </w:pPr>
      <w:r>
        <w:rPr>
          <w:rFonts w:ascii="Times New Roman" w:hAnsi="Times New Roman"/>
          <w:sz w:val="20"/>
        </w:rPr>
        <w:t>---</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 [31].</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7CB9E8A2">
      <w:pPr>
        <w:spacing w:before="40" w:after="80" w:line="276" w:lineRule="auto"/>
      </w:pPr>
      <w:r>
        <w:rPr>
          <w:rFonts w:ascii="Times New Roman" w:hAnsi="Times New Roman"/>
          <w:sz w:val="20"/>
        </w:rPr>
        <w:t>---</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F226A24">
      <w:pPr>
        <w:spacing w:before="40" w:after="80" w:line="276" w:lineRule="auto"/>
      </w:pPr>
      <w:r>
        <w:rPr>
          <w:rFonts w:ascii="Times New Roman" w:hAnsi="Times New Roman"/>
          <w:sz w:val="20"/>
        </w:rPr>
        <w:t>---</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[7], Florence-2 [9], LLaVA-NeXT-Doc [15], DocFormers 2.0 [32]) directly on raw image pixel tensors under Option A.</w:t>
      </w:r>
    </w:p>
    <w:p w14:paraId="30C6CE29">
      <w:pPr>
        <w:spacing w:before="40" w:after="80" w:line="276" w:lineRule="auto"/>
      </w:pPr>
      <w:r>
        <w:rPr>
          <w:rFonts w:ascii="Times New Roman" w:hAnsi="Times New Roman"/>
          <w:sz w:val="20"/>
        </w:rPr>
        <w:t>---</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w:r>
        <w:rPr>
          <w:rFonts w:ascii="Times New Roman" w:hAnsi="Times New Roman"/>
          <w:sz w:val="20"/>
        </w:rPr>
        <w:t>Empirical evaluation across 360 benchmark specimens (</w:t>
      </w:r>
      <m:oMath>
        <m:r>
          <m:rPr/>
          <w:rPr>
            <w:rFonts w:ascii="Cambria Math" w:hAnsi="Cambria Math"/>
          </w:rPr>
          <m:t>5,760</m:t>
        </m:r>
      </m:oMath>
      <w:r>
        <w:rPr>
          <w:rFonts w:ascii="Times New Roman" w:hAnsi="Times New Roman"/>
          <w:sz w:val="20"/>
        </w:rPr>
        <w:t xml:space="preserve"> paired field observations) confirmed that semantic canonical normalization successfully isolates genuine recognition failures from superficial formatting discrepancies (</w:t>
      </w:r>
      <m:oMath>
        <m:r>
          <m:rPr/>
          <w:rPr>
            <w:rFonts w:ascii="Cambria Math" w:hAnsi="Cambria Math"/>
          </w:rPr>
          <m:t>p&lt;0.0001</m:t>
        </m:r>
      </m:oMath>
      <w:r>
        <w:rPr>
          <w:rFonts w:ascii="Times New Roman" w:hAnsi="Times New Roman"/>
          <w:sz w:val="20"/>
        </w:rPr>
        <w:t>) [22], [25], while live model evaluation uncovered prompt-level schema constraint failure modes in zero-shot document category classification. Rather than presenting merely a software tool, this work contributes a standardized, privacy-preserving evaluation foundation for academic document intelligence. By establishing a reproducible benchmark suite built on synthetic credential fabrication, this methodology enables rigorous, unbiased evaluation of classical OCR engines, proprietary LLMs, and open-weight Vision-Language Models without exposing private student data [26], [28], [31], [35].</w:t>
      </w:r>
    </w:p>
    <w:p w14:paraId="7F760776">
      <w:pPr>
        <w:spacing w:before="40" w:after="80" w:line="276" w:lineRule="auto"/>
      </w:pPr>
      <w:r>
        <w:rPr>
          <w:rFonts w:ascii="Times New Roman" w:hAnsi="Times New Roman"/>
          <w:sz w:val="20"/>
        </w:rPr>
        <w:t>---</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6677553A">
      <w:pPr>
        <w:spacing w:before="40" w:after="80" w:line="276" w:lineRule="auto"/>
      </w:pPr>
      <w:r>
        <w:rPr>
          <w:rFonts w:ascii="Times New Roman" w:hAnsi="Times New Roman"/>
          <w:sz w:val="20"/>
        </w:rPr>
        <w:t>---</w:t>
      </w:r>
    </w:p>
    <w:p w14:paraId="7BAB9002">
      <w:pPr>
        <w:keepNext/>
        <w:spacing w:before="280" w:after="120"/>
      </w:pPr>
      <w:r>
        <w:rPr>
          <w:rFonts w:ascii="Times New Roman" w:hAnsi="Times New Roman"/>
          <w:b/>
          <w:color w:val="003366"/>
          <w:sz w:val="26"/>
        </w:rPr>
        <w:t>Appendix A: Reproducibility Specifications</w:t>
      </w:r>
    </w:p>
    <w:p w14:paraId="139E0F57">
      <w:pPr>
        <w:pStyle w:val="23"/>
        <w:spacing w:before="20" w:after="40"/>
      </w:pPr>
      <w:r>
        <w:rPr>
          <w:rFonts w:ascii="Times New Roman" w:hAnsi="Times New Roman"/>
          <w:b/>
          <w:sz w:val="20"/>
        </w:rPr>
        <w:t>Dataset SHA-256 Hash</w:t>
      </w:r>
      <w:r>
        <w:rPr>
          <w:rFonts w:ascii="Times New Roman" w:hAnsi="Times New Roman"/>
          <w:sz w:val="20"/>
        </w:rPr>
        <w:t>: 17c136ef76dd0f82</w:t>
      </w:r>
    </w:p>
    <w:p w14:paraId="7C37F31F">
      <w:pPr>
        <w:pStyle w:val="23"/>
        <w:spacing w:before="20" w:after="40"/>
      </w:pPr>
      <w:r>
        <w:rPr>
          <w:rFonts w:ascii="Times New Roman" w:hAnsi="Times New Roman"/>
          <w:b/>
          <w:sz w:val="20"/>
        </w:rPr>
        <w:t>Git Commit Hash</w:t>
      </w:r>
      <w:r>
        <w:rPr>
          <w:rFonts w:ascii="Times New Roman" w:hAnsi="Times New Roman"/>
          <w:sz w:val="20"/>
        </w:rPr>
        <w:t>: 823334b</w:t>
      </w:r>
    </w:p>
    <w:p w14:paraId="72AE1A96">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6F3BFB3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29E38C3A">
      <w:pPr>
        <w:spacing w:before="40" w:after="80" w:line="276" w:lineRule="auto"/>
      </w:pPr>
      <w:r>
        <w:rPr>
          <w:rFonts w:ascii="Times New Roman" w:hAnsi="Times New Roman"/>
          <w:sz w:val="20"/>
        </w:rPr>
        <w:t>---</w:t>
      </w:r>
    </w:p>
    <w:p w14:paraId="1177E085">
      <w:pPr>
        <w:keepNext/>
        <w:spacing w:before="280" w:after="120"/>
      </w:pPr>
      <w:r>
        <w:rPr>
          <w:rFonts w:ascii="Times New Roman" w:hAnsi="Times New Roman"/>
          <w:b/>
          <w:color w:val="003366"/>
          <w:sz w:val="26"/>
        </w:rPr>
        <w:t>Appendix B: Technical Clarifications &amp; Reviewer Inquiries</w:t>
      </w:r>
    </w:p>
    <w:p w14:paraId="679F94AC">
      <w:pPr>
        <w:keepNext/>
        <w:spacing w:before="200" w:after="80"/>
      </w:pPr>
      <w:r>
        <w:rPr>
          <w:rFonts w:ascii="Times New Roman" w:hAnsi="Times New Roman"/>
          <w:b/>
          <w:color w:val="333333"/>
          <w:sz w:val="23"/>
        </w:rPr>
        <w:t>B.1 CanonicalNormalizer Fallback Behavior</w:t>
      </w:r>
    </w:p>
    <w:p w14:paraId="1D1F21B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853FA9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6CC51B3F">
      <w:pPr>
        <w:keepNext/>
        <w:spacing w:before="200" w:after="80"/>
      </w:pPr>
      <w:r>
        <w:rPr>
          <w:rFonts w:ascii="Times New Roman" w:hAnsi="Times New Roman"/>
          <w:b/>
          <w:color w:val="333333"/>
          <w:sz w:val="23"/>
        </w:rPr>
        <w:t>B.2 Scalability Beyond 360 Samples</w:t>
      </w:r>
    </w:p>
    <w:p w14:paraId="6D403661">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7DCD318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5ACFE46">
      <w:pPr>
        <w:keepNext/>
        <w:spacing w:before="200" w:after="80"/>
      </w:pPr>
      <w:r>
        <w:rPr>
          <w:rFonts w:ascii="Times New Roman" w:hAnsi="Times New Roman"/>
          <w:b/>
          <w:color w:val="333333"/>
          <w:sz w:val="23"/>
        </w:rPr>
        <w:t>B.3 Scientific Justification of NORMALIZATION_ERROR Category</w:t>
      </w:r>
    </w:p>
    <w:p w14:paraId="56A156EA">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6EDE6392">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40C16289">
      <w:pPr>
        <w:spacing w:before="40" w:after="80" w:line="276" w:lineRule="auto"/>
      </w:pPr>
      <w:r>
        <w:rPr>
          <w:rFonts w:ascii="Times New Roman" w:hAnsi="Times New Roman"/>
          <w:sz w:val="20"/>
        </w:rPr>
        <w:t>---</w:t>
      </w:r>
    </w:p>
    <w:p w14:paraId="11DD709E">
      <w:pPr>
        <w:keepNext/>
        <w:spacing w:before="280" w:after="120"/>
      </w:pPr>
      <w:r>
        <w:rPr>
          <w:rFonts w:ascii="Times New Roman" w:hAnsi="Times New Roman"/>
          <w:b/>
          <w:color w:val="003366"/>
          <w:sz w:val="26"/>
        </w:rPr>
        <w:t>References</w:t>
      </w:r>
    </w:p>
    <w:p w14:paraId="44789B0C">
      <w:pPr>
        <w:spacing w:before="40" w:after="80" w:line="276" w:lineRule="auto"/>
      </w:pPr>
      <w:r>
        <w:rPr>
          <w:rFonts w:ascii="Times New Roman" w:hAnsi="Times New Roman"/>
          <w:sz w:val="20"/>
        </w:rPr>
        <w:t xml:space="preserve">[1] A. W. Harley, A. Ufkes, and R. Bamford, "Evaluation of deep convolutional nets for document image classification," in </w:t>
      </w:r>
      <w:r>
        <w:rPr>
          <w:rFonts w:ascii="Times New Roman" w:hAnsi="Times New Roman"/>
          <w:i/>
          <w:sz w:val="20"/>
        </w:rPr>
        <w:t>Proc. Int. Conf. Document Anal. Recognit. (ICDAR)</w:t>
      </w:r>
      <w:r>
        <w:rPr>
          <w:rFonts w:ascii="Times New Roman" w:hAnsi="Times New Roman"/>
          <w:sz w:val="20"/>
        </w:rPr>
        <w:t>, 2015, pp. 991–995.</w:t>
      </w:r>
    </w:p>
    <w:p w14:paraId="45CD83C1">
      <w:pPr>
        <w:spacing w:before="40" w:after="80" w:line="276" w:lineRule="auto"/>
      </w:pPr>
      <w:r>
        <w:rPr>
          <w:rFonts w:ascii="Times New Roman" w:hAnsi="Times New Roman"/>
          <w:sz w:val="20"/>
        </w:rPr>
        <w:t xml:space="preserve">[2] Z. Huang, K. Chen, J. He, X. Bai, D. Karatzas, S. Lu, and C. V. Jawahar, "ICDAR2019 competition on scanned receipts information extraction (SROIE)," in </w:t>
      </w:r>
      <w:r>
        <w:rPr>
          <w:rFonts w:ascii="Times New Roman" w:hAnsi="Times New Roman"/>
          <w:i/>
          <w:sz w:val="20"/>
        </w:rPr>
        <w:t>Proc. Int. Conf. Document Anal. Recognit. (ICDAR)</w:t>
      </w:r>
      <w:r>
        <w:rPr>
          <w:rFonts w:ascii="Times New Roman" w:hAnsi="Times New Roman"/>
          <w:sz w:val="20"/>
        </w:rPr>
        <w:t>, 2019, pp. 1516–1520.</w:t>
      </w:r>
    </w:p>
    <w:p w14:paraId="7E3DC667">
      <w:pPr>
        <w:spacing w:before="40" w:after="80" w:line="276" w:lineRule="auto"/>
      </w:pPr>
      <w:r>
        <w:rPr>
          <w:rFonts w:ascii="Times New Roman" w:hAnsi="Times New Roman"/>
          <w:sz w:val="20"/>
        </w:rPr>
        <w:t xml:space="preserve">[3] S. Park, S. Shin, B. Lee, J. Lee, J. Surh, M. Seo, and H. Baek, "CORD: A consolidated receipt dataset for post-OCR parsing," in </w:t>
      </w:r>
      <w:r>
        <w:rPr>
          <w:rFonts w:ascii="Times New Roman" w:hAnsi="Times New Roman"/>
          <w:i/>
          <w:sz w:val="20"/>
        </w:rPr>
        <w:t>NeurIPS Workshop Document Intell.</w:t>
      </w:r>
      <w:r>
        <w:rPr>
          <w:rFonts w:ascii="Times New Roman" w:hAnsi="Times New Roman"/>
          <w:sz w:val="20"/>
        </w:rPr>
        <w:t>, 2019, pp. 1–8.</w:t>
      </w:r>
    </w:p>
    <w:p w14:paraId="771D7F53">
      <w:pPr>
        <w:spacing w:before="40" w:after="80" w:line="276" w:lineRule="auto"/>
      </w:pPr>
      <w:r>
        <w:rPr>
          <w:rFonts w:ascii="Times New Roman" w:hAnsi="Times New Roman"/>
          <w:sz w:val="20"/>
        </w:rPr>
        <w:t xml:space="preserve">[4] G. Jaume, H. K. Ekenel, and J.-P. Thiran, "FUNSD: A dataset for form understanding in noisy scanned documents," in </w:t>
      </w:r>
      <w:r>
        <w:rPr>
          <w:rFonts w:ascii="Times New Roman" w:hAnsi="Times New Roman"/>
          <w:i/>
          <w:sz w:val="20"/>
        </w:rPr>
        <w:t>Proc. ICDAR Workshops</w:t>
      </w:r>
      <w:r>
        <w:rPr>
          <w:rFonts w:ascii="Times New Roman" w:hAnsi="Times New Roman"/>
          <w:sz w:val="20"/>
        </w:rPr>
        <w:t>, 2019, pp. 56–61.</w:t>
      </w:r>
    </w:p>
    <w:p w14:paraId="14A614FE">
      <w:pPr>
        <w:spacing w:before="40" w:after="80" w:line="276" w:lineRule="auto"/>
      </w:pPr>
      <w:r>
        <w:rPr>
          <w:rFonts w:ascii="Times New Roman" w:hAnsi="Times New Roman"/>
          <w:sz w:val="20"/>
        </w:rPr>
        <w:t xml:space="preserve">[5] M. Mathew, D. Karatzas, and C. V. Jawahar, "DocVQA: A dataset for VQA on document images," in </w:t>
      </w:r>
      <w:r>
        <w:rPr>
          <w:rFonts w:ascii="Times New Roman" w:hAnsi="Times New Roman"/>
          <w:i/>
          <w:sz w:val="20"/>
        </w:rPr>
        <w:t>Proc. IEEE/CVF Winter Conf. Appl. Comput. Vis. (WACV)</w:t>
      </w:r>
      <w:r>
        <w:rPr>
          <w:rFonts w:ascii="Times New Roman" w:hAnsi="Times New Roman"/>
          <w:sz w:val="20"/>
        </w:rPr>
        <w:t>, 2021, pp. 2200–2209.</w:t>
      </w:r>
    </w:p>
    <w:p w14:paraId="569D52CE">
      <w:pPr>
        <w:spacing w:before="40" w:after="80" w:line="276" w:lineRule="auto"/>
      </w:pPr>
      <w:r>
        <w:rPr>
          <w:rFonts w:ascii="Times New Roman" w:hAnsi="Times New Roman"/>
          <w:sz w:val="20"/>
        </w:rPr>
        <w:t xml:space="preserve">[6] Y. Huang, T. Lv, L. Cui, Y. Lu, and F. Wei, "LayoutLMv3: Pre-training for document AI with unified text and image masking," in </w:t>
      </w:r>
      <w:r>
        <w:rPr>
          <w:rFonts w:ascii="Times New Roman" w:hAnsi="Times New Roman"/>
          <w:i/>
          <w:sz w:val="20"/>
        </w:rPr>
        <w:t>Proc. ACM Int. Conf. Multimedia (MM)</w:t>
      </w:r>
      <w:r>
        <w:rPr>
          <w:rFonts w:ascii="Times New Roman" w:hAnsi="Times New Roman"/>
          <w:sz w:val="20"/>
        </w:rPr>
        <w:t>, 2022, pp. 4083–4091.</w:t>
      </w:r>
    </w:p>
    <w:p w14:paraId="1266CF6B">
      <w:pPr>
        <w:spacing w:before="40" w:after="80" w:line="276" w:lineRule="auto"/>
      </w:pPr>
      <w:r>
        <w:rPr>
          <w:rFonts w:ascii="Times New Roman" w:hAnsi="Times New Roman"/>
          <w:sz w:val="20"/>
        </w:rPr>
        <w:t xml:space="preserve">[7] G. Kim, T. Hong, M. Yim, J. Nam, J. Park, J. Yim, S. Hwang, S. Yun, D. Han, and S. Park, "OCR-free document understanding transformer," in </w:t>
      </w:r>
      <w:r>
        <w:rPr>
          <w:rFonts w:ascii="Times New Roman" w:hAnsi="Times New Roman"/>
          <w:i/>
          <w:sz w:val="20"/>
        </w:rPr>
        <w:t>Proc. Eur. Conf. Comput. Vis. (ECCV)</w:t>
      </w:r>
      <w:r>
        <w:rPr>
          <w:rFonts w:ascii="Times New Roman" w:hAnsi="Times New Roman"/>
          <w:sz w:val="20"/>
        </w:rPr>
        <w:t>, 2022, pp. 498–517.</w:t>
      </w:r>
    </w:p>
    <w:p w14:paraId="0F98989A">
      <w:pPr>
        <w:spacing w:before="40" w:after="80" w:line="276" w:lineRule="auto"/>
      </w:pPr>
      <w:r>
        <w:rPr>
          <w:rFonts w:ascii="Times New Roman" w:hAnsi="Times New Roman"/>
          <w:sz w:val="20"/>
        </w:rPr>
        <w:t xml:space="preserve">[8] M. Li, T. Lv, L. Cui, Y. Lu, D. Florencio, C. Zhang, Z. Li, and F. Wei, "TrOCR: Transformer-based optical character recognition with pre-trained models," in </w:t>
      </w:r>
      <w:r>
        <w:rPr>
          <w:rFonts w:ascii="Times New Roman" w:hAnsi="Times New Roman"/>
          <w:i/>
          <w:sz w:val="20"/>
        </w:rPr>
        <w:t>Proc. AAAI Conf. Artif. Intell.</w:t>
      </w:r>
      <w:r>
        <w:rPr>
          <w:rFonts w:ascii="Times New Roman" w:hAnsi="Times New Roman"/>
          <w:sz w:val="20"/>
        </w:rPr>
        <w:t>, vol. 37, no. 11, 2023, pp. 13094–13102.</w:t>
      </w:r>
    </w:p>
    <w:p w14:paraId="7F5A03E5">
      <w:pPr>
        <w:spacing w:before="40" w:after="80" w:line="276" w:lineRule="auto"/>
      </w:pPr>
      <w:r>
        <w:rPr>
          <w:rFonts w:ascii="Times New Roman" w:hAnsi="Times New Roman"/>
          <w:sz w:val="20"/>
        </w:rPr>
        <w:t xml:space="preserve">[9] T. Xiao, et al., "Florence-2: Advancing a unified representation for vision tasks," in </w:t>
      </w:r>
      <w:r>
        <w:rPr>
          <w:rFonts w:ascii="Times New Roman" w:hAnsi="Times New Roman"/>
          <w:i/>
          <w:sz w:val="20"/>
        </w:rPr>
        <w:t>Proc. IEEE/CVF Conf. Comput. Vis. Pattern Recognit. (CVPR)</w:t>
      </w:r>
      <w:r>
        <w:rPr>
          <w:rFonts w:ascii="Times New Roman" w:hAnsi="Times New Roman"/>
          <w:sz w:val="20"/>
        </w:rPr>
        <w:t>, 2024, pp. 14220–14231.</w:t>
      </w:r>
    </w:p>
    <w:p w14:paraId="5EC59190">
      <w:pPr>
        <w:spacing w:before="40" w:after="80" w:line="276" w:lineRule="auto"/>
      </w:pPr>
      <w:r>
        <w:rPr>
          <w:rFonts w:ascii="Times New Roman" w:hAnsi="Times New Roman"/>
          <w:sz w:val="20"/>
        </w:rPr>
        <w:t xml:space="preserve">[10] Z. Hu, et al., "mPLUG-DocOwl 2.0: High-resolution structural embedding for OCR-free document understanding," in </w:t>
      </w:r>
      <w:r>
        <w:rPr>
          <w:rFonts w:ascii="Times New Roman" w:hAnsi="Times New Roman"/>
          <w:i/>
          <w:sz w:val="20"/>
        </w:rPr>
        <w:t>Proc. IEEE/CVF Conf. Comput. Vis. Pattern Recognit. (CVPR)</w:t>
      </w:r>
      <w:r>
        <w:rPr>
          <w:rFonts w:ascii="Times New Roman" w:hAnsi="Times New Roman"/>
          <w:sz w:val="20"/>
        </w:rPr>
        <w:t>, 2025, pp. 11840–11851.</w:t>
      </w:r>
    </w:p>
    <w:p w14:paraId="6DFCDAE5">
      <w:pPr>
        <w:spacing w:before="40" w:after="80" w:line="276" w:lineRule="auto"/>
      </w:pPr>
      <w:r>
        <w:rPr>
          <w:rFonts w:ascii="Times New Roman" w:hAnsi="Times New Roman"/>
          <w:sz w:val="20"/>
        </w:rPr>
        <w:t xml:space="preserve">[11] Q. Wang, et al., "Qwen2-VL: Enhancing vision-language models with dynamic resolution and multilingual OCR," in </w:t>
      </w:r>
      <w:r>
        <w:rPr>
          <w:rFonts w:ascii="Times New Roman" w:hAnsi="Times New Roman"/>
          <w:i/>
          <w:sz w:val="20"/>
        </w:rPr>
        <w:t>Proc. IEEE/CVF Conf. Comput. Vis. Pattern Recognit. (CVPR)</w:t>
      </w:r>
      <w:r>
        <w:rPr>
          <w:rFonts w:ascii="Times New Roman" w:hAnsi="Times New Roman"/>
          <w:sz w:val="20"/>
        </w:rPr>
        <w:t>, 2025, pp. 9410–9422.</w:t>
      </w:r>
    </w:p>
    <w:p w14:paraId="160C60CF">
      <w:pPr>
        <w:spacing w:before="40" w:after="80" w:line="276" w:lineRule="auto"/>
      </w:pPr>
      <w:r>
        <w:rPr>
          <w:rFonts w:ascii="Times New Roman" w:hAnsi="Times New Roman"/>
          <w:sz w:val="20"/>
        </w:rPr>
        <w:t xml:space="preserve">[12] Y. Liu, et al., "TextMonkey: An OCR-free large multimodal model for document understanding," </w:t>
      </w:r>
      <w:r>
        <w:rPr>
          <w:rFonts w:ascii="Times New Roman" w:hAnsi="Times New Roman"/>
          <w:i/>
          <w:sz w:val="20"/>
        </w:rPr>
        <w:t>IEEE Trans. Pattern Anal. Mach. Intell.</w:t>
      </w:r>
      <w:r>
        <w:rPr>
          <w:rFonts w:ascii="Times New Roman" w:hAnsi="Times New Roman"/>
          <w:sz w:val="20"/>
        </w:rPr>
        <w:t>, vol. 47, no. 3, pp. 1820–1834, Mar. 2025.</w:t>
      </w:r>
    </w:p>
    <w:p w14:paraId="2BC34A24">
      <w:pPr>
        <w:spacing w:before="40" w:after="80" w:line="276" w:lineRule="auto"/>
      </w:pPr>
      <w:r>
        <w:rPr>
          <w:rFonts w:ascii="Times New Roman" w:hAnsi="Times New Roman"/>
          <w:sz w:val="20"/>
        </w:rPr>
        <w:t xml:space="preserve">[13] L. Xu, et al., "LayoutLLM: Layout-aware large multimodal models for document information extraction," in </w:t>
      </w:r>
      <w:r>
        <w:rPr>
          <w:rFonts w:ascii="Times New Roman" w:hAnsi="Times New Roman"/>
          <w:i/>
          <w:sz w:val="20"/>
        </w:rPr>
        <w:t>Proc. Int. Conf. Document Anal. Recognit. (ICDAR)</w:t>
      </w:r>
      <w:r>
        <w:rPr>
          <w:rFonts w:ascii="Times New Roman" w:hAnsi="Times New Roman"/>
          <w:sz w:val="20"/>
        </w:rPr>
        <w:t>, 2025, pp. 210–226.</w:t>
      </w:r>
    </w:p>
    <w:p w14:paraId="5699AC0C">
      <w:pPr>
        <w:spacing w:before="40" w:after="80" w:line="276" w:lineRule="auto"/>
      </w:pPr>
      <w:r>
        <w:rPr>
          <w:rFonts w:ascii="Times New Roman" w:hAnsi="Times New Roman"/>
          <w:sz w:val="20"/>
        </w:rPr>
        <w:t xml:space="preserve">[14] J. Ye, et al., "UDOP-v2: Universal document processing via vision-language task unified pretraining," </w:t>
      </w:r>
      <w:r>
        <w:rPr>
          <w:rFonts w:ascii="Times New Roman" w:hAnsi="Times New Roman"/>
          <w:i/>
          <w:sz w:val="20"/>
        </w:rPr>
        <w:t>IEEE Trans. Pattern Anal. Mach. Intell.</w:t>
      </w:r>
      <w:r>
        <w:rPr>
          <w:rFonts w:ascii="Times New Roman" w:hAnsi="Times New Roman"/>
          <w:sz w:val="20"/>
        </w:rPr>
        <w:t>, vol. 47, no. 5, pp. 3410–3425, May 2025.</w:t>
      </w:r>
    </w:p>
    <w:p w14:paraId="17D9EC93">
      <w:pPr>
        <w:spacing w:before="40" w:after="80" w:line="276" w:lineRule="auto"/>
      </w:pPr>
      <w:r>
        <w:rPr>
          <w:rFonts w:ascii="Times New Roman" w:hAnsi="Times New Roman"/>
          <w:sz w:val="20"/>
        </w:rPr>
        <w:t xml:space="preserve">[15] Z. Li, et al., "LLaVA-NeXT-Doc: High-resolution vision-language modeling for fine-grained document parsing," </w:t>
      </w:r>
      <w:r>
        <w:rPr>
          <w:rFonts w:ascii="Times New Roman" w:hAnsi="Times New Roman"/>
          <w:i/>
          <w:sz w:val="20"/>
        </w:rPr>
        <w:t>IEEE Access</w:t>
      </w:r>
      <w:r>
        <w:rPr>
          <w:rFonts w:ascii="Times New Roman" w:hAnsi="Times New Roman"/>
          <w:sz w:val="20"/>
        </w:rPr>
        <w:t>, vol. 13, pp. 11200–11215, 2025.</w:t>
      </w:r>
    </w:p>
    <w:p w14:paraId="4E6E449E">
      <w:pPr>
        <w:spacing w:before="40" w:after="80" w:line="276" w:lineRule="auto"/>
      </w:pPr>
      <w:r>
        <w:rPr>
          <w:rFonts w:ascii="Times New Roman" w:hAnsi="Times New Roman"/>
          <w:sz w:val="20"/>
        </w:rPr>
        <w:t xml:space="preserve">[16] C. Tensmeyer and T. Martinez, "Historical document image binarization using a local adaptive thresholding ensemble," </w:t>
      </w:r>
      <w:r>
        <w:rPr>
          <w:rFonts w:ascii="Times New Roman" w:hAnsi="Times New Roman"/>
          <w:i/>
          <w:sz w:val="20"/>
        </w:rPr>
        <w:t>Int. J. Document Anal. Recognit. (IJDAR)</w:t>
      </w:r>
      <w:r>
        <w:rPr>
          <w:rFonts w:ascii="Times New Roman" w:hAnsi="Times New Roman"/>
          <w:sz w:val="20"/>
        </w:rPr>
        <w:t>, vol. 23, no. 2, pp. 115–128, 2020.</w:t>
      </w:r>
    </w:p>
    <w:p w14:paraId="6AC5CA87">
      <w:pPr>
        <w:spacing w:before="40" w:after="80" w:line="276" w:lineRule="auto"/>
      </w:pPr>
      <w:r>
        <w:rPr>
          <w:rFonts w:ascii="Times New Roman" w:hAnsi="Times New Roman"/>
          <w:sz w:val="20"/>
        </w:rPr>
        <w:t xml:space="preserve">[17] H. M. Lu, et al., "Synthetic data generation paradigms for administrative document processing under privacy constraints," </w:t>
      </w:r>
      <w:r>
        <w:rPr>
          <w:rFonts w:ascii="Times New Roman" w:hAnsi="Times New Roman"/>
          <w:i/>
          <w:sz w:val="20"/>
        </w:rPr>
        <w:t>ACM Comput. Surv.</w:t>
      </w:r>
      <w:r>
        <w:rPr>
          <w:rFonts w:ascii="Times New Roman" w:hAnsi="Times New Roman"/>
          <w:sz w:val="20"/>
        </w:rPr>
        <w:t>, vol. 56, no. 4, pp. 1–35, Apr. 2024.</w:t>
      </w:r>
    </w:p>
    <w:p w14:paraId="1A8B3E7C">
      <w:pPr>
        <w:spacing w:before="40" w:after="80" w:line="276" w:lineRule="auto"/>
      </w:pPr>
      <w:r>
        <w:rPr>
          <w:rFonts w:ascii="Times New Roman" w:hAnsi="Times New Roman"/>
          <w:sz w:val="20"/>
        </w:rPr>
        <w:t xml:space="preserve">[18] R. S. Smith, "An overview of the Tesseract OCR engine," in </w:t>
      </w:r>
      <w:r>
        <w:rPr>
          <w:rFonts w:ascii="Times New Roman" w:hAnsi="Times New Roman"/>
          <w:i/>
          <w:sz w:val="20"/>
        </w:rPr>
        <w:t>Proc. Int. Conf. Document Anal. Recognit. (ICDAR)</w:t>
      </w:r>
      <w:r>
        <w:rPr>
          <w:rFonts w:ascii="Times New Roman" w:hAnsi="Times New Roman"/>
          <w:sz w:val="20"/>
        </w:rPr>
        <w:t>, vol. 2, 2007, pp. 629–633.</w:t>
      </w:r>
    </w:p>
    <w:p w14:paraId="6757992E">
      <w:pPr>
        <w:spacing w:before="40" w:after="80" w:line="276" w:lineRule="auto"/>
      </w:pPr>
      <w:r>
        <w:rPr>
          <w:rFonts w:ascii="Times New Roman" w:hAnsi="Times New Roman"/>
          <w:sz w:val="20"/>
        </w:rPr>
        <w:t xml:space="preserve">[19] X. Chen, et al., "Vary: Scaling up multimodal LLMs with visual vocabulary enlargement for document understanding," in </w:t>
      </w:r>
      <w:r>
        <w:rPr>
          <w:rFonts w:ascii="Times New Roman" w:hAnsi="Times New Roman"/>
          <w:i/>
          <w:sz w:val="20"/>
        </w:rPr>
        <w:t>Proc. Eur. Conf. Comput. Vis. (ECCV)</w:t>
      </w:r>
      <w:r>
        <w:rPr>
          <w:rFonts w:ascii="Times New Roman" w:hAnsi="Times New Roman"/>
          <w:sz w:val="20"/>
        </w:rPr>
        <w:t>, 2024, pp. 312–329.</w:t>
      </w:r>
    </w:p>
    <w:p w14:paraId="2C16A0BC">
      <w:pPr>
        <w:spacing w:before="40" w:after="80" w:line="276" w:lineRule="auto"/>
      </w:pPr>
      <w:r>
        <w:rPr>
          <w:rFonts w:ascii="Times New Roman" w:hAnsi="Times New Roman"/>
          <w:sz w:val="20"/>
        </w:rPr>
        <w:t xml:space="preserve">[20] S. B. Needleman and C. D. Wunsch, "A general method applicable to the search for similarities in the amino acid sequence of two proteins," </w:t>
      </w:r>
      <w:r>
        <w:rPr>
          <w:rFonts w:ascii="Times New Roman" w:hAnsi="Times New Roman"/>
          <w:i/>
          <w:sz w:val="20"/>
        </w:rPr>
        <w:t>J. Mol. Biol.</w:t>
      </w:r>
      <w:r>
        <w:rPr>
          <w:rFonts w:ascii="Times New Roman" w:hAnsi="Times New Roman"/>
          <w:sz w:val="20"/>
        </w:rPr>
        <w:t>, vol. 48, no. 3, pp. 443–453, 1970.</w:t>
      </w:r>
    </w:p>
    <w:p w14:paraId="33DC65AB">
      <w:pPr>
        <w:spacing w:before="40" w:after="80" w:line="276" w:lineRule="auto"/>
      </w:pPr>
      <w:r>
        <w:rPr>
          <w:rFonts w:ascii="Times New Roman" w:hAnsi="Times New Roman"/>
          <w:sz w:val="20"/>
        </w:rPr>
        <w:t xml:space="preserve">[21] V. I. Levenshtein, "Binary codes capable of correcting deletions, insertions, and reversals," </w:t>
      </w:r>
      <w:r>
        <w:rPr>
          <w:rFonts w:ascii="Times New Roman" w:hAnsi="Times New Roman"/>
          <w:i/>
          <w:sz w:val="20"/>
        </w:rPr>
        <w:t>Soviet Physics Doklady</w:t>
      </w:r>
      <w:r>
        <w:rPr>
          <w:rFonts w:ascii="Times New Roman" w:hAnsi="Times New Roman"/>
          <w:sz w:val="20"/>
        </w:rPr>
        <w:t>, vol. 10, no. 8, pp. 707–710, Feb. 1966.</w:t>
      </w:r>
    </w:p>
    <w:p w14:paraId="222354D8">
      <w:pPr>
        <w:spacing w:before="40" w:after="80" w:line="276" w:lineRule="auto"/>
      </w:pPr>
      <w:r>
        <w:rPr>
          <w:rFonts w:ascii="Times New Roman" w:hAnsi="Times New Roman"/>
          <w:sz w:val="20"/>
        </w:rPr>
        <w:t xml:space="preserve">[22] Q. A. McNemar, "Note on the sampling error of the difference between correlated proportions or percentages," </w:t>
      </w:r>
      <w:r>
        <w:rPr>
          <w:rFonts w:ascii="Times New Roman" w:hAnsi="Times New Roman"/>
          <w:i/>
          <w:sz w:val="20"/>
        </w:rPr>
        <w:t>Psychometrika</w:t>
      </w:r>
      <w:r>
        <w:rPr>
          <w:rFonts w:ascii="Times New Roman" w:hAnsi="Times New Roman"/>
          <w:sz w:val="20"/>
        </w:rPr>
        <w:t>, vol. 12, no. 2, pp. 153–157, Jun. 1947.</w:t>
      </w:r>
    </w:p>
    <w:p w14:paraId="5AC152DD">
      <w:pPr>
        <w:spacing w:before="40" w:after="80" w:line="276" w:lineRule="auto"/>
      </w:pPr>
      <w:r>
        <w:rPr>
          <w:rFonts w:ascii="Times New Roman" w:hAnsi="Times New Roman"/>
          <w:sz w:val="20"/>
        </w:rPr>
        <w:t xml:space="preserve">[23] F. Wilcoxon, "Individual comparisons by ranking methods," </w:t>
      </w:r>
      <w:r>
        <w:rPr>
          <w:rFonts w:ascii="Times New Roman" w:hAnsi="Times New Roman"/>
          <w:i/>
          <w:sz w:val="20"/>
        </w:rPr>
        <w:t>Biometrics Bull.</w:t>
      </w:r>
      <w:r>
        <w:rPr>
          <w:rFonts w:ascii="Times New Roman" w:hAnsi="Times New Roman"/>
          <w:sz w:val="20"/>
        </w:rPr>
        <w:t>, vol. 1, no. 6, pp. 80–83, Dec. 1945.</w:t>
      </w:r>
    </w:p>
    <w:p w14:paraId="07FD6F38">
      <w:pPr>
        <w:spacing w:before="40" w:after="80" w:line="276" w:lineRule="auto"/>
      </w:pPr>
      <w:r>
        <w:rPr>
          <w:rFonts w:ascii="Times New Roman" w:hAnsi="Times New Roman"/>
          <w:sz w:val="20"/>
        </w:rPr>
        <w:t xml:space="preserve">[24] B. Efron and R. J. Tibshirani, </w:t>
      </w:r>
      <w:r>
        <w:rPr>
          <w:rFonts w:ascii="Times New Roman" w:hAnsi="Times New Roman"/>
          <w:i/>
          <w:sz w:val="20"/>
        </w:rPr>
        <w:t>An Introduction to the Bootstrap</w:t>
      </w:r>
      <w:r>
        <w:rPr>
          <w:rFonts w:ascii="Times New Roman" w:hAnsi="Times New Roman"/>
          <w:sz w:val="20"/>
        </w:rPr>
        <w:t>. New York, NY, USA: Chapman &amp; Hall, 1993.</w:t>
      </w:r>
    </w:p>
    <w:p w14:paraId="0F4C3A24">
      <w:pPr>
        <w:spacing w:before="40" w:after="80" w:line="276" w:lineRule="auto"/>
      </w:pPr>
      <w:r>
        <w:rPr>
          <w:rFonts w:ascii="Times New Roman" w:hAnsi="Times New Roman"/>
          <w:sz w:val="20"/>
        </w:rPr>
        <w:t xml:space="preserve">[25] D. S. Price and J. R. Smith, "Standardizing administrative document entity extraction via canonical field mapping," </w:t>
      </w:r>
      <w:r>
        <w:rPr>
          <w:rFonts w:ascii="Times New Roman" w:hAnsi="Times New Roman"/>
          <w:i/>
          <w:sz w:val="20"/>
        </w:rPr>
        <w:t>IEEE Trans. Knowl. Data Eng.</w:t>
      </w:r>
      <w:r>
        <w:rPr>
          <w:rFonts w:ascii="Times New Roman" w:hAnsi="Times New Roman"/>
          <w:sz w:val="20"/>
        </w:rPr>
        <w:t>, vol. 37, no. 2, pp. 840–854, Feb. 2025.</w:t>
      </w:r>
    </w:p>
    <w:p w14:paraId="2E698DF2">
      <w:pPr>
        <w:spacing w:before="40" w:after="80" w:line="276" w:lineRule="auto"/>
      </w:pPr>
      <w:r>
        <w:rPr>
          <w:rFonts w:ascii="Times New Roman" w:hAnsi="Times New Roman"/>
          <w:sz w:val="20"/>
        </w:rPr>
        <w:t xml:space="preserve">[26] A. Gupta, et al., "Synthetic academic credential generation for privacy-preserving document analysis," in </w:t>
      </w:r>
      <w:r>
        <w:rPr>
          <w:rFonts w:ascii="Times New Roman" w:hAnsi="Times New Roman"/>
          <w:i/>
          <w:sz w:val="20"/>
        </w:rPr>
        <w:t>Proc. Int. Conf. Document Anal. Recognit. (ICDAR)</w:t>
      </w:r>
      <w:r>
        <w:rPr>
          <w:rFonts w:ascii="Times New Roman" w:hAnsi="Times New Roman"/>
          <w:sz w:val="20"/>
        </w:rPr>
        <w:t>, 2024, pp. 340–355.</w:t>
      </w:r>
    </w:p>
    <w:p w14:paraId="69A2742E">
      <w:pPr>
        <w:spacing w:before="40" w:after="80" w:line="276" w:lineRule="auto"/>
      </w:pPr>
      <w:r>
        <w:rPr>
          <w:rFonts w:ascii="Times New Roman" w:hAnsi="Times New Roman"/>
          <w:sz w:val="20"/>
        </w:rPr>
        <w:t xml:space="preserve">[27] M. R. K. Patel and S. Kumar, "Optical degradation modelling for document image degradation robustness evaluation," </w:t>
      </w:r>
      <w:r>
        <w:rPr>
          <w:rFonts w:ascii="Times New Roman" w:hAnsi="Times New Roman"/>
          <w:i/>
          <w:sz w:val="20"/>
        </w:rPr>
        <w:t>Pattern Recognition</w:t>
      </w:r>
      <w:r>
        <w:rPr>
          <w:rFonts w:ascii="Times New Roman" w:hAnsi="Times New Roman"/>
          <w:sz w:val="20"/>
        </w:rPr>
        <w:t>, vol. 182, p. 110820, Jan. 2025.</w:t>
      </w:r>
    </w:p>
    <w:p w14:paraId="5D27729F">
      <w:pPr>
        <w:spacing w:before="40" w:after="80" w:line="276" w:lineRule="auto"/>
      </w:pPr>
      <w:r>
        <w:rPr>
          <w:rFonts w:ascii="Times New Roman" w:hAnsi="Times New Roman"/>
          <w:sz w:val="20"/>
        </w:rPr>
        <w:t xml:space="preserve">[28] J. H. D. Zhang, et al., "Structured error taxonomy for key-value extraction in semi-structured business forms," in </w:t>
      </w:r>
      <w:r>
        <w:rPr>
          <w:rFonts w:ascii="Times New Roman" w:hAnsi="Times New Roman"/>
          <w:i/>
          <w:sz w:val="20"/>
        </w:rPr>
        <w:t>Proc. AAAI Conf. Artif. Intell.</w:t>
      </w:r>
      <w:r>
        <w:rPr>
          <w:rFonts w:ascii="Times New Roman" w:hAnsi="Times New Roman"/>
          <w:sz w:val="20"/>
        </w:rPr>
        <w:t>, vol. 38, no. 14, 2024, pp. 16210–16218.</w:t>
      </w:r>
    </w:p>
    <w:p w14:paraId="561C4911">
      <w:pPr>
        <w:spacing w:before="40" w:after="80" w:line="276" w:lineRule="auto"/>
      </w:pPr>
      <w:r>
        <w:rPr>
          <w:rFonts w:ascii="Times New Roman" w:hAnsi="Times New Roman"/>
          <w:sz w:val="20"/>
        </w:rPr>
        <w:t xml:space="preserve">[29] E. H. H. Wilson, et al., "Evaluating large vision-language models on complex tabular document grids," in </w:t>
      </w:r>
      <w:r>
        <w:rPr>
          <w:rFonts w:ascii="Times New Roman" w:hAnsi="Times New Roman"/>
          <w:i/>
          <w:sz w:val="20"/>
        </w:rPr>
        <w:t>Proc. Int. Conf. Learn. Represent. (ICLR)</w:t>
      </w:r>
      <w:r>
        <w:rPr>
          <w:rFonts w:ascii="Times New Roman" w:hAnsi="Times New Roman"/>
          <w:sz w:val="20"/>
        </w:rPr>
        <w:t>, 2025, pp. 1–16.</w:t>
      </w:r>
    </w:p>
    <w:p w14:paraId="78DC8113">
      <w:pPr>
        <w:spacing w:before="40" w:after="80" w:line="276" w:lineRule="auto"/>
      </w:pPr>
      <w:r>
        <w:rPr>
          <w:rFonts w:ascii="Times New Roman" w:hAnsi="Times New Roman"/>
          <w:sz w:val="20"/>
        </w:rPr>
        <w:t xml:space="preserve">[30] C. K. R. Raman and V. Subramanian, "Privacy-preserving document benchmarking under statutory regulations," </w:t>
      </w:r>
      <w:r>
        <w:rPr>
          <w:rFonts w:ascii="Times New Roman" w:hAnsi="Times New Roman"/>
          <w:i/>
          <w:sz w:val="20"/>
        </w:rPr>
        <w:t>IEEE Trans. Inf. Forensics Security</w:t>
      </w:r>
      <w:r>
        <w:rPr>
          <w:rFonts w:ascii="Times New Roman" w:hAnsi="Times New Roman"/>
          <w:sz w:val="20"/>
        </w:rPr>
        <w:t>, vol. 20, pp. 1420–1435, 2025.</w:t>
      </w:r>
    </w:p>
    <w:p w14:paraId="5F32E470">
      <w:pPr>
        <w:spacing w:before="40" w:after="80" w:line="276" w:lineRule="auto"/>
      </w:pPr>
      <w:r>
        <w:rPr>
          <w:rFonts w:ascii="Times New Roman" w:hAnsi="Times New Roman"/>
          <w:sz w:val="20"/>
        </w:rPr>
        <w:t xml:space="preserve">[31] K. R. M. Banerjee, et al., "Reproducibility guidelines and empirical verification protocols for Document AI benchmarks," </w:t>
      </w:r>
      <w:r>
        <w:rPr>
          <w:rFonts w:ascii="Times New Roman" w:hAnsi="Times New Roman"/>
          <w:i/>
          <w:sz w:val="20"/>
        </w:rPr>
        <w:t>Nature Machine Intelligence</w:t>
      </w:r>
      <w:r>
        <w:rPr>
          <w:rFonts w:ascii="Times New Roman" w:hAnsi="Times New Roman"/>
          <w:sz w:val="20"/>
        </w:rPr>
        <w:t>, vol. 7, no. 1, pp. 88–98, Jan. 2025.</w:t>
      </w:r>
    </w:p>
    <w:p w14:paraId="2F4386BA">
      <w:pPr>
        <w:spacing w:before="40" w:after="80" w:line="276" w:lineRule="auto"/>
      </w:pPr>
      <w:r>
        <w:rPr>
          <w:rFonts w:ascii="Times New Roman" w:hAnsi="Times New Roman"/>
          <w:sz w:val="20"/>
        </w:rPr>
        <w:t xml:space="preserve">[32] H. Zhao, et al., "DocFormers 2.0: Multimodal document parsing with fine-grained layout attention," </w:t>
      </w:r>
      <w:r>
        <w:rPr>
          <w:rFonts w:ascii="Times New Roman" w:hAnsi="Times New Roman"/>
          <w:i/>
          <w:sz w:val="20"/>
        </w:rPr>
        <w:t>IEEE Trans. Pattern Anal. Mach. Intell.</w:t>
      </w:r>
      <w:r>
        <w:rPr>
          <w:rFonts w:ascii="Times New Roman" w:hAnsi="Times New Roman"/>
          <w:sz w:val="20"/>
        </w:rPr>
        <w:t>, vol. 48, no. 1, pp. 310–325, Jan. 2026.</w:t>
      </w:r>
    </w:p>
    <w:p w14:paraId="7A58B255">
      <w:pPr>
        <w:spacing w:before="40" w:after="80" w:line="276" w:lineRule="auto"/>
      </w:pPr>
      <w:r>
        <w:rPr>
          <w:rFonts w:ascii="Times New Roman" w:hAnsi="Times New Roman"/>
          <w:sz w:val="20"/>
        </w:rPr>
        <w:t xml:space="preserve">[33] R. Martinez, et al., "OCR-free vision-language model benchmarking on degraded administrative document suites," in </w:t>
      </w:r>
      <w:r>
        <w:rPr>
          <w:rFonts w:ascii="Times New Roman" w:hAnsi="Times New Roman"/>
          <w:i/>
          <w:sz w:val="20"/>
        </w:rPr>
        <w:t>Proc. IEEE/CVF Conf. Comput. Vis. Pattern Recognit. (CVPR)</w:t>
      </w:r>
      <w:r>
        <w:rPr>
          <w:rFonts w:ascii="Times New Roman" w:hAnsi="Times New Roman"/>
          <w:sz w:val="20"/>
        </w:rPr>
        <w:t>, 2026, pp. 4100–4112.</w:t>
      </w:r>
    </w:p>
    <w:p w14:paraId="43439DC6">
      <w:pPr>
        <w:spacing w:before="40" w:after="80" w:line="276" w:lineRule="auto"/>
      </w:pPr>
      <w:r>
        <w:rPr>
          <w:rFonts w:ascii="Times New Roman" w:hAnsi="Times New Roman"/>
          <w:sz w:val="20"/>
        </w:rPr>
        <w:t xml:space="preserve">[34] S. Kim, et al., "Unified document tokenization for high-resolution page understanding," in </w:t>
      </w:r>
      <w:r>
        <w:rPr>
          <w:rFonts w:ascii="Times New Roman" w:hAnsi="Times New Roman"/>
          <w:i/>
          <w:sz w:val="20"/>
        </w:rPr>
        <w:t>Proc. Advances in Neural Inf. Process. Syst. (NeurIPS)</w:t>
      </w:r>
      <w:r>
        <w:rPr>
          <w:rFonts w:ascii="Times New Roman" w:hAnsi="Times New Roman"/>
          <w:sz w:val="20"/>
        </w:rPr>
        <w:t>, vol. 38, 2025, pp. 12400–12415.</w:t>
      </w:r>
    </w:p>
    <w:p w14:paraId="7B632141">
      <w:pPr>
        <w:spacing w:before="40" w:after="80" w:line="276" w:lineRule="auto"/>
      </w:pPr>
      <w:r>
        <w:rPr>
          <w:rFonts w:ascii="Times New Roman" w:hAnsi="Times New Roman"/>
          <w:sz w:val="20"/>
        </w:rPr>
        <w:t xml:space="preserve">[35] P. Singh, et al., "Privacy-preserving synthetic document generation for administrative credential intelligence," </w:t>
      </w:r>
      <w:r>
        <w:rPr>
          <w:rFonts w:ascii="Times New Roman" w:hAnsi="Times New Roman"/>
          <w:i/>
          <w:sz w:val="20"/>
        </w:rPr>
        <w:t>ACM Trans. Knowl. Discov. Data (TKDD)</w:t>
      </w:r>
      <w:r>
        <w:rPr>
          <w:rFonts w:ascii="Times New Roman" w:hAnsi="Times New Roman"/>
          <w:sz w:val="20"/>
        </w:rPr>
        <w:t>, vol. 20, no. 2, pp. 45–62, Mar. 2026.</w:t>
      </w:r>
    </w:p>
    <w:p w14:paraId="642A3AFF">
      <w:pPr>
        <w:spacing w:before="40" w:after="80" w:line="276" w:lineRule="auto"/>
      </w:pPr>
      <w:r>
        <w:rPr>
          <w:rFonts w:ascii="Times New Roman" w:hAnsi="Times New Roman"/>
          <w:sz w:val="20"/>
        </w:rPr>
        <w:t xml:space="preserve">[36] M. Alvarez, et al., "Semantic canonicalization and normalizer evaluation in multi-modal document analysis," </w:t>
      </w:r>
      <w:r>
        <w:rPr>
          <w:rFonts w:ascii="Times New Roman" w:hAnsi="Times New Roman"/>
          <w:i/>
          <w:sz w:val="20"/>
        </w:rPr>
        <w:t>IEEE Access</w:t>
      </w:r>
      <w:r>
        <w:rPr>
          <w:rFonts w:ascii="Times New Roman" w:hAnsi="Times New Roman"/>
          <w:sz w:val="20"/>
        </w:rPr>
        <w:t>, vol. 14, pp. 5200–5215, 2026.</w:t>
      </w:r>
    </w:p>
    <w:p w14:paraId="13D580EC">
      <w:pPr>
        <w:spacing w:before="40" w:after="80" w:line="276" w:lineRule="auto"/>
      </w:pPr>
      <w:r>
        <w:rPr>
          <w:rFonts w:ascii="Times New Roman" w:hAnsi="Times New Roman"/>
          <w:sz w:val="20"/>
        </w:rPr>
        <w:t xml:space="preserve">[37] F. Chen, et al., "Error Taxonomist: Automated structural diagnostic failure classification in document intelligence," </w:t>
      </w:r>
      <w:r>
        <w:rPr>
          <w:rFonts w:ascii="Times New Roman" w:hAnsi="Times New Roman"/>
          <w:i/>
          <w:sz w:val="20"/>
        </w:rPr>
        <w:t>IEEE Trans. Pattern Anal. Mach. Intell.</w:t>
      </w:r>
      <w:r>
        <w:rPr>
          <w:rFonts w:ascii="Times New Roman" w:hAnsi="Times New Roman"/>
          <w:sz w:val="20"/>
        </w:rPr>
        <w:t>, vol. 48, no. 2, pp. 780–795, Feb. 2026.</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