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scientific contributions, methodological novelty, threats to validity, and limitations.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160" w:after="8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 in this work.</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5.3.1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5.3.2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7.5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7.5.1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7.5.2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7.5.3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7.5.4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7.6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160" w:after="8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7.7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160" w:after="8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7.8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160" w:after="8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five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Contribution 1: Synthetic Academic Credential Benchmark Methodology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Public benchmarks such as SROIE (Huang et al., 2019), CORD (Park et al., 2019), and FUNSD (Jaume et al., 2019) utilize scanned business receipts or forms. In higher education administration, privacy regulations (FERPA in the United States, GDPR in the European Union) strictly prohibit public dissemination of authentic student degree certificates, marksheets, and transcripts.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Provides a reproducible synthetic evaluation methodology capable of generating credential specimens paired with complete ground-truth JSON trees without requiring real student records or personal data.</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Establishes a compliance-safe foundation for benchmarking proprietary LLMs and open-weight Vision-Language Models on sensitive institutional administrative documents.</w:t>
      </w:r>
    </w:p>
    <w:p>
      <w:pPr>
        <w:spacing w:before="20" w:after="40"/>
        <w:ind w:left="360"/>
      </w:pPr>
      <w:r>
        <w:rPr>
          <w:rFonts w:ascii="Times New Roman" w:hAnsi="Times New Roman"/>
          <w:b/>
          <w:sz w:val="20"/>
        </w:rPr>
        <w:t xml:space="preserve">2. </w:t>
      </w:r>
      <w:r>
        <w:rPr>
          <w:rFonts w:ascii="Times New Roman" w:hAnsi="Times New Roman"/>
          <w:b/>
          <w:sz w:val="20"/>
        </w:rPr>
        <w:t>Contribution 2: Six-Stage Semantic Canonical Normalization Layer</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Standard string comparison metrics (Levenshtein Edit Distance, Exact Match) evaluate raw text strings, causing benign formatting variations (e.g., 04/08/2026 vs August 4, 2026 or MIT vs Massachusetts Institute of Technology) to register as recognition failures.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Isolates genuine character recognition errors from benign formatting discrepancies by routing ground-truth and predicted values through a deterministic, six-stage canonical normalizer (CanonicalNormalizer).</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Prevents superficial formatting artifacts from distorting model evaluation scores, providing fair comparative accuracy metrics across diverse LLM prompting styles.</w:t>
      </w:r>
    </w:p>
    <w:p>
      <w:pPr>
        <w:spacing w:before="20" w:after="40"/>
        <w:ind w:left="360"/>
      </w:pPr>
      <w:r>
        <w:rPr>
          <w:rFonts w:ascii="Times New Roman" w:hAnsi="Times New Roman"/>
          <w:b/>
          <w:sz w:val="20"/>
        </w:rPr>
        <w:t xml:space="preserve">3. </w:t>
      </w:r>
      <w:r>
        <w:rPr>
          <w:rFonts w:ascii="Times New Roman" w:hAnsi="Times New Roman"/>
          <w:b/>
          <w:sz w:val="20"/>
        </w:rPr>
        <w:t>Contribution 3: Nine-Class Structured OCR Error Taxonomy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Traditional document analysis benchmarks summarize system performance using scalar error rates (CER, WER), which aggregate disparate failure modes into single scalar values without providing diagnostic insight.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Classifies extraction discrepancies into nine mutually exclusive diagnostic categories (OCR_ERROR, FIELD_MISSING, HALLUCINATION, FORMAT_ERROR, NORMALIZATION_ERROR, PARTIAL_MATCH, LOW_CONFIDENCE, CATEGORY_ERROR, EXACT_MATCH).</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Enables neural model architects to pinpoint specific failure mechanisms (e.g., prompt instruction omissions vs optical degradation failures), facilitating targeted model fine-tuning.</w:t>
      </w:r>
    </w:p>
    <w:p>
      <w:pPr>
        <w:spacing w:before="20" w:after="40"/>
        <w:ind w:left="360"/>
      </w:pPr>
      <w:r>
        <w:rPr>
          <w:rFonts w:ascii="Times New Roman" w:hAnsi="Times New Roman"/>
          <w:b/>
          <w:sz w:val="20"/>
        </w:rPr>
        <w:t xml:space="preserve">4. </w:t>
      </w:r>
      <w:r>
        <w:rPr>
          <w:rFonts w:ascii="Times New Roman" w:hAnsi="Times New Roman"/>
          <w:b/>
          <w:sz w:val="20"/>
        </w:rPr>
        <w:t>Contribution 4: Controlled Quality-Profile Degradation Matrix</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Existing document datasets evaluate models primarily on pristine or statically noisy image collections, failing to quantify performance decay across physical optical capture channels.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Establishes a systematic evaluation matrix measuring extraction decay across four standardized physical optical profiles (clean, scanner_copy, mobile_camera, rotated_90).</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Quantifies neural model robustness against scanner aging, camera lens distortion, and orientation misalignment in production administrative workflows.</w:t>
      </w:r>
    </w:p>
    <w:p>
      <w:pPr>
        <w:spacing w:before="20" w:after="40"/>
        <w:ind w:left="360"/>
      </w:pPr>
      <w:r>
        <w:rPr>
          <w:rFonts w:ascii="Times New Roman" w:hAnsi="Times New Roman"/>
          <w:b/>
          <w:sz w:val="20"/>
        </w:rPr>
        <w:t xml:space="preserve">5. </w:t>
      </w:r>
      <w:r>
        <w:rPr>
          <w:rFonts w:ascii="Times New Roman" w:hAnsi="Times New Roman"/>
          <w:b/>
          <w:sz w:val="20"/>
        </w:rPr>
        <w:t>Contribution 5: Seed-Deterministic Synthetic Dataset Generation Protocol</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Stochastic synthetic data generators introduce random variations across execution runs, making exact cross-study experimental replication difficult.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Employs a seed-deterministic rendering pipeline (PrngSeedGenerator + TypstCompilerAdapter) ensuring pixel-exact specimen fabrication and reproducible ground-truth JSON annotations across independent research groups.</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Guarantees exact experimental reproducibility for benchmark evaluation protocols across different computing environments.</w:t>
      </w:r>
    </w:p>
    <w:p>
      <w:pPr>
        <w:keepNext/>
        <w:spacing w:before="200" w:after="80"/>
      </w:pPr>
      <w:r>
        <w:rPr>
          <w:rFonts w:ascii="Times New Roman" w:hAnsi="Times New Roman"/>
          <w:b/>
          <w:color w:val="333333"/>
          <w:sz w:val="23"/>
        </w:rPr>
        <w:t>8.2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8.4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8.4.1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