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 (FERPA, GDPR) 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privacy-compliant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w:r>
        <w:rPr>
          <w:rFonts w:ascii="Cambria Math" w:hAnsi="Cambria Math"/>
          <w:i/>
          <w:color w:val="003366"/>
          <w:sz w:val="20"/>
        </w:rPr>
        <w:t>3  categories  x  30  instances  x  4  degradation profiles</w:t>
      </w:r>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Privacy-Safe AI.</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privacy-compliant synthetic data generator capable of rendering diverse academic credentials with pixel-exact ground truth annotations.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ADBG v1.0 Dataset Generator</w:t>
      </w:r>
      <w:r>
        <w:rPr>
          <w:rFonts w:ascii="Times New Roman" w:hAnsi="Times New Roman"/>
          <w:sz w:val="20"/>
        </w:rPr>
        <w:t>: A seed-deterministic synthetic data fabrication engine capable of rendering multi-page vector PDF and raster image credentials across three document categories (</w:t>
      </w:r>
      <w:r>
        <w:rPr>
          <w:rFonts w:ascii="Times New Roman" w:hAnsi="Times New Roman"/>
          <w:i/>
          <w:sz w:val="20"/>
        </w:rPr>
        <w:t>Certificates</w:t>
      </w:r>
      <w:r>
        <w:rPr>
          <w:rFonts w:ascii="Times New Roman" w:hAnsi="Times New Roman"/>
          <w:sz w:val="20"/>
        </w:rPr>
        <w:t xml:space="preserve">, </w:t>
      </w:r>
      <w:r>
        <w:rPr>
          <w:rFonts w:ascii="Times New Roman" w:hAnsi="Times New Roman"/>
          <w:i/>
          <w:sz w:val="20"/>
        </w:rPr>
        <w:t>Marksheets</w:t>
      </w:r>
      <w:r>
        <w:rPr>
          <w:rFonts w:ascii="Times New Roman" w:hAnsi="Times New Roman"/>
          <w:sz w:val="20"/>
        </w:rPr>
        <w:t xml:space="preserve">, </w:t>
      </w:r>
      <w:r>
        <w:rPr>
          <w:rFonts w:ascii="Times New Roman" w:hAnsi="Times New Roman"/>
          <w:i/>
          <w:sz w:val="20"/>
        </w:rPr>
        <w:t>Student IDs</w:t>
      </w:r>
      <w:r>
        <w:rPr>
          <w:rFonts w:ascii="Times New Roman" w:hAnsi="Times New Roman"/>
          <w:sz w:val="20"/>
        </w:rPr>
        <w:t>).</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Paper Organization</w:t>
      </w:r>
    </w:p>
    <w:p>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findings, limitations, and threats to validity. Section 9 outlines future research directions, Section 10 concludes the paper, and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Information Extraction &amp; Neural Document AI Architectures</w:t>
      </w:r>
    </w:p>
    <w:p>
      <w:pPr>
        <w:spacing w:before="40" w:after="80" w:line="276" w:lineRule="auto"/>
      </w:pPr>
      <w:r>
        <w:rPr>
          <w:rFonts w:ascii="Times New Roman" w:hAnsi="Times New Roman"/>
          <w:sz w:val="20"/>
        </w:rPr>
        <w:t xml:space="preserve">Modern Document AI architectures integrate visual features, textual content, and spatial layout coordinates. Multimodal models such as </w:t>
      </w:r>
      <w:r>
        <w:rPr>
          <w:rFonts w:ascii="Times New Roman" w:hAnsi="Times New Roman"/>
          <w:b/>
          <w:sz w:val="20"/>
        </w:rPr>
        <w:t>LayoutLMv3</w:t>
      </w:r>
      <w:r>
        <w:rPr>
          <w:rFonts w:ascii="Times New Roman" w:hAnsi="Times New Roman"/>
          <w:sz w:val="20"/>
        </w:rPr>
        <w:t xml:space="preserve"> (Huang et al., 2022) utilize unified text and image masking to capture spatial correlations across complex form fields. Similarly, end-to-end vision encoder-decoder models such as </w:t>
      </w:r>
      <w:r>
        <w:rPr>
          <w:rFonts w:ascii="Times New Roman" w:hAnsi="Times New Roman"/>
          <w:b/>
          <w:sz w:val="20"/>
        </w:rPr>
        <w:t>Donut</w:t>
      </w:r>
      <w:r>
        <w:rPr>
          <w:rFonts w:ascii="Times New Roman" w:hAnsi="Times New Roman"/>
          <w:sz w:val="20"/>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pPr>
        <w:keepNext/>
        <w:spacing w:before="200" w:after="80"/>
      </w:pPr>
      <w:r>
        <w:rPr>
          <w:rFonts w:ascii="Times New Roman" w:hAnsi="Times New Roman"/>
          <w:b/>
          <w:color w:val="333333"/>
          <w:sz w:val="23"/>
        </w:rPr>
        <w:t>2.2 Public Document Intelligence Benchmarks</w:t>
      </w:r>
    </w:p>
    <w:p>
      <w:pPr>
        <w:spacing w:before="40" w:after="80" w:line="276" w:lineRule="auto"/>
      </w:pPr>
      <w:r>
        <w:rPr>
          <w:rFonts w:ascii="Times New Roman" w:hAnsi="Times New Roman"/>
          <w:sz w:val="20"/>
        </w:rPr>
        <w:t>Several public datasets exist for document analysis research:</w:t>
      </w:r>
    </w:p>
    <w:p>
      <w:pPr>
        <w:pStyle w:val="ListBullet"/>
        <w:spacing w:before="20" w:after="40"/>
      </w:pPr>
      <w:r>
        <w:rPr>
          <w:rFonts w:ascii="Times New Roman" w:hAnsi="Times New Roman"/>
          <w:b/>
          <w:sz w:val="20"/>
        </w:rPr>
        <w:t>Receipts &amp; Invoices</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provide key-value annotations for commercial receipt parsing.</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provides word-level and entity-level relationship annotations for administrative forms.</w:t>
      </w:r>
    </w:p>
    <w:p>
      <w:pPr>
        <w:pStyle w:val="ListBullet"/>
        <w:spacing w:before="20" w:after="40"/>
      </w:pPr>
      <w:r>
        <w:rPr>
          <w:rFonts w:ascii="Times New Roman" w:hAnsi="Times New Roman"/>
          <w:b/>
          <w:sz w:val="20"/>
        </w:rPr>
        <w:t>Document 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evaluates visual question answering across industry documents.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provides single-page scanned document categories across 16 administrative classes.</w:t>
      </w:r>
    </w:p>
    <w:p>
      <w:pPr>
        <w:spacing w:before="40" w:after="80" w:line="276" w:lineRule="auto"/>
      </w:pPr>
      <w:r>
        <w:rPr>
          <w:rFonts w:ascii="Times New Roman" w:hAnsi="Times New Roman"/>
          <w:sz w:val="20"/>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pPr>
        <w:keepNext/>
        <w:spacing w:before="200" w:after="80"/>
      </w:pPr>
      <w:r>
        <w:rPr>
          <w:rFonts w:ascii="Times New Roman" w:hAnsi="Times New Roman"/>
          <w:b/>
          <w:color w:val="333333"/>
          <w:sz w:val="23"/>
        </w:rPr>
        <w:t>2.3 Synthetic Document Generation &amp; Benchmark Comparison</w:t>
      </w:r>
    </w:p>
    <w:p>
      <w:pPr>
        <w:spacing w:before="40" w:after="80" w:line="276" w:lineRule="auto"/>
      </w:pPr>
      <w:r>
        <w:rPr>
          <w:rFonts w:ascii="Times New Roman" w:hAnsi="Times New Roman"/>
          <w:sz w:val="20"/>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pPr>
        <w:spacing w:before="40" w:after="80" w:line="276" w:lineRule="auto"/>
      </w:pPr>
      <w:r>
        <w:rPr>
          <w:rFonts w:ascii="Times New Roman" w:hAnsi="Times New Roman"/>
          <w:sz w:val="20"/>
        </w:rPr>
        <w:t>Table 0 presents a comparative feature matrix contrasting ADBG v1.0 with existing public document analysis benchmarks.</w:t>
      </w:r>
    </w:p>
    <w:p>
      <w:pPr>
        <w:keepNext/>
        <w:spacing w:before="160" w:after="80"/>
        <w:jc w:val="center"/>
      </w:pPr>
      <w:r>
        <w:rPr>
          <w:rFonts w:ascii="Times New Roman" w:hAnsi="Times New Roman"/>
          <w:b/>
          <w:color w:val="003366"/>
          <w:sz w:val="19"/>
        </w:rPr>
        <w:t>Table 0: Comparative Feature Matrix of Document Intelligence Benchmarks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Privacy-Safe Synthetic</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Commercial Receipts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Scanned Receipts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(Anonymized)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Noise-Degraded Forms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Static Noise Only</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Mixed Documents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ADBG v1.0 / AU DIC (Ours)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Academic Credentials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(100% Synthetic)</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(Semester Arrays)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(4 Profiles)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(6 Stages)</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System Architecture Overview</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ADBG Synthetic Data Generation Methodology</w:t>
      </w:r>
    </w:p>
    <w:p>
      <w:pPr>
        <w:keepNext/>
        <w:spacing w:before="200" w:after="80"/>
      </w:pPr>
      <w:r>
        <w:rPr>
          <w:rFonts w:ascii="Times New Roman" w:hAnsi="Times New Roman"/>
          <w:b/>
          <w:color w:val="333333"/>
          <w:sz w:val="23"/>
        </w:rPr>
        <w:t>4.1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120" w:after="120"/>
        <w:jc w:val="center"/>
      </w:pPr>
      <w:r>
        <w:rPr>
          <w:rFonts w:ascii="Cambria Math" w:hAnsi="Cambria Math"/>
          <w:i/>
          <w:color w:val="003366"/>
          <w:sz w:val="22"/>
        </w:rPr>
        <w:t>DocumentSpecimen = G(Seed, Category, Profile)</w:t>
      </w:r>
    </w:p>
    <w:p>
      <w:pPr>
        <w:keepNext/>
        <w:spacing w:before="200" w:after="80"/>
      </w:pPr>
      <w:r>
        <w:rPr>
          <w:rFonts w:ascii="Times New Roman" w:hAnsi="Times New Roman"/>
          <w:b/>
          <w:color w:val="333333"/>
          <w:sz w:val="23"/>
        </w:rPr>
        <w:t>4.2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200" w:after="80"/>
      </w:pPr>
      <w:r>
        <w:rPr>
          <w:rFonts w:ascii="Times New Roman" w:hAnsi="Times New Roman"/>
          <w:b/>
          <w:color w:val="333333"/>
          <w:sz w:val="23"/>
        </w:rPr>
        <w:t>4.3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120" w:after="120"/>
        <w:jc w:val="center"/>
      </w:pPr>
      <w:r>
        <w:rPr>
          <w:rFonts w:ascii="Cambria Math" w:hAnsi="Cambria Math"/>
          <w:i/>
          <w:color w:val="003366"/>
          <w:sz w:val="22"/>
        </w:rPr>
        <w:t>I_{degraded} = D_{rotation}  o  D_{contrast}  o  D_{gaussian}  o  D_{blur}(I_{clean})</w:t>
      </w:r>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AU DIC Evaluation Subsystem &amp; Semantic Normalization Layer</w:t>
      </w:r>
    </w:p>
    <w:p>
      <w:pPr>
        <w:keepNext/>
        <w:spacing w:before="200" w:after="80"/>
      </w:pPr>
      <w:r>
        <w:rPr>
          <w:rFonts w:ascii="Times New Roman" w:hAnsi="Times New Roman"/>
          <w:b/>
          <w:color w:val="333333"/>
          <w:sz w:val="23"/>
        </w:rPr>
        <w:t>5.1 Decoupled Read-Only Execution Engine</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5.2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w:r>
        <w:rPr>
          <w:rFonts w:ascii="Times New Roman" w:hAnsi="Times New Roman"/>
          <w:i/>
          <w:color w:val="003366"/>
          <w:sz w:val="20"/>
        </w:rPr>
        <w:t xml:space="preserve"> -&gt; </w:t>
      </w:r>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5.3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120" w:after="120"/>
        <w:jc w:val="center"/>
      </w:pPr>
      <w:r>
        <w:rPr>
          <w:rFonts w:ascii="Cambria Math" w:hAnsi="Cambria Math"/>
          <w:i/>
          <w:color w:val="003366"/>
          <w:sz w:val="22"/>
        </w:rPr>
        <w:t>ErrorCategory  in  \{OCR\_ERROR, FIELD\_MISSING, HALLUCINATION, FORMAT\_ERROR, NORMALIZATION\_ERROR, PARTIAL\_MATCH, LOW\_CONFIDENCE, CATEGORY\_ERROR, EXACT\_MATCH\}</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Experimental Setup, Protocol &amp; Metrics</w:t>
      </w:r>
    </w:p>
    <w:p>
      <w:pPr>
        <w:keepNext/>
        <w:spacing w:before="200" w:after="80"/>
      </w:pPr>
      <w:r>
        <w:rPr>
          <w:rFonts w:ascii="Times New Roman" w:hAnsi="Times New Roman"/>
          <w:b/>
          <w:color w:val="333333"/>
          <w:sz w:val="23"/>
        </w:rPr>
        <w:t>6.1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w:r>
        <w:rPr>
          <w:rFonts w:ascii="Cambria Math" w:hAnsi="Cambria Math"/>
          <w:i/>
          <w:color w:val="003366"/>
          <w:sz w:val="20"/>
        </w:rPr>
        <w:t xml:space="preserve"> x </w:t>
      </w:r>
      <w:r>
        <w:rPr>
          <w:rFonts w:ascii="Times New Roman" w:hAnsi="Times New Roman"/>
          <w:sz w:val="20"/>
        </w:rPr>
        <w:t xml:space="preserve"> 30 unique document instances </w:t>
      </w:r>
      <w:r>
        <w:rPr>
          <w:rFonts w:ascii="Cambria Math" w:hAnsi="Cambria Math"/>
          <w:i/>
          <w:color w:val="003366"/>
          <w:sz w:val="20"/>
        </w:rPr>
        <w:t xml:space="preserve"> x </w:t>
      </w:r>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6.2 Evaluation Metrics</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w:r>
        <w:rPr>
          <w:rFonts w:ascii="Times New Roman" w:hAnsi="Times New Roman"/>
          <w:i/>
          <w:color w:val="003366"/>
          <w:sz w:val="20"/>
        </w:rPr>
        <w:t>C_hat_i</w:t>
      </w:r>
      <w:r>
        <w:rPr>
          <w:rFonts w:ascii="Times New Roman" w:hAnsi="Times New Roman"/>
          <w:sz w:val="20"/>
        </w:rPr>
        <w:t>) matches the ground truth category (</w:t>
      </w:r>
      <w:r>
        <w:rPr>
          <w:rFonts w:ascii="Times New Roman" w:hAnsi="Times New Roman"/>
          <w:i/>
          <w:color w:val="003366"/>
          <w:sz w:val="20"/>
        </w:rPr>
        <w:t>C_i</w:t>
      </w:r>
      <w:r>
        <w:rPr>
          <w:rFonts w:ascii="Times New Roman" w:hAnsi="Times New Roman"/>
          <w:sz w:val="20"/>
        </w:rPr>
        <w:t>):</w:t>
      </w:r>
    </w:p>
    <w:p>
      <w:pPr>
        <w:spacing w:before="40" w:after="80" w:line="276" w:lineRule="auto"/>
      </w:pPr>
      <w:r>
        <w:rPr>
          <w:rFonts w:ascii="Cambria Math" w:hAnsi="Cambria Math"/>
          <w:i/>
          <w:color w:val="003366"/>
          <w:sz w:val="20"/>
        </w:rPr>
      </w:r>
      <w:r>
        <w:rPr>
          <w:rFonts w:ascii="Times New Roman" w:hAnsi="Times New Roman"/>
          <w:sz w:val="20"/>
        </w:rPr>
        <w:t>Category Accuracy = \frac{Sum(i=1)^N I(C_hat_i = C_i)}{N}</w:t>
      </w:r>
      <w:r>
        <w:rPr>
          <w:rFonts w:ascii="Cambria Math" w:hAnsi="Cambria Math"/>
          <w:i/>
          <w:color w:val="003366"/>
          <w:sz w:val="20"/>
        </w:rPr>
      </w:r>
    </w:p>
    <w:p>
      <w:pPr>
        <w:spacing w:before="40" w:after="80" w:line="276" w:lineRule="auto"/>
      </w:pPr>
      <w:r>
        <w:rPr>
          <w:rFonts w:ascii="Times New Roman" w:hAnsi="Times New Roman"/>
          <w:sz w:val="20"/>
        </w:rPr>
        <w:t xml:space="preserve">where </w:t>
      </w:r>
      <w:r>
        <w:rPr>
          <w:rFonts w:ascii="Cambria Math" w:hAnsi="Cambria Math"/>
          <w:i/>
          <w:color w:val="003366"/>
          <w:sz w:val="20"/>
        </w:rPr>
        <w:t>N=360</w:t>
      </w:r>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($P$)</w:t>
      </w:r>
      <w:r>
        <w:rPr>
          <w:rFonts w:ascii="Times New Roman" w:hAnsi="Times New Roman"/>
          <w:sz w:val="20"/>
        </w:rPr>
        <w:t xml:space="preserve">, </w:t>
      </w:r>
      <w:r>
        <w:rPr>
          <w:rFonts w:ascii="Times New Roman" w:hAnsi="Times New Roman"/>
          <w:b/>
          <w:sz w:val="20"/>
        </w:rPr>
        <w:t>Recall ($R$)</w:t>
      </w:r>
      <w:r>
        <w:rPr>
          <w:rFonts w:ascii="Times New Roman" w:hAnsi="Times New Roman"/>
          <w:sz w:val="20"/>
        </w:rPr>
        <w:t xml:space="preserve">, and </w:t>
      </w:r>
      <w:r>
        <w:rPr>
          <w:rFonts w:ascii="Times New Roman" w:hAnsi="Times New Roman"/>
          <w:b/>
          <w:sz w:val="20"/>
        </w:rPr>
        <w:t>F1 Score ($F_1$)</w:t>
      </w:r>
      <w:r>
        <w:rPr>
          <w:rFonts w:ascii="Times New Roman" w:hAnsi="Times New Roman"/>
          <w:sz w:val="20"/>
        </w:rPr>
        <w:t>: Macro-averaged key-value field extraction metrics across all extracted target entities:</w:t>
      </w:r>
    </w:p>
    <w:p>
      <w:pPr>
        <w:spacing w:before="40" w:after="80" w:line="276" w:lineRule="auto"/>
      </w:pPr>
      <w:r>
        <w:rPr>
          <w:rFonts w:ascii="Cambria Math" w:hAnsi="Cambria Math"/>
          <w:i/>
          <w:color w:val="003366"/>
          <w:sz w:val="20"/>
        </w:rPr>
      </w:r>
      <w:r>
        <w:rPr>
          <w:rFonts w:ascii="Times New Roman" w:hAnsi="Times New Roman"/>
          <w:sz w:val="20"/>
        </w:rPr>
        <w:t>P = (True Positive Fields / True Positive Fields + False Positive Fields), \quad R = (True Positive Fields / True Positive Fields + False Negative Fields), \quad F_1 = 2 \cdot (P \cdot R / P + R)</w:t>
      </w:r>
      <w:r>
        <w:rPr>
          <w:rFonts w:ascii="Cambria Math" w:hAnsi="Cambria Math"/>
          <w:i/>
          <w:color w:val="003366"/>
          <w:sz w:val="20"/>
        </w:rPr>
      </w:r>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w:r>
        <w:rPr>
          <w:rFonts w:ascii="Times New Roman" w:hAnsi="Times New Roman"/>
          <w:i/>
          <w:color w:val="003366"/>
          <w:sz w:val="20"/>
        </w:rPr>
        <w:t>L_{GT}</w:t>
      </w:r>
      <w:r>
        <w:rPr>
          <w:rFonts w:ascii="Times New Roman" w:hAnsi="Times New Roman"/>
          <w:sz w:val="20"/>
        </w:rPr>
        <w:t>):</w:t>
      </w:r>
    </w:p>
    <w:p>
      <w:pPr>
        <w:spacing w:before="40" w:after="80" w:line="276" w:lineRule="auto"/>
      </w:pPr>
      <w:r>
        <w:rPr>
          <w:rFonts w:ascii="Cambria Math" w:hAnsi="Cambria Math"/>
          <w:i/>
          <w:color w:val="003366"/>
          <w:sz w:val="20"/>
        </w:rPr>
      </w:r>
      <w:r>
        <w:rPr>
          <w:rFonts w:ascii="Times New Roman" w:hAnsi="Times New Roman"/>
          <w:sz w:val="20"/>
        </w:rPr>
        <w:t>CER = \frac{S_{char} + D_{char} + I_{char}}{L_{GT}}</w:t>
      </w:r>
      <w:r>
        <w:rPr>
          <w:rFonts w:ascii="Cambria Math" w:hAnsi="Cambria Math"/>
          <w:i/>
          <w:color w:val="003366"/>
          <w:sz w:val="20"/>
        </w:rPr>
      </w:r>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w:r>
        <w:rPr>
          <w:rFonts w:ascii="Times New Roman" w:hAnsi="Times New Roman"/>
          <w:i/>
          <w:color w:val="003366"/>
          <w:sz w:val="20"/>
        </w:rPr>
        <w:t>W_{GT}</w:t>
      </w:r>
      <w:r>
        <w:rPr>
          <w:rFonts w:ascii="Times New Roman" w:hAnsi="Times New Roman"/>
          <w:sz w:val="20"/>
        </w:rPr>
        <w:t>):</w:t>
      </w:r>
    </w:p>
    <w:p>
      <w:pPr>
        <w:spacing w:before="40" w:after="80" w:line="276" w:lineRule="auto"/>
      </w:pPr>
      <w:r>
        <w:rPr>
          <w:rFonts w:ascii="Cambria Math" w:hAnsi="Cambria Math"/>
          <w:i/>
          <w:color w:val="003366"/>
          <w:sz w:val="20"/>
        </w:rPr>
      </w:r>
      <w:r>
        <w:rPr>
          <w:rFonts w:ascii="Times New Roman" w:hAnsi="Times New Roman"/>
          <w:sz w:val="20"/>
        </w:rPr>
        <w:t>WER = \frac{S_{word} + D_{word} + I_{word}}{W_{GT}}</w:t>
      </w:r>
      <w:r>
        <w:rPr>
          <w:rFonts w:ascii="Cambria Math" w:hAnsi="Cambria Math"/>
          <w:i/>
          <w:color w:val="003366"/>
          <w:sz w:val="20"/>
        </w:rPr>
      </w:r>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w:r>
        <w:rPr>
          <w:rFonts w:ascii="Times New Roman" w:hAnsi="Times New Roman"/>
          <w:i/>
          <w:color w:val="003366"/>
          <w:sz w:val="20"/>
        </w:rPr>
        <w:t>ms/sample</w:t>
      </w:r>
      <w:r>
        <w:rPr>
          <w:rFonts w:ascii="Times New Roman" w:hAnsi="Times New Roman"/>
          <w:sz w:val="20"/>
        </w:rPr>
        <w:t>) and framework processing throughput (</w:t>
      </w:r>
      <w:r>
        <w:rPr>
          <w:rFonts w:ascii="Times New Roman" w:hAnsi="Times New Roman"/>
          <w:i/>
          <w:color w:val="003366"/>
          <w:sz w:val="20"/>
        </w:rPr>
        <w:t>samples/sec</w:t>
      </w:r>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Results &amp; Validation</w:t>
      </w:r>
    </w:p>
    <w:p>
      <w:pPr>
        <w:keepNext/>
        <w:spacing w:before="200" w:after="80"/>
      </w:pPr>
      <w:r>
        <w:rPr>
          <w:rFonts w:ascii="Times New Roman" w:hAnsi="Times New Roman"/>
          <w:b/>
          <w:color w:val="333333"/>
          <w:sz w:val="23"/>
        </w:rPr>
        <w:t>7.1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7.2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7.3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w:r>
        <w:rPr>
          <w:rFonts w:ascii="Times New Roman" w:hAnsi="Times New Roman"/>
          <w:i/>
          <w:color w:val="003366"/>
          <w:sz w:val="20"/>
        </w:rPr>
        <w:t>\sigma = 0.45 ms</w:t>
      </w:r>
      <w:r>
        <w:rPr>
          <w:rFonts w:ascii="Times New Roman" w:hAnsi="Times New Roman"/>
          <w:sz w:val="20"/>
        </w:rPr>
        <w:t>)</w:t>
      </w:r>
    </w:p>
    <w:p>
      <w:pPr>
        <w:keepNext/>
        <w:spacing w:before="200" w:after="80"/>
      </w:pPr>
      <w:r>
        <w:rPr>
          <w:rFonts w:ascii="Times New Roman" w:hAnsi="Times New Roman"/>
          <w:b/>
          <w:color w:val="333333"/>
          <w:sz w:val="23"/>
        </w:rPr>
        <w:t>7.4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7.4.1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2.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Discussion, Threats to Validity &amp; Limitations</w:t>
      </w:r>
    </w:p>
    <w:p>
      <w:pPr>
        <w:keepNext/>
        <w:spacing w:before="200" w:after="80"/>
      </w:pPr>
      <w:r>
        <w:rPr>
          <w:rFonts w:ascii="Times New Roman" w:hAnsi="Times New Roman"/>
          <w:b/>
          <w:color w:val="333333"/>
          <w:sz w:val="23"/>
        </w:rPr>
        <w:t>8.1 Discussion of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8.2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keepNext/>
        <w:spacing w:before="200" w:after="80"/>
      </w:pPr>
      <w:r>
        <w:rPr>
          <w:rFonts w:ascii="Times New Roman" w:hAnsi="Times New Roman"/>
          <w:b/>
          <w:color w:val="333333"/>
          <w:sz w:val="23"/>
        </w:rPr>
        <w:t>8.3 Detailed Limitations Analysis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10. Conclusion</w:t>
      </w:r>
    </w:p>
    <w:p>
      <w:pPr>
        <w:spacing w:before="40" w:after="80" w:line="276" w:lineRule="auto"/>
      </w:pPr>
      <w:r>
        <w:rPr>
          <w:rFonts w:ascii="Times New Roman" w:hAnsi="Times New Roman"/>
          <w:sz w:val="20"/>
        </w:rPr>
        <w:t xml:space="preserve">In this paper, we presented </w:t>
      </w:r>
      <w:r>
        <w:rPr>
          <w:rFonts w:ascii="Times New Roman" w:hAnsi="Times New Roman"/>
          <w:b/>
          <w:sz w:val="20"/>
        </w:rPr>
        <w:t>ADBG v1.0</w:t>
      </w:r>
      <w:r>
        <w:rPr>
          <w:rFonts w:ascii="Times New Roman" w:hAnsi="Times New Roman"/>
          <w:sz w:val="20"/>
        </w:rPr>
        <w:t xml:space="preserve"> and the </w:t>
      </w:r>
      <w:r>
        <w:rPr>
          <w:rFonts w:ascii="Times New Roman" w:hAnsi="Times New Roman"/>
          <w:b/>
          <w:sz w:val="20"/>
        </w:rPr>
        <w:t>AU DIC Benchmark Evaluation Framework v1.0</w:t>
      </w:r>
      <w:r>
        <w:rPr>
          <w:rFonts w:ascii="Times New Roman" w:hAnsi="Times New Roman"/>
          <w:sz w:val="20"/>
        </w:rPr>
        <w:t xml:space="preserve"> for evaluating academic document intelligence systems. The framework incorporates a seed-deterministic synthetic data generator, a six-stage semantic canonical normalization layer, and a nine-class structured OCR error taxonomy. Live neural model inference over 360 specimens using Groq Cloud Llama 3.1 8B Instant demonstrated a 100.00% Field Extraction F1 score and uncovered a prompt-constraint failure mode in zero-shot category classification. This work establishes a privacy-safe, reproducible foundation for academic document analysis research.</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fictional student names, candidate identifiers, and institutional titles. No authentic student records or personal data were used, ensuring full compliance with FERPA and GDPR privacy regulations.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w:r>
        <w:rPr>
          <w:rFonts w:ascii="Cambria Math" w:hAnsi="Cambria Math"/>
          <w:i/>
          <w:color w:val="003366"/>
          <w:sz w:val="20"/>
        </w:rPr>
        <w:t>O(N)</w:t>
      </w:r>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pStyle w:val="ListBullet"/>
        <w:spacing w:before="20" w:after="40"/>
      </w:pPr>
      <w:r>
        <w:rPr>
          <w:rFonts w:ascii="Times New Roman" w:hAnsi="Times New Roman"/>
          <w:sz w:val="20"/>
        </w:rPr>
        <w:t xml:space="preserve">Harley, A. W., Ufkes, A., &amp; Bamford, R. (2015). Evaluation of deep convolutional nets for document image classification. </w:t>
      </w:r>
      <w:r>
        <w:rPr>
          <w:rFonts w:ascii="Times New Roman" w:hAnsi="Times New Roman"/>
          <w:i/>
          <w:sz w:val="20"/>
        </w:rPr>
        <w:t>International Conference on Document Analysis and Recognition (ICDAR)</w:t>
      </w:r>
      <w:r>
        <w:rPr>
          <w:rFonts w:ascii="Times New Roman" w:hAnsi="Times New Roman"/>
          <w:sz w:val="20"/>
        </w:rPr>
        <w:t>, 991-995.</w:t>
      </w:r>
    </w:p>
    <w:p>
      <w:pPr>
        <w:pStyle w:val="ListBullet"/>
        <w:spacing w:before="20" w:after="40"/>
      </w:pPr>
      <w:r>
        <w:rPr>
          <w:rFonts w:ascii="Times New Roman" w:hAnsi="Times New Roman"/>
          <w:sz w:val="20"/>
        </w:rPr>
        <w:t xml:space="preserve">Huang, Z., Chen, K., He, J., Bai, X., Karatzas, D., Lu, S., &amp; Jawahar, C. V. (2019). ICDAR2019 competition on scanned receipts information extraction (SROIE). </w:t>
      </w:r>
      <w:r>
        <w:rPr>
          <w:rFonts w:ascii="Times New Roman" w:hAnsi="Times New Roman"/>
          <w:i/>
          <w:sz w:val="20"/>
        </w:rPr>
        <w:t>ICDAR</w:t>
      </w:r>
      <w:r>
        <w:rPr>
          <w:rFonts w:ascii="Times New Roman" w:hAnsi="Times New Roman"/>
          <w:sz w:val="20"/>
        </w:rPr>
        <w:t>, 1516-1520.</w:t>
      </w:r>
    </w:p>
    <w:p>
      <w:pPr>
        <w:pStyle w:val="ListBullet"/>
        <w:spacing w:before="20" w:after="40"/>
      </w:pPr>
      <w:r>
        <w:rPr>
          <w:rFonts w:ascii="Times New Roman" w:hAnsi="Times New Roman"/>
          <w:sz w:val="20"/>
        </w:rPr>
        <w:t xml:space="preserve">Huang, Y., Lv, T., Cui, L., Lu, Y., &amp; Wei, F. (2022). LayoutLMv3: Pre-training for document AI with unified text and image masking. </w:t>
      </w:r>
      <w:r>
        <w:rPr>
          <w:rFonts w:ascii="Times New Roman" w:hAnsi="Times New Roman"/>
          <w:i/>
          <w:sz w:val="20"/>
        </w:rPr>
        <w:t>ACM MM</w:t>
      </w:r>
      <w:r>
        <w:rPr>
          <w:rFonts w:ascii="Times New Roman" w:hAnsi="Times New Roman"/>
          <w:sz w:val="20"/>
        </w:rPr>
        <w:t>, 4083-4091.</w:t>
      </w:r>
    </w:p>
    <w:p>
      <w:pPr>
        <w:pStyle w:val="ListBullet"/>
        <w:spacing w:before="20" w:after="40"/>
      </w:pPr>
      <w:r>
        <w:rPr>
          <w:rFonts w:ascii="Times New Roman" w:hAnsi="Times New Roman"/>
          <w:sz w:val="20"/>
        </w:rPr>
        <w:t xml:space="preserve">Jaume, G., Ekenel, H. K., &amp; Thiran, J. P. (2019). FUNSD: A dataset for form understanding in noisy scanned documents. </w:t>
      </w:r>
      <w:r>
        <w:rPr>
          <w:rFonts w:ascii="Times New Roman" w:hAnsi="Times New Roman"/>
          <w:i/>
          <w:sz w:val="20"/>
        </w:rPr>
        <w:t>ICDAR Workshops</w:t>
      </w:r>
      <w:r>
        <w:rPr>
          <w:rFonts w:ascii="Times New Roman" w:hAnsi="Times New Roman"/>
          <w:sz w:val="20"/>
        </w:rPr>
        <w:t>, 56-61.</w:t>
      </w:r>
    </w:p>
    <w:p>
      <w:pPr>
        <w:pStyle w:val="ListBullet"/>
        <w:spacing w:before="20" w:after="40"/>
      </w:pPr>
      <w:r>
        <w:rPr>
          <w:rFonts w:ascii="Times New Roman" w:hAnsi="Times New Roman"/>
          <w:sz w:val="20"/>
        </w:rPr>
        <w:t xml:space="preserve">Kim, G., Hong, T., Yim, M., Nam, J., Park, J., Yim, J., Hwang, S., Yun, S., Han, D., &amp; Park, S. (2022). OCR-free document understanding transformer. </w:t>
      </w:r>
      <w:r>
        <w:rPr>
          <w:rFonts w:ascii="Times New Roman" w:hAnsi="Times New Roman"/>
          <w:i/>
          <w:sz w:val="20"/>
        </w:rPr>
        <w:t>ECCV</w:t>
      </w:r>
      <w:r>
        <w:rPr>
          <w:rFonts w:ascii="Times New Roman" w:hAnsi="Times New Roman"/>
          <w:sz w:val="20"/>
        </w:rPr>
        <w:t>, 498-517.</w:t>
      </w:r>
    </w:p>
    <w:p>
      <w:pPr>
        <w:pStyle w:val="ListBullet"/>
        <w:spacing w:before="20" w:after="40"/>
      </w:pPr>
      <w:r>
        <w:rPr>
          <w:rFonts w:ascii="Times New Roman" w:hAnsi="Times New Roman"/>
          <w:sz w:val="20"/>
        </w:rPr>
        <w:t xml:space="preserve">Li, M., Lv, T., Cui, L., Lu, Y., Florencio, D., Zhang, C., Li, Z., &amp; Wei, F. (2023). TrOCR: Transformer-based optical character recognition with pre-trained models. </w:t>
      </w:r>
      <w:r>
        <w:rPr>
          <w:rFonts w:ascii="Times New Roman" w:hAnsi="Times New Roman"/>
          <w:i/>
          <w:sz w:val="20"/>
        </w:rPr>
        <w:t>AAAI</w:t>
      </w:r>
      <w:r>
        <w:rPr>
          <w:rFonts w:ascii="Times New Roman" w:hAnsi="Times New Roman"/>
          <w:sz w:val="20"/>
        </w:rPr>
        <w:t>, 13094-13102.</w:t>
      </w:r>
    </w:p>
    <w:p>
      <w:pPr>
        <w:pStyle w:val="ListBullet"/>
        <w:spacing w:before="20" w:after="40"/>
      </w:pPr>
      <w:r>
        <w:rPr>
          <w:rFonts w:ascii="Times New Roman" w:hAnsi="Times New Roman"/>
          <w:sz w:val="20"/>
        </w:rPr>
        <w:t xml:space="preserve">Mathew, M., Karatzas, D., &amp; Jawahar, C. V. (2021). DocVQA: A dataset for VQA on document images. </w:t>
      </w:r>
      <w:r>
        <w:rPr>
          <w:rFonts w:ascii="Times New Roman" w:hAnsi="Times New Roman"/>
          <w:i/>
          <w:sz w:val="20"/>
        </w:rPr>
        <w:t>WACV</w:t>
      </w:r>
      <w:r>
        <w:rPr>
          <w:rFonts w:ascii="Times New Roman" w:hAnsi="Times New Roman"/>
          <w:sz w:val="20"/>
        </w:rPr>
        <w:t>, 2200-2209.</w:t>
      </w:r>
    </w:p>
    <w:p>
      <w:pPr>
        <w:pStyle w:val="ListBullet"/>
        <w:spacing w:before="20" w:after="40"/>
      </w:pPr>
      <w:r>
        <w:rPr>
          <w:rFonts w:ascii="Times New Roman" w:hAnsi="Times New Roman"/>
          <w:sz w:val="20"/>
        </w:rPr>
        <w:t xml:space="preserve">Park, S., Shin, S., Lee, B., Lee, J., Surh, J., Seo, M., &amp; Baek, H. (2019). CORD: A consolidated receipt dataset for post-OCR parsing. </w:t>
      </w:r>
      <w:r>
        <w:rPr>
          <w:rFonts w:ascii="Times New Roman" w:hAnsi="Times New Roman"/>
          <w:i/>
          <w:sz w:val="20"/>
        </w:rPr>
        <w:t>NeurIPS Workshop</w:t>
      </w:r>
      <w:r>
        <w:rPr>
          <w:rFonts w:ascii="Times New Roman" w:hAnsi="Times New Roman"/>
          <w:sz w:val="20"/>
        </w:rPr>
        <w:t>.</w:t>
      </w:r>
    </w:p>
    <w:p>
      <w:pPr>
        <w:pStyle w:val="ListBullet"/>
        <w:spacing w:before="20" w:after="40"/>
      </w:pPr>
      <w:r>
        <w:rPr>
          <w:rFonts w:ascii="Times New Roman" w:hAnsi="Times New Roman"/>
          <w:sz w:val="20"/>
        </w:rPr>
        <w:t xml:space="preserve">Xiao, T., et al. (2024). Florence-2: Advancing a unified representation for vision tasks. </w:t>
      </w:r>
      <w:r>
        <w:rPr>
          <w:rFonts w:ascii="Times New Roman" w:hAnsi="Times New Roman"/>
          <w:i/>
          <w:sz w:val="20"/>
        </w:rPr>
        <w:t>CVPR</w:t>
      </w:r>
      <w:r>
        <w:rPr>
          <w:rFonts w:ascii="Times New Roman" w:hAnsi="Times New Roman"/>
          <w:sz w:val="20"/>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