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Regulatory Barriers</w:t>
      </w:r>
      <w:r>
        <w:rPr>
          <w:rFonts w:ascii="Times New Roman" w:hAnsi="Times New Roman"/>
          <w:sz w:val="20"/>
        </w:rPr>
        <w:t>: Privacy laws such as the Family Educational Rights and Privacy Act (FERPA) in the United States and the General Data Protection Regulation (GDPR) in the European Union prohibit public sharing of authentic student academic records.</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formatting variations (e.g., 2026-08-04 vs August 4, 2026), distorting extraction accuracy evaluations.</w:t>
      </w:r>
    </w:p>
    <w:p>
      <w:pPr>
        <w:spacing w:before="40" w:after="80" w:line="276" w:lineRule="auto"/>
      </w:pPr>
      <w:r>
        <w:rPr>
          <w:rFonts w:ascii="Times New Roman" w:hAnsi="Times New Roman"/>
          <w:sz w:val="20"/>
        </w:rPr>
        <w:t>Real-world academic credentials frequently contain personally identifiable information (PII), including student names, enrollment identifiers, grades, transcripts, and institutional records. Public distribution of such documents is often restricted by privacy regulations such as the Family Educational Rights and Privacy Act (FERPA) in the United States and the General Data Protection Regulation (GDPR) in the European Union. 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one of the first integrated benchmarking methodologies specifically designed for academic credential document intelligence. The proposed methodology combines deterministic synthetic document generation, semantic canonical normalization,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not merely in software implementation or tool engineering, but in establishing a unified evaluation methodology for Document Intelligence Systems (DIS) operating in administrative credential domains where real student records are restricted by statutory regulations. Previous benchmark contributions in document analysis (e.g., SROIE, CORD, FUNSD, DocVQA) evaluate neural models on static, authentic document collections. However, in the academic credential domain, regulatory constraints (FERPA, GDPR) prohibit public distribution of real student records, while superficial string representation variations distort extraction evaluation.</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benchmark protocol, this work establishes a standardized, reproducible foundation to evaluate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Section 3 details the system architecture. Section 4 presents the ADBG synthetic data generation methodology. Section 5 describes the AU DIC evaluation framework and normalizers. Section 6 specifies the experimental protocol and metrics. Section 7 presents empirical validation results. Section 8 discusses scientific contributions, methodological novelty, threats to validity, and limitations. Section 9 outlines future research directions, Section 10 concludes the paper, and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Information Extraction &amp; Neural Document AI Architectures</w:t>
      </w:r>
    </w:p>
    <w:p>
      <w:pPr>
        <w:spacing w:before="40" w:after="80" w:line="276" w:lineRule="auto"/>
      </w:pPr>
      <w:r>
        <w:rPr>
          <w:rFonts w:ascii="Times New Roman" w:hAnsi="Times New Roman"/>
          <w:sz w:val="20"/>
        </w:rPr>
        <w:t xml:space="preserve">Modern Document AI architectures integrate visual features, textual content, and spatial layout coordinates. Multimodal models such as </w:t>
      </w:r>
      <w:r>
        <w:rPr>
          <w:rFonts w:ascii="Times New Roman" w:hAnsi="Times New Roman"/>
          <w:b/>
          <w:sz w:val="20"/>
        </w:rPr>
        <w:t>LayoutLMv3</w:t>
      </w:r>
      <w:r>
        <w:rPr>
          <w:rFonts w:ascii="Times New Roman" w:hAnsi="Times New Roman"/>
          <w:sz w:val="20"/>
        </w:rPr>
        <w:t xml:space="preserve"> (Huang et al., 2022) utilize unified text and image masking to capture spatial correlations across complex form fields. Similarly, end-to-end vision encoder-decoder models such as </w:t>
      </w:r>
      <w:r>
        <w:rPr>
          <w:rFonts w:ascii="Times New Roman" w:hAnsi="Times New Roman"/>
          <w:b/>
          <w:sz w:val="20"/>
        </w:rPr>
        <w:t>Donut</w:t>
      </w:r>
      <w:r>
        <w:rPr>
          <w:rFonts w:ascii="Times New Roman" w:hAnsi="Times New Roman"/>
          <w:sz w:val="20"/>
        </w:rPr>
        <w:t xml:space="preserve"> (Kim et al., 2022) and sequence-to-sequence OCR transformers such as </w:t>
      </w:r>
      <w:r>
        <w:rPr>
          <w:rFonts w:ascii="Times New Roman" w:hAnsi="Times New Roman"/>
          <w:b/>
          <w:sz w:val="20"/>
        </w:rPr>
        <w:t>TrOCR</w:t>
      </w:r>
      <w:r>
        <w:rPr>
          <w:rFonts w:ascii="Times New Roman" w:hAnsi="Times New Roman"/>
          <w:sz w:val="20"/>
        </w:rPr>
        <w:t xml:space="preserve"> (Li et al., 2023) eliminate explicit OCR dependencies by mapping document images directly to structured text representations.</w:t>
      </w:r>
    </w:p>
    <w:p>
      <w:pPr>
        <w:spacing w:before="40" w:after="80" w:line="276" w:lineRule="auto"/>
      </w:pPr>
      <w:r>
        <w:rPr>
          <w:rFonts w:ascii="Times New Roman" w:hAnsi="Times New Roman"/>
          <w:sz w:val="20"/>
        </w:rPr>
        <w:t>While these neural architectures demonstrate strong capabilities on general administrative documents, evaluating their extraction accuracy on academic credentials presents distinct challenges. Standard evaluation protocols for neural models typically rely on raw string matching or unnormalized character error rates, which fail to separate genuine recognition failures from benign formatting variations (such as ISO date styling or institutional shorthand). Consequently, measuring neural extraction performance on academic credentials requires specialized benchmarks capable of evaluating tabular grade arrays and applying domain-specific canonical normalization.</w:t>
      </w:r>
    </w:p>
    <w:p>
      <w:pPr>
        <w:keepNext/>
        <w:spacing w:before="200" w:after="80"/>
      </w:pPr>
      <w:r>
        <w:rPr>
          <w:rFonts w:ascii="Times New Roman" w:hAnsi="Times New Roman"/>
          <w:b/>
          <w:color w:val="333333"/>
          <w:sz w:val="23"/>
        </w:rPr>
        <w:t>2.2 Public Document Intelligence Benchmarks &amp; Domain Limitations</w:t>
      </w:r>
    </w:p>
    <w:p>
      <w:pPr>
        <w:spacing w:before="40" w:after="80" w:line="276" w:lineRule="auto"/>
      </w:pPr>
      <w:r>
        <w:rPr>
          <w:rFonts w:ascii="Times New Roman" w:hAnsi="Times New Roman"/>
          <w:sz w:val="20"/>
        </w:rPr>
        <w:t>Several public datasets have significantly advanced document analysis research, but each exhibits specific scope limitations when applied to academic credential intelligence:</w:t>
      </w:r>
    </w:p>
    <w:p>
      <w:pPr>
        <w:pStyle w:val="ListBullet"/>
        <w:spacing w:before="20" w:after="40"/>
      </w:pPr>
      <w:r>
        <w:rPr>
          <w:rFonts w:ascii="Times New Roman" w:hAnsi="Times New Roman"/>
          <w:b/>
          <w:sz w:val="20"/>
        </w:rPr>
        <w:t>Commercial Receipts &amp; Invoices</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provide key-value annotations for commercial receipt parsing. While valuable for single-line field extraction (e.g., merchant name, transaction total), these datasets focus on simple point-of-sale layouts and lack the multi-column course grids, credit hour structures, and semester GPA calculations characteristic of academic marksheets and transcripts.</w:t>
      </w:r>
    </w:p>
    <w:p>
      <w:pPr>
        <w:pStyle w:val="ListBullet"/>
        <w:spacing w:before="20" w:after="40"/>
      </w:pPr>
      <w:r>
        <w:rPr>
          <w:rFonts w:ascii="Times New Roman" w:hAnsi="Times New Roman"/>
          <w:b/>
          <w:sz w:val="20"/>
        </w:rPr>
        <w:t>Scanned 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provides word-level and entity-level relationship annotations for scanned administrative forms. However, FUNSD is limited to static image noise artifacts and does not provide multi-profile optical degradation matrices (such as controlled camera tilt, perspective skew, or resolution loss) or semantic evaluation normalization.</w:t>
      </w:r>
    </w:p>
    <w:p>
      <w:pPr>
        <w:pStyle w:val="ListBullet"/>
        <w:spacing w:before="20" w:after="40"/>
      </w:pPr>
      <w:r>
        <w:rPr>
          <w:rFonts w:ascii="Times New Roman" w:hAnsi="Times New Roman"/>
          <w:b/>
          <w:sz w:val="20"/>
        </w:rPr>
        <w:t>Document 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evaluates visual question answering across diverse industry documents. While DocVQA tests free-form natural language comprehension, it does not evaluate structured JSON key-value schema extraction or tabular grade array parsing.</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provides a large-scale collection of scanned business documents across 16 broad categories. However, RVL-CDIP is designed strictly for high-level document image classification and lacks fine-grained key-value field annotations or structural evaluation metrics.</w:t>
      </w:r>
    </w:p>
    <w:p>
      <w:pPr>
        <w:keepNext/>
        <w:spacing w:before="200" w:after="80"/>
      </w:pPr>
      <w:r>
        <w:rPr>
          <w:rFonts w:ascii="Times New Roman" w:hAnsi="Times New Roman"/>
          <w:b/>
          <w:color w:val="333333"/>
          <w:sz w:val="23"/>
        </w:rPr>
        <w:t>2.3 Synthetic Document Generation &amp; Comparative Analysis</w:t>
      </w:r>
    </w:p>
    <w:p>
      <w:pPr>
        <w:spacing w:before="40" w:after="80" w:line="276" w:lineRule="auto"/>
      </w:pPr>
      <w:r>
        <w:rPr>
          <w:rFonts w:ascii="Times New Roman" w:hAnsi="Times New Roman"/>
          <w:sz w:val="20"/>
        </w:rPr>
        <w:t>To overcome data access barriers imposed by student privacy regulations (such as FERPA and GDPR), synthetic data generation frameworks render synthetic text onto natural background images or form templates. ADBG v1.0 extends synthetic document generation principles to higher education credentials by integrating Typst vector PDF compilation with 14 physical optical degradation operators, producing synthetic document specimens with multi-profile optical distortions.</w:t>
      </w:r>
    </w:p>
    <w:p>
      <w:pPr>
        <w:spacing w:before="40" w:after="80" w:line="276" w:lineRule="auto"/>
      </w:pPr>
      <w:r>
        <w:rPr>
          <w:rFonts w:ascii="Times New Roman" w:hAnsi="Times New Roman"/>
          <w:sz w:val="20"/>
        </w:rPr>
        <w:t>Table 0 presents an objective comparative feature matrix contrasting ADBG v1.0 with existing public document analysis benchmarks.</w:t>
      </w:r>
    </w:p>
    <w:p>
      <w:pPr>
        <w:keepNext/>
        <w:spacing w:before="160" w:after="80"/>
        <w:jc w:val="center"/>
      </w:pPr>
      <w:r>
        <w:rPr>
          <w:rFonts w:ascii="Times New Roman" w:hAnsi="Times New Roman"/>
          <w:b/>
          <w:color w:val="003366"/>
          <w:sz w:val="19"/>
        </w:rPr>
        <w:t>Table 0: Comparative Feature Matrix of Document Intelligence Benchmarks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Documents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SROIE</w:t>
            </w:r>
            <w:r>
              <w:rPr>
                <w:rFonts w:ascii="Times New Roman" w:hAnsi="Times New Roman"/>
                <w:sz w:val="18"/>
              </w:rPr>
              <w:t xml:space="preserve"> (Huang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Commercial Receipts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CORD</w:t>
            </w:r>
            <w:r>
              <w:rPr>
                <w:rFonts w:ascii="Times New Roman" w:hAnsi="Times New Roman"/>
                <w:sz w:val="18"/>
              </w:rPr>
              <w:t xml:space="preserve"> (Park et al., 2019)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Scanned Receipts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(Anonymized)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FUNSD</w:t>
            </w:r>
            <w:r>
              <w:rPr>
                <w:rFonts w:ascii="Times New Roman" w:hAnsi="Times New Roman"/>
                <w:sz w:val="18"/>
              </w:rPr>
              <w:t xml:space="preserve"> (Jaume et al., 2019)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Noise-Degraded Forms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Static Noise Only</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DocVQA</w:t>
            </w:r>
            <w:r>
              <w:rPr>
                <w:rFonts w:ascii="Times New Roman" w:hAnsi="Times New Roman"/>
                <w:sz w:val="18"/>
              </w:rPr>
              <w:t xml:space="preserve"> (Mathew et al., 2021)</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Mixed Documents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 2015)</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ADBG v1.0 / AU DIC (Ours)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Academic Credentials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(100% Synthetic)</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(Semester Arrays)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(4 Profiles)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Yes (6 Stages)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these advances in Document AI models and datasets, existing evaluation frameworks primarily target receipts, forms, invoices, or general document classification tasks. Within the specific domain of academic credential document intelligence, four critical methodological gaps remain insufficiently addressed: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string variations; and (4) the lack of a structured diagnostic OCR error taxonomy. These observations directly motivate the integrated benchmarking methodology presented in this work.</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System Architecture Overview</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ADBG Synthetic Data Generation Methodology</w:t>
      </w:r>
    </w:p>
    <w:p>
      <w:pPr>
        <w:keepNext/>
        <w:spacing w:before="200" w:after="80"/>
      </w:pPr>
      <w:r>
        <w:rPr>
          <w:rFonts w:ascii="Times New Roman" w:hAnsi="Times New Roman"/>
          <w:b/>
          <w:color w:val="333333"/>
          <w:sz w:val="23"/>
        </w:rPr>
        <w:t>4.1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200" w:after="80"/>
      </w:pPr>
      <w:r>
        <w:rPr>
          <w:rFonts w:ascii="Times New Roman" w:hAnsi="Times New Roman"/>
          <w:b/>
          <w:color w:val="333333"/>
          <w:sz w:val="23"/>
        </w:rPr>
        <w:t>4.2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200" w:after="80"/>
      </w:pPr>
      <w:r>
        <w:rPr>
          <w:rFonts w:ascii="Times New Roman" w:hAnsi="Times New Roman"/>
          <w:b/>
          <w:color w:val="333333"/>
          <w:sz w:val="23"/>
        </w:rPr>
        <w:t>4.3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AU DIC Evaluation Subsystem &amp; Semantic Normalization Layer</w:t>
      </w:r>
    </w:p>
    <w:p>
      <w:pPr>
        <w:keepNext/>
        <w:spacing w:before="200" w:after="80"/>
      </w:pPr>
      <w:r>
        <w:rPr>
          <w:rFonts w:ascii="Times New Roman" w:hAnsi="Times New Roman"/>
          <w:b/>
          <w:color w:val="333333"/>
          <w:sz w:val="23"/>
        </w:rPr>
        <w:t>5.1 Decoupled Read-Only Execution Engine</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5.2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5.3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5.3.1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5.3.2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160" w:after="8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Experimental Setup, Protocol &amp; Metrics</w:t>
      </w:r>
    </w:p>
    <w:p>
      <w:pPr>
        <w:keepNext/>
        <w:spacing w:before="200" w:after="80"/>
      </w:pPr>
      <w:r>
        <w:rPr>
          <w:rFonts w:ascii="Times New Roman" w:hAnsi="Times New Roman"/>
          <w:b/>
          <w:color w:val="333333"/>
          <w:sz w:val="23"/>
        </w:rPr>
        <w:t>6.1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6.2 Evaluation Metrics</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Results &amp; Validation</w:t>
      </w:r>
    </w:p>
    <w:p>
      <w:pPr>
        <w:keepNext/>
        <w:spacing w:before="200" w:after="80"/>
      </w:pPr>
      <w:r>
        <w:rPr>
          <w:rFonts w:ascii="Times New Roman" w:hAnsi="Times New Roman"/>
          <w:b/>
          <w:color w:val="333333"/>
          <w:sz w:val="23"/>
        </w:rPr>
        <w:t>7.1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7.2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160" w:after="8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7.3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7.4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7.4.1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2" name="Picture 2"/>
            <wp:cNvGraphicFramePr>
              <a:graphicFrameLocks noChangeAspect="1"/>
            </wp:cNvGraphicFramePr>
            <a:graphic>
              <a:graphicData uri="http://schemas.openxmlformats.org/drawingml/2006/picture">
                <pic:pic>
                  <pic:nvPicPr>
                    <pic:cNvPr id="0" name="figure2_option_b_pipeline.png"/>
                    <pic:cNvPicPr/>
                  </pic:nvPicPr>
                  <pic:blipFill>
                    <a:blip r:embed="rId11"/>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2.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160" w:after="8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7.5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7.5.1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160" w:after="8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7.5.2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160" w:after="8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7.5.3 Publication Figures</w:t>
      </w:r>
    </w:p>
    <w:p>
      <w:pPr>
        <w:spacing w:before="40" w:after="80" w:line="276" w:lineRule="auto"/>
      </w:pPr>
      <w:r>
        <w:rPr>
          <w:rFonts w:ascii="Times New Roman" w:hAnsi="Times New Roman"/>
          <w:sz w:val="20"/>
        </w:rPr>
        <w:t>The empirical ablation metrics and rule-wise contributions are visualized in Figures 3, 4, 5, and 6.</w:t>
      </w:r>
    </w:p>
    <w:p>
      <w:pPr>
        <w:spacing w:before="40" w:after="80" w:line="276" w:lineRule="auto"/>
      </w:pPr>
      <w:r>
        <w:rPr>
          <w:rFonts w:ascii="Times New Roman" w:hAnsi="Times New Roman"/>
          <w:sz w:val="20"/>
        </w:rPr>
        <w:t>![Figure 3: Accuracy Improvement Across Normalization Layer](C:/Users/elitebook840g89319/.gemini/antigravity-ide/brain/bb9b3069-0e60-4209-b2b8-d0321ac491db/figure_normalization_ablation.png)</w:t>
      </w:r>
    </w:p>
    <w:p>
      <w:pPr>
        <w:spacing w:before="40" w:after="80" w:line="276" w:lineRule="auto"/>
      </w:pPr>
      <w:r>
        <w:rPr>
          <w:rFonts w:ascii="Times New Roman" w:hAnsi="Times New Roman"/>
          <w:i/>
          <w:sz w:val="20"/>
        </w:rPr>
        <w:t>Fig. 3: Accuracy metric comparison (Precision, Recall, F1) with and without semantic canonical normalization.</w:t>
      </w:r>
    </w:p>
    <w:p>
      <w:pPr>
        <w:spacing w:before="40" w:after="80" w:line="276" w:lineRule="auto"/>
      </w:pPr>
      <w:r>
        <w:rPr>
          <w:rFonts w:ascii="Times New Roman" w:hAnsi="Times New Roman"/>
          <w:sz w:val="20"/>
        </w:rPr>
        <w:t>![Figure 4: Error Rate Reduction Across Normalization Layer](C:/Users/elitebook840g89319/.gemini/antigravity-ide/brain/bb9b3069-0e60-4209-b2b8-d0321ac491db/figure_metric_improvement.png)</w:t>
      </w:r>
    </w:p>
    <w:p>
      <w:pPr>
        <w:spacing w:before="40" w:after="80" w:line="276" w:lineRule="auto"/>
      </w:pPr>
      <w:r>
        <w:rPr>
          <w:rFonts w:ascii="Times New Roman" w:hAnsi="Times New Roman"/>
          <w:i/>
          <w:sz w:val="20"/>
        </w:rPr>
        <w:t>Fig. 4: Character Error Rate (CER) and Word Error Rate (WER) reduction resulting from canonical normalization.</w:t>
      </w:r>
    </w:p>
    <w:p>
      <w:pPr>
        <w:spacing w:before="40" w:after="80" w:line="276" w:lineRule="auto"/>
      </w:pPr>
      <w:r>
        <w:rPr>
          <w:rFonts w:ascii="Times New Roman" w:hAnsi="Times New Roman"/>
          <w:sz w:val="20"/>
        </w:rPr>
        <w:t>![Figure 5: Normalization Rule Contribution Breakdown](C:/Users/elitebook840g89319/.gemini/antigravity-ide/brain/bb9b3069-0e60-4209-b2b8-d0321ac491db/figure_rule_contribution.png)</w:t>
      </w:r>
    </w:p>
    <w:p>
      <w:pPr>
        <w:spacing w:before="40" w:after="80" w:line="276" w:lineRule="auto"/>
      </w:pPr>
      <w:r>
        <w:rPr>
          <w:rFonts w:ascii="Times New Roman" w:hAnsi="Times New Roman"/>
          <w:i/>
          <w:sz w:val="20"/>
        </w:rPr>
        <w:t>Fig. 5: Total false-negative field mismatches resolved by each individual domain normalizer rule.</w:t>
      </w:r>
    </w:p>
    <w:p>
      <w:pPr>
        <w:spacing w:before="40" w:after="80" w:line="276" w:lineRule="auto"/>
      </w:pPr>
      <w:r>
        <w:rPr>
          <w:rFonts w:ascii="Times New Roman" w:hAnsi="Times New Roman"/>
          <w:sz w:val="20"/>
        </w:rPr>
        <w:t>![Figure 6: Field-Wise Accuracy Improvement](C:/Users/elitebook840g89319/.gemini/antigravity-ide/brain/bb9b3069-0e60-4209-b2b8-d0321ac491db/figure_field_improvement.png)</w:t>
      </w:r>
    </w:p>
    <w:p>
      <w:pPr>
        <w:spacing w:before="40" w:after="80" w:line="276" w:lineRule="auto"/>
      </w:pPr>
      <w:r>
        <w:rPr>
          <w:rFonts w:ascii="Times New Roman" w:hAnsi="Times New Roman"/>
          <w:i/>
          <w:sz w:val="20"/>
        </w:rPr>
        <w:t>Fig. 6: Field-by-field accuracy improvement comparing raw string matching against canonical normalization.</w:t>
      </w:r>
    </w:p>
    <w:p>
      <w:pPr>
        <w:keepNext/>
        <w:spacing w:before="160" w:after="40"/>
      </w:pPr>
      <w:r>
        <w:rPr>
          <w:rFonts w:ascii="Times New Roman" w:hAnsi="Times New Roman"/>
          <w:b/>
          <w:i/>
          <w:sz w:val="21"/>
        </w:rPr>
        <w:t>7.5.4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7.6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160" w:after="8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7.7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160" w:after="8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7.8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160" w:after="8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Discussion, Threats to Validity &amp; Limitations</w:t>
      </w:r>
    </w:p>
    <w:p>
      <w:pPr>
        <w:keepNext/>
        <w:spacing w:before="200" w:after="80"/>
      </w:pPr>
      <w:r>
        <w:rPr>
          <w:rFonts w:ascii="Times New Roman" w:hAnsi="Times New Roman"/>
          <w:b/>
          <w:color w:val="333333"/>
          <w:sz w:val="23"/>
        </w:rPr>
        <w:t>8.1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five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Contribution 1: Synthetic Academic Credential Benchmark Methodology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Public benchmarks such as SROIE (Huang et al., 2019), CORD (Park et al., 2019), and FUNSD (Jaume et al., 2019) utilize scanned business receipts or forms. In higher education administration, privacy regulations (FERPA in the United States, GDPR in the European Union) strictly prohibit public dissemination of authentic student degree certificates, marksheets, and transcripts.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Provides a reproducible synthetic evaluation methodology capable of generating credential specimens paired with complete ground-truth JSON trees without requiring real student records or personal data.</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Establishes a compliance-safe foundation for benchmarking proprietary LLMs and open-weight Vision-Language Models on sensitive institutional administrative documents.</w:t>
      </w:r>
    </w:p>
    <w:p>
      <w:pPr>
        <w:spacing w:before="20" w:after="40"/>
        <w:ind w:left="360"/>
      </w:pPr>
      <w:r>
        <w:rPr>
          <w:rFonts w:ascii="Times New Roman" w:hAnsi="Times New Roman"/>
          <w:b/>
          <w:sz w:val="20"/>
        </w:rPr>
        <w:t xml:space="preserve">2. </w:t>
      </w:r>
      <w:r>
        <w:rPr>
          <w:rFonts w:ascii="Times New Roman" w:hAnsi="Times New Roman"/>
          <w:b/>
          <w:sz w:val="20"/>
        </w:rPr>
        <w:t>Contribution 2: Six-Stage Semantic Canonical Normalization Layer</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Standard string comparison metrics (Levenshtein Edit Distance, Exact Match) evaluate raw text strings, causing benign formatting variations (e.g., 04/08/2026 vs August 4, 2026 or MIT vs Massachusetts Institute of Technology) to register as recognition failures.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Isolates genuine character recognition errors from benign formatting discrepancies by routing ground-truth and predicted values through a deterministic, six-stage canonical normalizer (CanonicalNormalizer).</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Prevents superficial formatting artifacts from distorting model evaluation scores, providing fair comparative accuracy metrics across diverse LLM prompting styles.</w:t>
      </w:r>
    </w:p>
    <w:p>
      <w:pPr>
        <w:spacing w:before="20" w:after="40"/>
        <w:ind w:left="360"/>
      </w:pPr>
      <w:r>
        <w:rPr>
          <w:rFonts w:ascii="Times New Roman" w:hAnsi="Times New Roman"/>
          <w:b/>
          <w:sz w:val="20"/>
        </w:rPr>
        <w:t xml:space="preserve">3. </w:t>
      </w:r>
      <w:r>
        <w:rPr>
          <w:rFonts w:ascii="Times New Roman" w:hAnsi="Times New Roman"/>
          <w:b/>
          <w:sz w:val="20"/>
        </w:rPr>
        <w:t>Contribution 3: Nine-Class Structured OCR Error Taxonomy</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Traditional document analysis benchmarks summarize system performance using scalar error rates (CER, WER), which aggregate disparate failure modes into single scalar values without providing diagnostic insight.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Classifies extraction discrepancies into nine mutually exclusive diagnostic categories (OCR_ERROR, FIELD_MISSING, HALLUCINATION, FORMAT_ERROR, NORMALIZATION_ERROR, PARTIAL_MATCH, LOW_CONFIDENCE, CATEGORY_ERROR, EXACT_MATCH).</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Enables neural model architects to pinpoint specific failure mechanisms (e.g., prompt instruction omissions vs optical degradation failures), facilitating targeted model fine-tuning.</w:t>
      </w:r>
    </w:p>
    <w:p>
      <w:pPr>
        <w:spacing w:before="20" w:after="40"/>
        <w:ind w:left="360"/>
      </w:pPr>
      <w:r>
        <w:rPr>
          <w:rFonts w:ascii="Times New Roman" w:hAnsi="Times New Roman"/>
          <w:b/>
          <w:sz w:val="20"/>
        </w:rPr>
        <w:t xml:space="preserve">4. </w:t>
      </w:r>
      <w:r>
        <w:rPr>
          <w:rFonts w:ascii="Times New Roman" w:hAnsi="Times New Roman"/>
          <w:b/>
          <w:sz w:val="20"/>
        </w:rPr>
        <w:t>Contribution 4: Controlled Quality-Profile Degradation Matrix</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Existing document datasets evaluate models primarily on pristine or statically noisy image collections, failing to quantify performance decay across physical optical capture channels.</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Establishes a systematic evaluation matrix measuring extraction decay across four standardized physical optical profiles (clean, scanner_copy, mobile_camera, rotated_90).</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Quantifies neural model robustness against scanner aging, camera lens distortion, and orientation misalignment in production administrative workflows.</w:t>
      </w:r>
    </w:p>
    <w:p>
      <w:pPr>
        <w:spacing w:before="20" w:after="40"/>
        <w:ind w:left="360"/>
      </w:pPr>
      <w:r>
        <w:rPr>
          <w:rFonts w:ascii="Times New Roman" w:hAnsi="Times New Roman"/>
          <w:b/>
          <w:sz w:val="20"/>
        </w:rPr>
        <w:t xml:space="preserve">5. </w:t>
      </w:r>
      <w:r>
        <w:rPr>
          <w:rFonts w:ascii="Times New Roman" w:hAnsi="Times New Roman"/>
          <w:b/>
          <w:sz w:val="20"/>
        </w:rPr>
        <w:t>Contribution 5: Seed-Deterministic Synthetic Dataset Generation Protocol</w:t>
      </w:r>
    </w:p>
    <w:p>
      <w:pPr>
        <w:spacing w:before="40" w:after="80" w:line="276" w:lineRule="auto"/>
      </w:pPr>
      <w:r>
        <w:rPr>
          <w:rFonts w:ascii="Times New Roman" w:hAnsi="Times New Roman"/>
          <w:sz w:val="20"/>
        </w:rPr>
        <w:t xml:space="preserve">- </w:t>
      </w:r>
      <w:r>
        <w:rPr>
          <w:rFonts w:ascii="Times New Roman" w:hAnsi="Times New Roman"/>
          <w:i/>
          <w:sz w:val="20"/>
        </w:rPr>
        <w:t>Limitations of Existing Work</w:t>
      </w:r>
      <w:r>
        <w:rPr>
          <w:rFonts w:ascii="Times New Roman" w:hAnsi="Times New Roman"/>
          <w:sz w:val="20"/>
        </w:rPr>
        <w:t>: Stochastic synthetic data generators introduce random variations across execution runs, making exact cross-study experimental replication difficult.</w:t>
      </w:r>
    </w:p>
    <w:p>
      <w:pPr>
        <w:spacing w:before="40" w:after="80" w:line="276" w:lineRule="auto"/>
      </w:pPr>
      <w:r>
        <w:rPr>
          <w:rFonts w:ascii="Times New Roman" w:hAnsi="Times New Roman"/>
          <w:sz w:val="20"/>
        </w:rPr>
        <w:t xml:space="preserve">- </w:t>
      </w:r>
      <w:r>
        <w:rPr>
          <w:rFonts w:ascii="Times New Roman" w:hAnsi="Times New Roman"/>
          <w:i/>
          <w:sz w:val="20"/>
        </w:rPr>
        <w:t>Addressed Gap</w:t>
      </w:r>
      <w:r>
        <w:rPr>
          <w:rFonts w:ascii="Times New Roman" w:hAnsi="Times New Roman"/>
          <w:sz w:val="20"/>
        </w:rPr>
        <w:t>: Employs a seed-deterministic rendering pipeline (PrngSeedGenerator + TypstCompilerAdapter) ensuring pixel-exact specimen fabrication and reproducible ground-truth JSON annotations across independent research groups.</w:t>
      </w:r>
    </w:p>
    <w:p>
      <w:pPr>
        <w:spacing w:before="40" w:after="80" w:line="276" w:lineRule="auto"/>
      </w:pPr>
      <w:r>
        <w:rPr>
          <w:rFonts w:ascii="Times New Roman" w:hAnsi="Times New Roman"/>
          <w:sz w:val="20"/>
        </w:rPr>
        <w:t xml:space="preserve">- </w:t>
      </w:r>
      <w:r>
        <w:rPr>
          <w:rFonts w:ascii="Times New Roman" w:hAnsi="Times New Roman"/>
          <w:i/>
          <w:sz w:val="20"/>
        </w:rPr>
        <w:t>Impact on Future Research</w:t>
      </w:r>
      <w:r>
        <w:rPr>
          <w:rFonts w:ascii="Times New Roman" w:hAnsi="Times New Roman"/>
          <w:sz w:val="20"/>
        </w:rPr>
        <w:t>: Guarantees exact experimental reproducibility for benchmark evaluation protocols across different computing environments.</w:t>
      </w:r>
    </w:p>
    <w:p>
      <w:pPr>
        <w:keepNext/>
        <w:spacing w:before="200" w:after="80"/>
      </w:pPr>
      <w:r>
        <w:rPr>
          <w:rFonts w:ascii="Times New Roman" w:hAnsi="Times New Roman"/>
          <w:b/>
          <w:color w:val="333333"/>
          <w:sz w:val="23"/>
        </w:rPr>
        <w:t>8.2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8.3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keepNext/>
        <w:spacing w:before="200" w:after="80"/>
      </w:pPr>
      <w:r>
        <w:rPr>
          <w:rFonts w:ascii="Times New Roman" w:hAnsi="Times New Roman"/>
          <w:b/>
          <w:color w:val="333333"/>
          <w:sz w:val="23"/>
        </w:rPr>
        <w:t>8.4 Detailed Limitations Analysis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8.4.1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10.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[4]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[5]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[6]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[7]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[8]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[9]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