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 (FERPA, GDPR) 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privacy-compliant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w:r>
        <w:rPr>
          <w:rFonts w:ascii="Cambria Math" w:hAnsi="Cambria Math"/>
          <w:i/>
          <w:color w:val="003366"/>
          <w:sz w:val="20"/>
        </w:rPr>
        <w:t>3  categories  x  30  instances  x  4  degradation profiles</w:t>
      </w:r>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This work provides a privacy-safe, reproducible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Privacy-Safe AI.</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Regulatory Barriers</w:t>
      </w:r>
      <w:r>
        <w:rPr>
          <w:rFonts w:ascii="Times New Roman" w:hAnsi="Times New Roman"/>
          <w:sz w:val="20"/>
        </w:rPr>
        <w:t>: Privacy laws such as the Family Educational Rights and Privacy Act (FERPA) in the United States and the General Data Protection Regulation (GDPR) in the European Union prohibit public sharing of authentic student academic records.</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formatting variations (e.g., 2026-08-04 vs August 4, 2026), distorting extraction accuracy evaluations.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privacy-compliant synthetic data generator capable of rendering diverse academic credentials with pixel-exact ground truth annotations.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ADBG v1.0 Dataset Generator</w:t>
      </w:r>
      <w:r>
        <w:rPr>
          <w:rFonts w:ascii="Times New Roman" w:hAnsi="Times New Roman"/>
          <w:sz w:val="20"/>
        </w:rPr>
        <w:t>: A seed-deterministic synthetic data fabrication engine capable of rendering multi-page vector PDF and raster image credentials across three document categories (</w:t>
      </w:r>
      <w:r>
        <w:rPr>
          <w:rFonts w:ascii="Times New Roman" w:hAnsi="Times New Roman"/>
          <w:i/>
          <w:sz w:val="20"/>
        </w:rPr>
        <w:t>Certificates</w:t>
      </w:r>
      <w:r>
        <w:rPr>
          <w:rFonts w:ascii="Times New Roman" w:hAnsi="Times New Roman"/>
          <w:sz w:val="20"/>
        </w:rPr>
        <w:t xml:space="preserve">, </w:t>
      </w:r>
      <w:r>
        <w:rPr>
          <w:rFonts w:ascii="Times New Roman" w:hAnsi="Times New Roman"/>
          <w:i/>
          <w:sz w:val="20"/>
        </w:rPr>
        <w:t>Marksheets</w:t>
      </w:r>
      <w:r>
        <w:rPr>
          <w:rFonts w:ascii="Times New Roman" w:hAnsi="Times New Roman"/>
          <w:sz w:val="20"/>
        </w:rPr>
        <w:t xml:space="preserve">, </w:t>
      </w:r>
      <w:r>
        <w:rPr>
          <w:rFonts w:ascii="Times New Roman" w:hAnsi="Times New Roman"/>
          <w:i/>
          <w:sz w:val="20"/>
        </w:rPr>
        <w:t>Student IDs</w:t>
      </w:r>
      <w:r>
        <w:rPr>
          <w:rFonts w:ascii="Times New Roman" w:hAnsi="Times New Roman"/>
          <w:sz w:val="20"/>
        </w:rPr>
        <w:t>).</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Paper Organization</w:t>
      </w:r>
    </w:p>
    <w:p>
      <w:pPr>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findings, limitations, and threats to validity. Section 9 outlines future research directions, Section 10 concludes the paper, and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Information Extraction &amp; Neural Document AI Architectures</w:t>
      </w:r>
    </w:p>
    <w:p>
      <w:pPr>
        <w:spacing w:before="40" w:after="80" w:line="276" w:lineRule="auto"/>
      </w:pPr>
      <w:r>
        <w:rPr>
          <w:rFonts w:ascii="Times New Roman" w:hAnsi="Times New Roman"/>
          <w:sz w:val="20"/>
        </w:rPr>
        <w:t xml:space="preserve">Modern Document AI architectures integrate visual features, textual content, and spatial layout coordinates. Multimodal models such as </w:t>
      </w:r>
      <w:r>
        <w:rPr>
          <w:rFonts w:ascii="Times New Roman" w:hAnsi="Times New Roman"/>
          <w:b/>
          <w:sz w:val="20"/>
        </w:rPr>
        <w:t>LayoutLMv3</w:t>
      </w:r>
      <w:r>
        <w:rPr>
          <w:rFonts w:ascii="Times New Roman" w:hAnsi="Times New Roman"/>
          <w:sz w:val="20"/>
        </w:rPr>
        <w:t xml:space="preserve"> (Huang et al., 2022) utilize unified text and image masking to capture spatial correlations across complex form fields. Similarly, end-to-end vision encoder-decoder models such as </w:t>
      </w:r>
      <w:r>
        <w:rPr>
          <w:rFonts w:ascii="Times New Roman" w:hAnsi="Times New Roman"/>
          <w:b/>
          <w:sz w:val="20"/>
        </w:rPr>
        <w:t>Donut</w:t>
      </w:r>
      <w:r>
        <w:rPr>
          <w:rFonts w:ascii="Times New Roman" w:hAnsi="Times New Roman"/>
          <w:sz w:val="20"/>
        </w:rPr>
        <w:t xml:space="preserve"> (Kim et al., 2022) eliminate explicit OCR dependencies by mapping document images directly to structured JSON trees. While these neural architectures achieve competitive performance on administrative forms, evaluating their extraction robustness on academic credentials requires specialized benchmarks capable of measuring tabular grade array accuracy and semantic formatting variations.</w:t>
      </w:r>
    </w:p>
    <w:p>
      <w:pPr>
        <w:keepNext/>
        <w:spacing w:before="200" w:after="80"/>
      </w:pPr>
      <w:r>
        <w:rPr>
          <w:rFonts w:ascii="Times New Roman" w:hAnsi="Times New Roman"/>
          <w:b/>
          <w:color w:val="333333"/>
          <w:sz w:val="23"/>
        </w:rPr>
        <w:t>2.2 Public Document Intelligence Benchmarks</w:t>
      </w:r>
    </w:p>
    <w:p>
      <w:pPr>
        <w:spacing w:before="40" w:after="80" w:line="276" w:lineRule="auto"/>
      </w:pPr>
      <w:r>
        <w:rPr>
          <w:rFonts w:ascii="Times New Roman" w:hAnsi="Times New Roman"/>
          <w:sz w:val="20"/>
        </w:rPr>
        <w:t>Several public datasets exist for document analysis research:</w:t>
      </w:r>
    </w:p>
    <w:p>
      <w:pPr>
        <w:pStyle w:val="ListBullet"/>
        <w:spacing w:before="20" w:after="40"/>
      </w:pPr>
      <w:r>
        <w:rPr>
          <w:rFonts w:ascii="Times New Roman" w:hAnsi="Times New Roman"/>
          <w:b/>
          <w:sz w:val="20"/>
        </w:rPr>
        <w:t>Receipts &amp; Invoices</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provide key-value annotations for commercial receipt parsing.</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provides word-level and entity-level relationship annotations for administrative forms.</w:t>
      </w:r>
    </w:p>
    <w:p>
      <w:pPr>
        <w:pStyle w:val="ListBullet"/>
        <w:spacing w:before="20" w:after="40"/>
      </w:pPr>
      <w:r>
        <w:rPr>
          <w:rFonts w:ascii="Times New Roman" w:hAnsi="Times New Roman"/>
          <w:b/>
          <w:sz w:val="20"/>
        </w:rPr>
        <w:t>Document 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evaluates visual question answering across industry documents.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provides single-page scanned document categories across 16 administrative classes.</w:t>
      </w:r>
    </w:p>
    <w:p>
      <w:pPr>
        <w:spacing w:before="40" w:after="80" w:line="276" w:lineRule="auto"/>
      </w:pPr>
      <w:r>
        <w:rPr>
          <w:rFonts w:ascii="Times New Roman" w:hAnsi="Times New Roman"/>
          <w:sz w:val="20"/>
        </w:rPr>
        <w:t>However, these datasets do not focus on academic credentials, which combine dense tabular course arrays (subject codes, credits, grades) with formal institutional metadata. Furthermore, existing benchmarks evaluate models primarily on static image sets without systematically controlled degradation matrices.</w:t>
      </w:r>
    </w:p>
    <w:p>
      <w:pPr>
        <w:keepNext/>
        <w:spacing w:before="200" w:after="80"/>
      </w:pPr>
      <w:r>
        <w:rPr>
          <w:rFonts w:ascii="Times New Roman" w:hAnsi="Times New Roman"/>
          <w:b/>
          <w:color w:val="333333"/>
          <w:sz w:val="23"/>
        </w:rPr>
        <w:t>2.3 Synthetic Document Generation &amp; Benchmark Comparison</w:t>
      </w:r>
    </w:p>
    <w:p>
      <w:pPr>
        <w:spacing w:before="40" w:after="80" w:line="276" w:lineRule="auto"/>
      </w:pPr>
      <w:r>
        <w:rPr>
          <w:rFonts w:ascii="Times New Roman" w:hAnsi="Times New Roman"/>
          <w:sz w:val="20"/>
        </w:rPr>
        <w:t>To overcome privacy constraints, synthetic data generation frameworks render synthetic text onto natural images or form templates. ADBG v1.0 extends synthetic document generation principles to academic credentials by integrating Typst vector PDF compilation with 14 physical optical degradation operators, producing privacy-safe credentials with multi-profile optical distortions.</w:t>
      </w:r>
    </w:p>
    <w:p>
      <w:pPr>
        <w:spacing w:before="40" w:after="80" w:line="276" w:lineRule="auto"/>
      </w:pPr>
      <w:r>
        <w:rPr>
          <w:rFonts w:ascii="Times New Roman" w:hAnsi="Times New Roman"/>
          <w:sz w:val="20"/>
        </w:rPr>
        <w:t>Table 0 presents a comparative feature matrix contrasting ADBG v1.0 with existing public document analysis benchmarks.</w:t>
      </w:r>
    </w:p>
    <w:p>
      <w:pPr>
        <w:keepNext/>
        <w:spacing w:before="160" w:after="80"/>
        <w:jc w:val="center"/>
      </w:pPr>
      <w:r>
        <w:rPr>
          <w:rFonts w:ascii="Times New Roman" w:hAnsi="Times New Roman"/>
          <w:b/>
          <w:color w:val="003366"/>
          <w:sz w:val="19"/>
        </w:rPr>
        <w:t>Table 0: Comparative Feature Matrix of Document Intelligence Benchmarks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Privacy-Safe Synthetic</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SROIE</w:t>
            </w:r>
            <w:r>
              <w:rPr>
                <w:rFonts w:ascii="Times New Roman" w:hAnsi="Times New Roman"/>
                <w:sz w:val="18"/>
              </w:rPr>
              <w:t xml:space="preserve"> (Huang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Commercial Receipts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CORD</w:t>
            </w:r>
            <w:r>
              <w:rPr>
                <w:rFonts w:ascii="Times New Roman" w:hAnsi="Times New Roman"/>
                <w:sz w:val="18"/>
              </w:rPr>
              <w:t xml:space="preserve"> (Park et al., 2019)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Scanned Receipts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(Anonymized)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FUNSD</w:t>
            </w:r>
            <w:r>
              <w:rPr>
                <w:rFonts w:ascii="Times New Roman" w:hAnsi="Times New Roman"/>
                <w:sz w:val="18"/>
              </w:rPr>
              <w:t xml:space="preserve"> (Jaume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Noise-Degraded Forms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Static Noise Only</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DocVQA</w:t>
            </w:r>
            <w:r>
              <w:rPr>
                <w:rFonts w:ascii="Times New Roman" w:hAnsi="Times New Roman"/>
                <w:sz w:val="18"/>
              </w:rPr>
              <w:t xml:space="preserve"> (Mathew et al., 2021)</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Mixed Documents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2015)</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ADBG v1.0 / AU DIC (Ours)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Academic Credentials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(100% Synthetic)</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(Semester Arrays)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(4 Profiles)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(6 Stages)</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System Architecture Overview</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ADBG Synthetic Data Generation Methodology</w:t>
      </w:r>
    </w:p>
    <w:p>
      <w:pPr>
        <w:keepNext/>
        <w:spacing w:before="200" w:after="80"/>
      </w:pPr>
      <w:r>
        <w:rPr>
          <w:rFonts w:ascii="Times New Roman" w:hAnsi="Times New Roman"/>
          <w:b/>
          <w:color w:val="333333"/>
          <w:sz w:val="23"/>
        </w:rPr>
        <w:t>4.1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160" w:after="160"/>
        <w:jc w:val="center"/>
      </w:pPr>
      <m:oMathPara>
        <m:oMath>
          <m:r>
            <m:rPr>
              <m:sty m:val="p"/>
            </m:rPr>
            <w:rPr>
              <w:rFonts w:ascii="Cambria Math" w:hAnsi="Cambria Math"/>
              <w:color w:val="003366"/>
            </w:rPr>
            <m:t>DocumentSpecimen = G(Seed, Category, Profile)</m:t>
          </m:r>
        </m:oMath>
      </m:oMathPara>
    </w:p>
    <w:p>
      <w:pPr>
        <w:keepNext/>
        <w:spacing w:before="200" w:after="80"/>
      </w:pPr>
      <w:r>
        <w:rPr>
          <w:rFonts w:ascii="Times New Roman" w:hAnsi="Times New Roman"/>
          <w:b/>
          <w:color w:val="333333"/>
          <w:sz w:val="23"/>
        </w:rPr>
        <w:t>4.2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200" w:after="80"/>
      </w:pPr>
      <w:r>
        <w:rPr>
          <w:rFonts w:ascii="Times New Roman" w:hAnsi="Times New Roman"/>
          <w:b/>
          <w:color w:val="333333"/>
          <w:sz w:val="23"/>
        </w:rPr>
        <w:t>4.3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160" w:after="160"/>
        <w:jc w:val="center"/>
      </w:pPr>
      <m:oMathPara>
        <m:oMath>
          <m:r>
            <m:rPr>
              <m:sty m:val="p"/>
            </m:rPr>
            <w:rPr>
              <w:rFonts w:ascii="Cambria Math" w:hAnsi="Cambria Math"/>
              <w:color w:val="003366"/>
            </w:rPr>
            <m:t>I_degraded = D_rotation ∘ D_contrast ∘ D_gaussian ∘ D_blur(I_clean)</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AU DIC Evaluation Subsystem &amp; Semantic Normalization Layer</w:t>
      </w:r>
    </w:p>
    <w:p>
      <w:pPr>
        <w:keepNext/>
        <w:spacing w:before="200" w:after="80"/>
      </w:pPr>
      <w:r>
        <w:rPr>
          <w:rFonts w:ascii="Times New Roman" w:hAnsi="Times New Roman"/>
          <w:b/>
          <w:color w:val="333333"/>
          <w:sz w:val="23"/>
        </w:rPr>
        <w:t>5.1 Decoupled Read-Only Execution Engine</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5.2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w:r>
        <w:rPr>
          <w:rFonts w:ascii="Times New Roman" w:hAnsi="Times New Roman"/>
          <w:i/>
          <w:color w:val="003366"/>
          <w:sz w:val="20"/>
        </w:rPr>
        <w:t xml:space="preserve"> -&gt; </w:t>
      </w:r>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5.3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160" w:after="160"/>
        <w:jc w:val="center"/>
      </w:pPr>
      <m:oMathPara>
        <m:oMath>
          <m:r>
            <m:rPr>
              <m:sty m:val="p"/>
            </m:rPr>
            <w:rPr>
              <w:rFonts w:ascii="Cambria Math" w:hAnsi="Cambria Math"/>
              <w:color w:val="003366"/>
            </w:rPr>
            <m:t>ErrorCategory ∈ \OCR\_ERROR, FIELD\_MISSING, HALLUCINATION, FORMAT\_ERROR, NORMALIZATION\_ERROR, PARTIAL\_MATCH, LOW\_CONFIDENCE, CATEGORY\_ERROR, EXACT\_MATCH\</m:t>
          </m:r>
        </m:oMath>
      </m:oMathPara>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Experimental Setup, Protocol &amp; Metrics</w:t>
      </w:r>
    </w:p>
    <w:p>
      <w:pPr>
        <w:keepNext/>
        <w:spacing w:before="200" w:after="80"/>
      </w:pPr>
      <w:r>
        <w:rPr>
          <w:rFonts w:ascii="Times New Roman" w:hAnsi="Times New Roman"/>
          <w:b/>
          <w:color w:val="333333"/>
          <w:sz w:val="23"/>
        </w:rPr>
        <w:t>6.1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w:r>
        <w:rPr>
          <w:rFonts w:ascii="Cambria Math" w:hAnsi="Cambria Math"/>
          <w:i/>
          <w:color w:val="003366"/>
          <w:sz w:val="20"/>
        </w:rPr>
        <w:t xml:space="preserve"> x </w:t>
      </w:r>
      <w:r>
        <w:rPr>
          <w:rFonts w:ascii="Times New Roman" w:hAnsi="Times New Roman"/>
          <w:sz w:val="20"/>
        </w:rPr>
        <w:t xml:space="preserve"> 30 unique document instances </w:t>
      </w:r>
      <w:r>
        <w:rPr>
          <w:rFonts w:ascii="Cambria Math" w:hAnsi="Cambria Math"/>
          <w:i/>
          <w:color w:val="003366"/>
          <w:sz w:val="20"/>
        </w:rPr>
        <w:t xml:space="preserve"> x </w:t>
      </w:r>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6.2 Evaluation Metrics</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w:r>
        <w:rPr>
          <w:rFonts w:ascii="Times New Roman" w:hAnsi="Times New Roman"/>
          <w:i/>
          <w:color w:val="003366"/>
          <w:sz w:val="20"/>
        </w:rPr>
        <w:t>C_hat_i</w:t>
      </w:r>
      <w:r>
        <w:rPr>
          <w:rFonts w:ascii="Times New Roman" w:hAnsi="Times New Roman"/>
          <w:sz w:val="20"/>
        </w:rPr>
        <w:t>) matches the ground truth category (</w:t>
      </w:r>
      <w:r>
        <w:rPr>
          <w:rFonts w:ascii="Times New Roman" w:hAnsi="Times New Roman"/>
          <w:i/>
          <w:color w:val="003366"/>
          <w:sz w:val="20"/>
        </w:rPr>
        <w:t>C_i</w:t>
      </w:r>
      <w:r>
        <w:rPr>
          <w:rFonts w:ascii="Times New Roman" w:hAnsi="Times New Roman"/>
          <w:sz w:val="20"/>
        </w:rPr>
        <w:t>):</w:t>
      </w:r>
    </w:p>
    <w:p>
      <w:pPr>
        <w:spacing w:before="160" w:after="160"/>
        <w:jc w:val="center"/>
      </w:pPr>
      <m:oMathPara>
        <m:oMath>
          <m:r>
            <m:rPr>
              <m:sty m:val="p"/>
            </m:rPr>
            <w:rPr>
              <w:rFonts w:ascii="Cambria Math" w:hAnsi="Cambria Math"/>
              <w:color w:val="003366"/>
            </w:rPr>
            <m:t>Category Accuracy = fracsum_i=1^N 𝟙(Ĉ_i = C_i)N</m:t>
          </m:r>
        </m:oMath>
      </m:oMathPara>
    </w:p>
    <w:p>
      <w:pPr>
        <w:spacing w:before="40" w:after="80" w:line="276" w:lineRule="auto"/>
      </w:pPr>
      <w:r>
        <w:rPr>
          <w:rFonts w:ascii="Times New Roman" w:hAnsi="Times New Roman"/>
          <w:sz w:val="20"/>
        </w:rPr>
        <w:t xml:space="preserve">where </w:t>
      </w:r>
      <w:r>
        <w:rPr>
          <w:rFonts w:ascii="Cambria Math" w:hAnsi="Cambria Math"/>
          <w:i/>
          <w:color w:val="003366"/>
          <w:sz w:val="20"/>
        </w:rPr>
        <w:t>N=360</w:t>
      </w:r>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($P$)</w:t>
      </w:r>
      <w:r>
        <w:rPr>
          <w:rFonts w:ascii="Times New Roman" w:hAnsi="Times New Roman"/>
          <w:sz w:val="20"/>
        </w:rPr>
        <w:t xml:space="preserve">, </w:t>
      </w:r>
      <w:r>
        <w:rPr>
          <w:rFonts w:ascii="Times New Roman" w:hAnsi="Times New Roman"/>
          <w:b/>
          <w:sz w:val="20"/>
        </w:rPr>
        <w:t>Recall ($R$)</w:t>
      </w:r>
      <w:r>
        <w:rPr>
          <w:rFonts w:ascii="Times New Roman" w:hAnsi="Times New Roman"/>
          <w:sz w:val="20"/>
        </w:rPr>
        <w:t xml:space="preserve">, and </w:t>
      </w:r>
      <w:r>
        <w:rPr>
          <w:rFonts w:ascii="Times New Roman" w:hAnsi="Times New Roman"/>
          <w:b/>
          <w:sz w:val="20"/>
        </w:rPr>
        <w:t>F1 Score ($F_1$)</w:t>
      </w:r>
      <w:r>
        <w:rPr>
          <w:rFonts w:ascii="Times New Roman" w:hAnsi="Times New Roman"/>
          <w:sz w:val="20"/>
        </w:rPr>
        <w:t>: Macro-averaged key-value field extraction metrics across all extracted target entities:</w:t>
      </w:r>
    </w:p>
    <w:p>
      <w:pPr>
        <w:spacing w:before="160" w:after="160"/>
        <w:jc w:val="center"/>
      </w:pPr>
      <m:oMathPara>
        <m:oMath>
          <m:r>
            <m:rPr>
              <m:sty m:val="p"/>
            </m:rPr>
            <w:rPr>
              <w:rFonts w:ascii="Cambria Math" w:hAnsi="Cambria Math"/>
              <w:color w:val="003366"/>
            </w:rPr>
            <m:t>P = (True Positive Fields) / (True Positive Fields + False Positive Fields),    R = (True Positive Fields) / (True Positive Fields + False Negative Fields),    F_1 = 2 · (P · R) / (P + R)</m:t>
          </m:r>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w:r>
        <w:rPr>
          <w:rFonts w:ascii="Times New Roman" w:hAnsi="Times New Roman"/>
          <w:i/>
          <w:color w:val="003366"/>
          <w:sz w:val="20"/>
        </w:rPr>
        <w:t>L_{GT}</w:t>
      </w:r>
      <w:r>
        <w:rPr>
          <w:rFonts w:ascii="Times New Roman" w:hAnsi="Times New Roman"/>
          <w:sz w:val="20"/>
        </w:rPr>
        <w:t>):</w:t>
      </w:r>
    </w:p>
    <w:p>
      <w:pPr>
        <w:spacing w:before="160" w:after="160"/>
        <w:jc w:val="center"/>
      </w:pPr>
      <m:oMathPara>
        <m:oMath>
          <m:r>
            <m:rPr>
              <m:sty m:val="p"/>
            </m:rPr>
            <w:rPr>
              <w:rFonts w:ascii="Cambria Math" w:hAnsi="Cambria Math"/>
              <w:color w:val="003366"/>
            </w:rPr>
            <m:t>CER = fracS_char + D_char + I_charL_GT</m:t>
          </m:r>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w:r>
        <w:rPr>
          <w:rFonts w:ascii="Times New Roman" w:hAnsi="Times New Roman"/>
          <w:i/>
          <w:color w:val="003366"/>
          <w:sz w:val="20"/>
        </w:rPr>
        <w:t>W_{GT}</w:t>
      </w:r>
      <w:r>
        <w:rPr>
          <w:rFonts w:ascii="Times New Roman" w:hAnsi="Times New Roman"/>
          <w:sz w:val="20"/>
        </w:rPr>
        <w:t>):</w:t>
      </w:r>
    </w:p>
    <w:p>
      <w:pPr>
        <w:spacing w:before="160" w:after="160"/>
        <w:jc w:val="center"/>
      </w:pPr>
      <m:oMathPara>
        <m:oMath>
          <m:r>
            <m:rPr>
              <m:sty m:val="p"/>
            </m:rPr>
            <w:rPr>
              <w:rFonts w:ascii="Cambria Math" w:hAnsi="Cambria Math"/>
              <w:color w:val="003366"/>
            </w:rPr>
            <m:t>WER = fracS_word + D_word + I_wordW_GT</m:t>
          </m:r>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w:r>
        <w:rPr>
          <w:rFonts w:ascii="Times New Roman" w:hAnsi="Times New Roman"/>
          <w:i/>
          <w:color w:val="003366"/>
          <w:sz w:val="20"/>
        </w:rPr>
        <w:t>ms/sample</w:t>
      </w:r>
      <w:r>
        <w:rPr>
          <w:rFonts w:ascii="Times New Roman" w:hAnsi="Times New Roman"/>
          <w:sz w:val="20"/>
        </w:rPr>
        <w:t>) and framework processing throughput (</w:t>
      </w:r>
      <w:r>
        <w:rPr>
          <w:rFonts w:ascii="Times New Roman" w:hAnsi="Times New Roman"/>
          <w:i/>
          <w:color w:val="003366"/>
          <w:sz w:val="20"/>
        </w:rPr>
        <w:t>samples/sec</w:t>
      </w:r>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Results &amp; Validation</w:t>
      </w:r>
    </w:p>
    <w:p>
      <w:pPr>
        <w:keepNext/>
        <w:spacing w:before="200" w:after="80"/>
      </w:pPr>
      <w:r>
        <w:rPr>
          <w:rFonts w:ascii="Times New Roman" w:hAnsi="Times New Roman"/>
          <w:b/>
          <w:color w:val="333333"/>
          <w:sz w:val="23"/>
        </w:rPr>
        <w:t>7.1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7.2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7.3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w:r>
        <w:rPr>
          <w:rFonts w:ascii="Times New Roman" w:hAnsi="Times New Roman"/>
          <w:i/>
          <w:color w:val="003366"/>
          <w:sz w:val="20"/>
        </w:rPr>
        <w:t>\sigma = 0.45 ms</w:t>
      </w:r>
      <w:r>
        <w:rPr>
          <w:rFonts w:ascii="Times New Roman" w:hAnsi="Times New Roman"/>
          <w:sz w:val="20"/>
        </w:rPr>
        <w:t>)</w:t>
      </w:r>
    </w:p>
    <w:p>
      <w:pPr>
        <w:keepNext/>
        <w:spacing w:before="200" w:after="80"/>
      </w:pPr>
      <w:r>
        <w:rPr>
          <w:rFonts w:ascii="Times New Roman" w:hAnsi="Times New Roman"/>
          <w:b/>
          <w:color w:val="333333"/>
          <w:sz w:val="23"/>
        </w:rPr>
        <w:t>7.4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7.4.1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Discussion, Threats to Validity &amp; Limitations</w:t>
      </w:r>
    </w:p>
    <w:p>
      <w:pPr>
        <w:keepNext/>
        <w:spacing w:before="200" w:after="80"/>
      </w:pPr>
      <w:r>
        <w:rPr>
          <w:rFonts w:ascii="Times New Roman" w:hAnsi="Times New Roman"/>
          <w:b/>
          <w:color w:val="333333"/>
          <w:sz w:val="23"/>
        </w:rPr>
        <w:t>8.1 Discussion of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8.2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keepNext/>
        <w:spacing w:before="200" w:after="80"/>
      </w:pPr>
      <w:r>
        <w:rPr>
          <w:rFonts w:ascii="Times New Roman" w:hAnsi="Times New Roman"/>
          <w:b/>
          <w:color w:val="333333"/>
          <w:sz w:val="23"/>
        </w:rPr>
        <w:t>8.3 Detailed Limitations Analysis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10. Conclusion</w:t>
      </w:r>
    </w:p>
    <w:p>
      <w:pPr>
        <w:spacing w:before="40" w:after="80" w:line="276" w:lineRule="auto"/>
      </w:pPr>
      <w:r>
        <w:rPr>
          <w:rFonts w:ascii="Times New Roman" w:hAnsi="Times New Roman"/>
          <w:sz w:val="20"/>
        </w:rPr>
        <w:t xml:space="preserve">In this paper, we presented </w:t>
      </w:r>
      <w:r>
        <w:rPr>
          <w:rFonts w:ascii="Times New Roman" w:hAnsi="Times New Roman"/>
          <w:b/>
          <w:sz w:val="20"/>
        </w:rPr>
        <w:t>ADBG v1.0</w:t>
      </w:r>
      <w:r>
        <w:rPr>
          <w:rFonts w:ascii="Times New Roman" w:hAnsi="Times New Roman"/>
          <w:sz w:val="20"/>
        </w:rPr>
        <w:t xml:space="preserve"> and the </w:t>
      </w:r>
      <w:r>
        <w:rPr>
          <w:rFonts w:ascii="Times New Roman" w:hAnsi="Times New Roman"/>
          <w:b/>
          <w:sz w:val="20"/>
        </w:rPr>
        <w:t>AU DIC Benchmark Evaluation Framework v1.0</w:t>
      </w:r>
      <w:r>
        <w:rPr>
          <w:rFonts w:ascii="Times New Roman" w:hAnsi="Times New Roman"/>
          <w:sz w:val="20"/>
        </w:rPr>
        <w:t xml:space="preserve"> for evaluating academic document intelligence systems. The framework incorporates a seed-deterministic synthetic data generator, a six-stage semantic canonical normalization layer, and a nine-class structured OCR error taxonomy. Live neural model inference over 360 specimens using Groq Cloud Llama 3.1 8B Instant demonstrated a 100.00% Field Extraction F1 score and uncovered a prompt-constraint failure mode in zero-shot category classification. This work establishes a privacy-safe, reproducible foundation for academic document analysis research.</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fictional student names, candidate identifiers, and institutional titles. No authentic student records or personal data were used, ensuring full compliance with FERPA and GDPR privacy regulations.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w:r>
        <w:rPr>
          <w:rFonts w:ascii="Cambria Math" w:hAnsi="Cambria Math"/>
          <w:i/>
          <w:color w:val="003366"/>
          <w:sz w:val="20"/>
        </w:rPr>
        <w:t>O(N)</w:t>
      </w:r>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[4]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[5]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[6]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[7]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[8]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[9]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