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pPr>
        <w:spacing w:before="4600" w:after="0"/>
        <w:jc w:val="center"/>
      </w:pPr>
      <w:r>
        <w:drawing>
          <ns4:inline>
            <ns4:extent cx="4114800" cy="1957913"/>
            <ns4:docPr id="10" name="Picture 10"/>
            <ns4:cNvGraphicFramePr>
              <ns5:graphicFrameLocks noChangeAspect="1"/>
            </ns4:cNvGraphicFramePr>
            <ns5:graphic>
              <ns5:graphicData uri="http://schemas.openxmlformats.org/drawingml/2006/picture">
                <ns6:pic>
                  <ns6:nvPicPr>
                    <ns6:cNvPr id="0" name="new_logo_2.png"/>
                    <ns6:cNvPicPr/>
                  </ns6:nvPicPr>
                  <ns6:blipFill>
                    <ns5:blip r:embed="rId19"/>
                    <ns5:stretch>
                      <ns5:fillRect/>
                    </ns5:stretch>
                  </ns6:blipFill>
                  <ns6:spPr>
                    <ns5:xfrm>
                      <ns5:off x="0" y="0"/>
                      <ns5:ext cx="4114800" cy="1957913"/>
                    </ns5:xfrm>
                    <ns5:prstGeom prst="rect"/>
                  </ns6:spPr>
                </ns6:pic>
              </ns5:graphicData>
            </ns5:graphic>
          </ns4:inline>
        </w:drawing>
      </w:r>
    </w:p>
    <w:p>
      <w:pPr>
        <w:pageBreakBefore/>
        <w:spacing w:before="280" w:after="120"/>
        <w:jc w:val="center"/>
      </w:pPr>
      <w:r>
        <w:rPr>
          <w:rFonts w:ascii="Times New Roman" w:hAnsi="Times New Roman"/>
          <w:b/>
          <w:sz w:val="26"/>
        </w:rPr>
        <w:t>CONTENTS</w:t>
      </w:r>
    </w:p>
    <w:p>
      <w:pPr>
        <w:spacing w:after="120"/>
        <w:pStyle w:val="TOCHeading"/>
      </w:pPr>
      <w:r>
        <w:fldChar w:fldCharType="begin"/>
        <w:instrText xml:space="preserve">TOC \o "1-2" \h \z \u</w:instrText>
        <w:fldChar w:fldCharType="separate"/>
        <w:fldChar w:fldCharType="end"/>
      </w:r>
    </w:p>
    <w:p>
      <w:pPr>
        <w:tabs>
          <w:tab w:pos="9360" w:val="right" w:leader="dot"/>
        </w:tabs>
        <w:spacing w:line="276" w:lineRule="auto" w:after="40"/>
      </w:pPr>
      <w:r>
        <w:rPr>
          <w:rFonts w:ascii="Times New Roman" w:hAnsi="Times New Roman"/>
          <w:b/>
          <w:sz w:val="19"/>
        </w:rPr>
        <w:t>1. Introduction</w:t>
      </w:r>
      <w:r>
        <w:rPr>
          <w:rFonts w:ascii="Times New Roman" w:hAnsi="Times New Roman"/>
          <w:color w:val="404040"/>
          <w:sz w:val="19"/>
        </w:rPr>
        <w:tab/>
        <w:t>4</w:t>
      </w:r>
    </w:p>
    <w:p>
      <w:pPr>
        <w:tabs>
          <w:tab w:pos="9360" w:val="right" w:leader="dot"/>
        </w:tabs>
        <w:spacing w:line="276" w:lineRule="auto" w:after="40"/>
      </w:pPr>
      <w:r>
        <w:rPr>
          <w:rFonts w:ascii="Times New Roman" w:hAnsi="Times New Roman"/>
          <w:sz w:val="19"/>
        </w:rPr>
        <w:t xml:space="preserve">   1.1 Background &amp; Motivation</w:t>
      </w:r>
      <w:r>
        <w:rPr>
          <w:rFonts w:ascii="Times New Roman" w:hAnsi="Times New Roman"/>
          <w:color w:val="404040"/>
          <w:sz w:val="19"/>
        </w:rPr>
        <w:tab/>
        <w:t>4</w:t>
      </w:r>
    </w:p>
    <w:p>
      <w:pPr>
        <w:tabs>
          <w:tab w:pos="9360" w:val="right" w:leader="dot"/>
        </w:tabs>
        <w:spacing w:line="276" w:lineRule="auto" w:after="40"/>
      </w:pPr>
      <w:r>
        <w:rPr>
          <w:rFonts w:ascii="Times New Roman" w:hAnsi="Times New Roman"/>
          <w:sz w:val="19"/>
        </w:rPr>
        <w:t xml:space="preserve">   1.2 Research Objectives</w:t>
      </w:r>
      <w:r>
        <w:rPr>
          <w:rFonts w:ascii="Times New Roman" w:hAnsi="Times New Roman"/>
          <w:color w:val="404040"/>
          <w:sz w:val="19"/>
        </w:rPr>
        <w:tab/>
        <w:t>4</w:t>
      </w:r>
    </w:p>
    <w:p>
      <w:pPr>
        <w:tabs>
          <w:tab w:pos="9360" w:val="right" w:leader="dot"/>
        </w:tabs>
        <w:spacing w:line="276" w:lineRule="auto" w:after="40"/>
      </w:pPr>
      <w:r>
        <w:rPr>
          <w:rFonts w:ascii="Times New Roman" w:hAnsi="Times New Roman"/>
          <w:sz w:val="19"/>
        </w:rPr>
        <w:t xml:space="preserve">   1.3 Main Research Contributions</w:t>
      </w:r>
      <w:r>
        <w:rPr>
          <w:rFonts w:ascii="Times New Roman" w:hAnsi="Times New Roman"/>
          <w:color w:val="404040"/>
          <w:sz w:val="19"/>
        </w:rPr>
        <w:tab/>
        <w:t>4</w:t>
      </w:r>
    </w:p>
    <w:p>
      <w:pPr>
        <w:tabs>
          <w:tab w:pos="9360" w:val="right" w:leader="dot"/>
        </w:tabs>
        <w:spacing w:line="276" w:lineRule="auto" w:after="40"/>
      </w:pPr>
      <w:r>
        <w:rPr>
          <w:rFonts w:ascii="Times New Roman" w:hAnsi="Times New Roman"/>
          <w:b/>
          <w:sz w:val="19"/>
        </w:rPr>
        <w:t>2. Related Work</w:t>
      </w:r>
      <w:r>
        <w:rPr>
          <w:rFonts w:ascii="Times New Roman" w:hAnsi="Times New Roman"/>
          <w:color w:val="404040"/>
          <w:sz w:val="19"/>
        </w:rPr>
        <w:tab/>
        <w:t>6</w:t>
      </w:r>
    </w:p>
    <w:p>
      <w:pPr>
        <w:tabs>
          <w:tab w:pos="9360" w:val="right" w:leader="dot"/>
        </w:tabs>
        <w:spacing w:line="276" w:lineRule="auto" w:after="40"/>
      </w:pPr>
      <w:r>
        <w:rPr>
          <w:rFonts w:ascii="Times New Roman" w:hAnsi="Times New Roman"/>
          <w:sz w:val="19"/>
        </w:rPr>
        <w:t xml:space="preserve">   2.1 Vision-Language Models &amp; Document Intelligence</w:t>
      </w:r>
      <w:r>
        <w:rPr>
          <w:rFonts w:ascii="Times New Roman" w:hAnsi="Times New Roman"/>
          <w:color w:val="404040"/>
          <w:sz w:val="19"/>
        </w:rPr>
        <w:tab/>
        <w:t>6</w:t>
      </w:r>
    </w:p>
    <w:p>
      <w:pPr>
        <w:tabs>
          <w:tab w:pos="9360" w:val="right" w:leader="dot"/>
        </w:tabs>
        <w:spacing w:line="276" w:lineRule="auto" w:after="40"/>
      </w:pPr>
      <w:r>
        <w:rPr>
          <w:rFonts w:ascii="Times New Roman" w:hAnsi="Times New Roman"/>
          <w:sz w:val="19"/>
        </w:rPr>
        <w:t xml:space="preserve">   2.2 Document Image Classification &amp; Parsing Benchmarks</w:t>
      </w:r>
      <w:r>
        <w:rPr>
          <w:rFonts w:ascii="Times New Roman" w:hAnsi="Times New Roman"/>
          <w:color w:val="404040"/>
          <w:sz w:val="19"/>
        </w:rPr>
        <w:tab/>
        <w:t>6</w:t>
      </w:r>
    </w:p>
    <w:p>
      <w:pPr>
        <w:tabs>
          <w:tab w:pos="9360" w:val="right" w:leader="dot"/>
        </w:tabs>
        <w:spacing w:line="276" w:lineRule="auto" w:after="40"/>
      </w:pPr>
      <w:r>
        <w:rPr>
          <w:rFonts w:ascii="Times New Roman" w:hAnsi="Times New Roman"/>
          <w:sz w:val="19"/>
        </w:rPr>
        <w:t xml:space="preserve">   2.3 Information Extraction &amp; Optical Character Recognition</w:t>
      </w:r>
      <w:r>
        <w:rPr>
          <w:rFonts w:ascii="Times New Roman" w:hAnsi="Times New Roman"/>
          <w:color w:val="404040"/>
          <w:sz w:val="19"/>
        </w:rPr>
        <w:tab/>
        <w:t>7</w:t>
      </w:r>
    </w:p>
    <w:p>
      <w:pPr>
        <w:tabs>
          <w:tab w:pos="9360" w:val="right" w:leader="dot"/>
        </w:tabs>
        <w:spacing w:line="276" w:lineRule="auto" w:after="40"/>
      </w:pPr>
      <w:r>
        <w:rPr>
          <w:rFonts w:ascii="Times New Roman" w:hAnsi="Times New Roman"/>
          <w:sz w:val="19"/>
        </w:rPr>
        <w:t xml:space="preserve">   2.4 Synthetic Data Generation &amp; Benchmark Suites</w:t>
      </w:r>
      <w:r>
        <w:rPr>
          <w:rFonts w:ascii="Times New Roman" w:hAnsi="Times New Roman"/>
          <w:color w:val="404040"/>
          <w:sz w:val="19"/>
        </w:rPr>
        <w:tab/>
        <w:t>7</w:t>
      </w:r>
    </w:p>
    <w:p>
      <w:pPr>
        <w:tabs>
          <w:tab w:pos="9360" w:val="right" w:leader="dot"/>
        </w:tabs>
        <w:spacing w:line="276" w:lineRule="auto" w:after="40"/>
      </w:pPr>
      <w:r>
        <w:rPr>
          <w:rFonts w:ascii="Times New Roman" w:hAnsi="Times New Roman"/>
          <w:sz w:val="19"/>
        </w:rPr>
        <w:t xml:space="preserve">   2.5 Semantic Normalization &amp; Post-Processing</w:t>
      </w:r>
      <w:r>
        <w:rPr>
          <w:rFonts w:ascii="Times New Roman" w:hAnsi="Times New Roman"/>
          <w:color w:val="404040"/>
          <w:sz w:val="19"/>
        </w:rPr>
        <w:tab/>
        <w:t>8</w:t>
      </w:r>
    </w:p>
    <w:p>
      <w:pPr>
        <w:tabs>
          <w:tab w:pos="9360" w:val="right" w:leader="dot"/>
        </w:tabs>
        <w:spacing w:line="276" w:lineRule="auto" w:after="40"/>
      </w:pPr>
      <w:r>
        <w:rPr>
          <w:rFonts w:ascii="Times New Roman" w:hAnsi="Times New Roman"/>
          <w:sz w:val="19"/>
        </w:rPr>
        <w:t xml:space="preserve">   2.6 Error Taxonomies &amp; Diagnostic Evaluation</w:t>
      </w:r>
      <w:r>
        <w:rPr>
          <w:rFonts w:ascii="Times New Roman" w:hAnsi="Times New Roman"/>
          <w:color w:val="404040"/>
          <w:sz w:val="19"/>
        </w:rPr>
        <w:tab/>
        <w:t>8</w:t>
      </w:r>
    </w:p>
    <w:p>
      <w:pPr>
        <w:tabs>
          <w:tab w:pos="9360" w:val="right" w:leader="dot"/>
        </w:tabs>
        <w:spacing w:line="276" w:lineRule="auto" w:after="40"/>
      </w:pPr>
      <w:r>
        <w:rPr>
          <w:rFonts w:ascii="Times New Roman" w:hAnsi="Times New Roman"/>
          <w:b/>
          <w:sz w:val="19"/>
        </w:rPr>
        <w:t>3. ADBG v1.0 &amp; AU DIC Benchmark System Architecture</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3.1 ADBG v1.0 Synthetic Generator Subsystem</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3.2 Optical Degradation Profile Processor</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3.3 AU DIC Decoupled Benchmark Execution Subsystem</w:t>
      </w:r>
      <w:r>
        <w:rPr>
          <w:rFonts w:ascii="Times New Roman" w:hAnsi="Times New Roman"/>
          <w:color w:val="404040"/>
          <w:sz w:val="19"/>
        </w:rPr>
        <w:tab/>
        <w:t>10</w:t>
      </w:r>
    </w:p>
    <w:p>
      <w:pPr>
        <w:tabs>
          <w:tab w:pos="9360" w:val="right" w:leader="dot"/>
        </w:tabs>
        <w:spacing w:line="276" w:lineRule="auto" w:after="40"/>
      </w:pPr>
      <w:r>
        <w:rPr>
          <w:rFonts w:ascii="Times New Roman" w:hAnsi="Times New Roman"/>
          <w:b/>
          <w:sz w:val="19"/>
        </w:rPr>
        <w:t>4. Methodology</w:t>
      </w:r>
      <w:r>
        <w:rPr>
          <w:rFonts w:ascii="Times New Roman" w:hAnsi="Times New Roman"/>
          <w:color w:val="404040"/>
          <w:sz w:val="19"/>
        </w:rPr>
        <w:tab/>
        <w:t>10</w:t>
      </w:r>
    </w:p>
    <w:p>
      <w:pPr>
        <w:tabs>
          <w:tab w:pos="9360" w:val="right" w:leader="dot"/>
        </w:tabs>
        <w:spacing w:line="276" w:lineRule="auto" w:after="40"/>
      </w:pPr>
      <w:r>
        <w:rPr>
          <w:rFonts w:ascii="Times New Roman" w:hAnsi="Times New Roman"/>
          <w:sz w:val="19"/>
        </w:rPr>
        <w:t xml:space="preserve">   4.1 Six-Stage Semantic Canonical Normalization Subsystem</w:t>
      </w:r>
      <w:r>
        <w:rPr>
          <w:rFonts w:ascii="Times New Roman" w:hAnsi="Times New Roman"/>
          <w:color w:val="404040"/>
          <w:sz w:val="19"/>
        </w:rPr>
        <w:tab/>
        <w:t>10</w:t>
      </w:r>
    </w:p>
    <w:p>
      <w:pPr>
        <w:tabs>
          <w:tab w:pos="9360" w:val="right" w:leader="dot"/>
        </w:tabs>
        <w:spacing w:line="276" w:lineRule="auto" w:after="40"/>
      </w:pPr>
      <w:r>
        <w:rPr>
          <w:rFonts w:ascii="Times New Roman" w:hAnsi="Times New Roman"/>
          <w:sz w:val="19"/>
        </w:rPr>
        <w:t xml:space="preserve">   4.2 Nine-Class Structured OCR Error Taxonomy</w:t>
      </w:r>
      <w:r>
        <w:rPr>
          <w:rFonts w:ascii="Times New Roman" w:hAnsi="Times New Roman"/>
          <w:color w:val="404040"/>
          <w:sz w:val="19"/>
        </w:rPr>
        <w:tab/>
        <w:t>13</w:t>
      </w:r>
    </w:p>
    <w:p>
      <w:pPr>
        <w:tabs>
          <w:tab w:pos="9360" w:val="right" w:leader="dot"/>
        </w:tabs>
        <w:spacing w:line="276" w:lineRule="auto" w:after="40"/>
      </w:pPr>
      <w:r>
        <w:rPr>
          <w:rFonts w:ascii="Times New Roman" w:hAnsi="Times New Roman"/>
          <w:sz w:val="19"/>
        </w:rPr>
        <w:t xml:space="preserve">   4.3 Mathematical Formulation of Evaluation Metrics</w:t>
      </w:r>
      <w:r>
        <w:rPr>
          <w:rFonts w:ascii="Times New Roman" w:hAnsi="Times New Roman"/>
          <w:color w:val="404040"/>
          <w:sz w:val="19"/>
        </w:rPr>
        <w:tab/>
        <w:t>14</w:t>
      </w:r>
    </w:p>
    <w:p>
      <w:pPr>
        <w:tabs>
          <w:tab w:pos="9360" w:val="right" w:leader="dot"/>
        </w:tabs>
        <w:spacing w:line="276" w:lineRule="auto" w:after="40"/>
      </w:pPr>
      <w:r>
        <w:rPr>
          <w:rFonts w:ascii="Times New Roman" w:hAnsi="Times New Roman"/>
          <w:b/>
          <w:sz w:val="19"/>
        </w:rPr>
        <w:t>5. Results &amp; Empirical Validation</w:t>
      </w:r>
      <w:r>
        <w:rPr>
          <w:rFonts w:ascii="Times New Roman" w:hAnsi="Times New Roman"/>
          <w:color w:val="404040"/>
          <w:sz w:val="19"/>
        </w:rPr>
        <w:tab/>
        <w:t>16</w:t>
      </w:r>
    </w:p>
    <w:p>
      <w:pPr>
        <w:tabs>
          <w:tab w:pos="9360" w:val="right" w:leader="dot"/>
        </w:tabs>
        <w:spacing w:line="276" w:lineRule="auto" w:after="40"/>
      </w:pPr>
      <w:r>
        <w:rPr>
          <w:rFonts w:ascii="Times New Roman" w:hAnsi="Times New Roman"/>
          <w:sz w:val="19"/>
        </w:rPr>
        <w:t xml:space="preserve">   5.1 Distinction Between Framework Validation, Benchmark Validation, and Model Performance</w:t>
      </w:r>
      <w:r>
        <w:rPr>
          <w:rFonts w:ascii="Times New Roman" w:hAnsi="Times New Roman"/>
          <w:color w:val="404040"/>
          <w:sz w:val="19"/>
        </w:rPr>
        <w:tab/>
        <w:t>16</w:t>
      </w:r>
    </w:p>
    <w:p>
      <w:pPr>
        <w:tabs>
          <w:tab w:pos="9360" w:val="right" w:leader="dot"/>
        </w:tabs>
        <w:spacing w:line="276" w:lineRule="auto" w:after="40"/>
      </w:pPr>
      <w:r>
        <w:rPr>
          <w:rFonts w:ascii="Times New Roman" w:hAnsi="Times New Roman"/>
          <w:sz w:val="19"/>
        </w:rPr>
        <w:t xml:space="preserve">   5.2 Framework Execution &amp; System Verification Metrics</w:t>
      </w:r>
      <w:r>
        <w:rPr>
          <w:rFonts w:ascii="Times New Roman" w:hAnsi="Times New Roman"/>
          <w:color w:val="404040"/>
          <w:sz w:val="19"/>
        </w:rPr>
        <w:tab/>
        <w:t>16</w:t>
      </w:r>
    </w:p>
    <w:p>
      <w:pPr>
        <w:tabs>
          <w:tab w:pos="9360" w:val="right" w:leader="dot"/>
        </w:tabs>
        <w:spacing w:line="276" w:lineRule="auto" w:after="40"/>
      </w:pPr>
      <w:r>
        <w:rPr>
          <w:rFonts w:ascii="Times New Roman" w:hAnsi="Times New Roman"/>
          <w:sz w:val="19"/>
        </w:rPr>
        <w:t xml:space="preserve">   5.3 System Throughput &amp; Execution Latency</w:t>
      </w:r>
      <w:r>
        <w:rPr>
          <w:rFonts w:ascii="Times New Roman" w:hAnsi="Times New Roman"/>
          <w:color w:val="404040"/>
          <w:sz w:val="19"/>
        </w:rPr>
        <w:tab/>
        <w:t>17</w:t>
      </w:r>
    </w:p>
    <w:p>
      <w:pPr>
        <w:tabs>
          <w:tab w:pos="9360" w:val="right" w:leader="dot"/>
        </w:tabs>
        <w:spacing w:line="276" w:lineRule="auto" w:after="40"/>
      </w:pPr>
      <w:r>
        <w:rPr>
          <w:rFonts w:ascii="Times New Roman" w:hAnsi="Times New Roman"/>
          <w:sz w:val="19"/>
        </w:rPr>
        <w:t xml:space="preserve">   5.4 Empirical Live Neural Model Evaluation Results</w:t>
      </w:r>
      <w:r>
        <w:rPr>
          <w:rFonts w:ascii="Times New Roman" w:hAnsi="Times New Roman"/>
          <w:color w:val="404040"/>
          <w:sz w:val="19"/>
        </w:rPr>
        <w:tab/>
        <w:t>17</w:t>
      </w:r>
    </w:p>
    <w:p>
      <w:pPr>
        <w:tabs>
          <w:tab w:pos="9360" w:val="right" w:leader="dot"/>
        </w:tabs>
        <w:spacing w:line="276" w:lineRule="auto" w:after="40"/>
      </w:pPr>
      <w:r>
        <w:rPr>
          <w:rFonts w:ascii="Times New Roman" w:hAnsi="Times New Roman"/>
          <w:sz w:val="19"/>
        </w:rPr>
        <w:t xml:space="preserve">   5.5 Empirical Ablation Study of Semantic Canonical Normalization</w:t>
      </w:r>
      <w:r>
        <w:rPr>
          <w:rFonts w:ascii="Times New Roman" w:hAnsi="Times New Roman"/>
          <w:color w:val="404040"/>
          <w:sz w:val="19"/>
        </w:rPr>
        <w:tab/>
        <w:t>19</w:t>
      </w:r>
    </w:p>
    <w:p>
      <w:pPr>
        <w:tabs>
          <w:tab w:pos="9360" w:val="right" w:leader="dot"/>
        </w:tabs>
        <w:spacing w:line="276" w:lineRule="auto" w:after="40"/>
      </w:pPr>
      <w:r>
        <w:rPr>
          <w:rFonts w:ascii="Times New Roman" w:hAnsi="Times New Roman"/>
          <w:sz w:val="19"/>
        </w:rPr>
        <w:t xml:space="preserve">   5.6 Statistical Significance Analysis (p &lt; 0.0001)</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sz w:val="19"/>
        </w:rPr>
        <w:t xml:space="preserve">   5.7 Empirical Evaluation Scope &amp; Methodological Limitations</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sz w:val="19"/>
        </w:rPr>
        <w:t xml:space="preserve">   5.8 Error Taxonomy Distribution Shift Analysis</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sz w:val="19"/>
        </w:rPr>
        <w:t xml:space="preserve">   5.9 Classical Machine Learning Classification Benchmark</w:t>
      </w:r>
      <w:r>
        <w:rPr>
          <w:rFonts w:ascii="Times New Roman" w:hAnsi="Times New Roman"/>
          <w:color w:val="404040"/>
          <w:sz w:val="19"/>
        </w:rPr>
        <w:tab/>
        <w:t>23</w:t>
      </w:r>
    </w:p>
    <w:p>
      <w:pPr>
        <w:tabs>
          <w:tab w:pos="9360" w:val="right" w:leader="dot"/>
        </w:tabs>
        <w:spacing w:line="276" w:lineRule="auto" w:after="40"/>
      </w:pPr>
      <w:r>
        <w:rPr>
          <w:rFonts w:ascii="Times New Roman" w:hAnsi="Times New Roman"/>
          <w:b/>
          <w:sz w:val="19"/>
        </w:rPr>
        <w:t>6. Discussion &amp; Threats to Validity</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sz w:val="19"/>
        </w:rPr>
        <w:t xml:space="preserve">   6.1 Scientific Contributions and Methodological Novelty</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sz w:val="19"/>
        </w:rPr>
        <w:t xml:space="preserve">   6.2 Discussion of Empirical Findings</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sz w:val="19"/>
        </w:rPr>
        <w:t xml:space="preserve">   6.3 Threats to Validity</w:t>
      </w:r>
      <w:r>
        <w:rPr>
          <w:rFonts w:ascii="Times New Roman" w:hAnsi="Times New Roman"/>
          <w:color w:val="404040"/>
          <w:sz w:val="19"/>
        </w:rPr>
        <w:tab/>
        <w:t>25</w:t>
      </w:r>
    </w:p>
    <w:p>
      <w:pPr>
        <w:tabs>
          <w:tab w:pos="9360" w:val="right" w:leader="dot"/>
        </w:tabs>
        <w:spacing w:line="276" w:lineRule="auto" w:after="40"/>
      </w:pPr>
      <w:r>
        <w:rPr>
          <w:rFonts w:ascii="Times New Roman" w:hAnsi="Times New Roman"/>
          <w:b/>
          <w:sz w:val="19"/>
        </w:rPr>
        <w:t>7. Limitations Analysis</w:t>
      </w:r>
      <w:r>
        <w:rPr>
          <w:rFonts w:ascii="Times New Roman" w:hAnsi="Times New Roman"/>
          <w:color w:val="404040"/>
          <w:sz w:val="19"/>
        </w:rPr>
        <w:tab/>
        <w:t>25</w:t>
      </w:r>
    </w:p>
    <w:p>
      <w:pPr>
        <w:tabs>
          <w:tab w:pos="9360" w:val="right" w:leader="dot"/>
        </w:tabs>
        <w:spacing w:line="276" w:lineRule="auto" w:after="40"/>
      </w:pPr>
      <w:r>
        <w:rPr>
          <w:rFonts w:ascii="Times New Roman" w:hAnsi="Times New Roman"/>
          <w:sz w:val="19"/>
        </w:rPr>
        <w:t xml:space="preserve">   7.1 Methodological Limitations</w:t>
      </w:r>
      <w:r>
        <w:rPr>
          <w:rFonts w:ascii="Times New Roman" w:hAnsi="Times New Roman"/>
          <w:color w:val="404040"/>
          <w:sz w:val="19"/>
        </w:rPr>
        <w:tab/>
        <w:t>25</w:t>
      </w:r>
    </w:p>
    <w:p>
      <w:pPr>
        <w:tabs>
          <w:tab w:pos="9360" w:val="right" w:leader="dot"/>
        </w:tabs>
        <w:spacing w:line="276" w:lineRule="auto" w:after="40"/>
      </w:pPr>
      <w:r>
        <w:rPr>
          <w:rFonts w:ascii="Times New Roman" w:hAnsi="Times New Roman"/>
          <w:b/>
          <w:sz w:val="19"/>
        </w:rPr>
        <w:t>8. Future Work</w:t>
      </w:r>
      <w:r>
        <w:rPr>
          <w:rFonts w:ascii="Times New Roman" w:hAnsi="Times New Roman"/>
          <w:color w:val="404040"/>
          <w:sz w:val="19"/>
        </w:rPr>
        <w:tab/>
        <w:t>26</w:t>
      </w:r>
    </w:p>
    <w:p>
      <w:pPr>
        <w:tabs>
          <w:tab w:pos="9360" w:val="right" w:leader="dot"/>
        </w:tabs>
        <w:spacing w:line="276" w:lineRule="auto" w:after="40"/>
      </w:pPr>
      <w:r>
        <w:rPr>
          <w:rFonts w:ascii="Times New Roman" w:hAnsi="Times New Roman"/>
          <w:b/>
          <w:sz w:val="19"/>
        </w:rPr>
        <w:t>9. Conclusion</w:t>
      </w:r>
      <w:r>
        <w:rPr>
          <w:rFonts w:ascii="Times New Roman" w:hAnsi="Times New Roman"/>
          <w:color w:val="404040"/>
          <w:sz w:val="19"/>
        </w:rPr>
        <w:tab/>
        <w:t>26</w:t>
      </w:r>
    </w:p>
    <w:p>
      <w:pPr>
        <w:tabs>
          <w:tab w:pos="9360" w:val="right" w:leader="dot"/>
        </w:tabs>
        <w:spacing w:line="276" w:lineRule="auto" w:after="40"/>
      </w:pPr>
      <w:r>
        <w:rPr>
          <w:rFonts w:ascii="Times New Roman" w:hAnsi="Times New Roman"/>
          <w:b/>
          <w:sz w:val="19"/>
        </w:rPr>
        <w:t>Ethics &amp; Privacy Statement</w:t>
      </w:r>
      <w:r>
        <w:rPr>
          <w:rFonts w:ascii="Times New Roman" w:hAnsi="Times New Roman"/>
          <w:color w:val="404040"/>
          <w:sz w:val="19"/>
        </w:rPr>
        <w:tab/>
        <w:t>26</w:t>
      </w:r>
    </w:p>
    <w:p>
      <w:pPr>
        <w:tabs>
          <w:tab w:pos="9360" w:val="right" w:leader="dot"/>
        </w:tabs>
        <w:spacing w:line="276" w:lineRule="auto" w:after="40"/>
      </w:pPr>
      <w:r>
        <w:rPr>
          <w:rFonts w:ascii="Times New Roman" w:hAnsi="Times New Roman"/>
          <w:b/>
          <w:sz w:val="19"/>
        </w:rPr>
        <w:t>ACKNOWLEDGMENT</w:t>
      </w:r>
      <w:r>
        <w:rPr>
          <w:rFonts w:ascii="Times New Roman" w:hAnsi="Times New Roman"/>
          <w:color w:val="404040"/>
          <w:sz w:val="19"/>
        </w:rPr>
        <w:tab/>
        <w:t>27</w:t>
      </w:r>
    </w:p>
    <w:p>
      <w:pPr>
        <w:tabs>
          <w:tab w:pos="9360" w:val="right" w:leader="dot"/>
        </w:tabs>
        <w:spacing w:line="276" w:lineRule="auto" w:after="40"/>
      </w:pPr>
      <w:r>
        <w:rPr>
          <w:rFonts w:ascii="Times New Roman" w:hAnsi="Times New Roman"/>
          <w:b/>
          <w:sz w:val="19"/>
        </w:rPr>
        <w:t>APPENDIX A: REPRODUCIBILITY &amp; SYSTEM SPECIFICATIONS</w:t>
      </w:r>
      <w:r>
        <w:rPr>
          <w:rFonts w:ascii="Times New Roman" w:hAnsi="Times New Roman"/>
          <w:color w:val="404040"/>
          <w:sz w:val="19"/>
        </w:rPr>
        <w:tab/>
        <w:t>27</w:t>
      </w:r>
    </w:p>
    <w:p>
      <w:pPr>
        <w:tabs>
          <w:tab w:pos="9360" w:val="right" w:leader="dot"/>
        </w:tabs>
        <w:spacing w:line="276" w:lineRule="auto" w:after="40"/>
      </w:pPr>
      <w:r>
        <w:rPr>
          <w:rFonts w:ascii="Times New Roman" w:hAnsi="Times New Roman"/>
          <w:sz w:val="19"/>
        </w:rPr>
        <w:t xml:space="preserve">   A.1 Reproducibility &amp; System Environment Matrix</w:t>
      </w:r>
      <w:r>
        <w:rPr>
          <w:rFonts w:ascii="Times New Roman" w:hAnsi="Times New Roman"/>
          <w:color w:val="404040"/>
          <w:sz w:val="19"/>
        </w:rPr>
        <w:tab/>
        <w:t>27</w:t>
      </w:r>
    </w:p>
    <w:p>
      <w:pPr>
        <w:tabs>
          <w:tab w:pos="9360" w:val="right" w:leader="dot"/>
        </w:tabs>
        <w:spacing w:line="276" w:lineRule="auto" w:after="40"/>
      </w:pPr>
      <w:r>
        <w:rPr>
          <w:rFonts w:ascii="Times New Roman" w:hAnsi="Times New Roman"/>
          <w:sz w:val="19"/>
        </w:rPr>
        <w:t xml:space="preserve">   A.2 Technical Clarifications &amp; Reviewer Inquiries</w:t>
      </w:r>
      <w:r>
        <w:rPr>
          <w:rFonts w:ascii="Times New Roman" w:hAnsi="Times New Roman"/>
          <w:color w:val="404040"/>
          <w:sz w:val="19"/>
        </w:rPr>
        <w:tab/>
        <w:t>27</w:t>
      </w:r>
    </w:p>
    <w:p>
      <w:pPr>
        <w:tabs>
          <w:tab w:pos="9360" w:val="right" w:leader="dot"/>
        </w:tabs>
        <w:spacing w:line="276" w:lineRule="auto" w:after="40"/>
      </w:pPr>
      <w:r>
        <w:rPr>
          <w:rFonts w:ascii="Times New Roman" w:hAnsi="Times New Roman"/>
          <w:b/>
          <w:sz w:val="19"/>
        </w:rPr>
        <w:t>APPENDIX B: FIELD SPECIFICATION &amp; OBSERVATION COUNT DERIVATION</w:t>
      </w:r>
      <w:r>
        <w:rPr>
          <w:rFonts w:ascii="Times New Roman" w:hAnsi="Times New Roman"/>
          <w:color w:val="404040"/>
          <w:sz w:val="19"/>
        </w:rPr>
        <w:tab/>
        <w:t>28</w:t>
      </w:r>
    </w:p>
    <w:p>
      <w:pPr>
        <w:tabs>
          <w:tab w:pos="9360" w:val="right" w:leader="dot"/>
        </w:tabs>
        <w:spacing w:line="276" w:lineRule="auto" w:after="40"/>
      </w:pPr>
      <w:r>
        <w:rPr>
          <w:rFonts w:ascii="Times New Roman" w:hAnsi="Times New Roman"/>
          <w:sz w:val="19"/>
        </w:rPr>
        <w:t xml:space="preserve">   B.1 Document Category Field Structure</w:t>
      </w:r>
      <w:r>
        <w:rPr>
          <w:rFonts w:ascii="Times New Roman" w:hAnsi="Times New Roman"/>
          <w:color w:val="404040"/>
          <w:sz w:val="19"/>
        </w:rPr>
        <w:tab/>
        <w:t>28</w:t>
      </w:r>
    </w:p>
    <w:p>
      <w:pPr>
        <w:tabs>
          <w:tab w:pos="9360" w:val="right" w:leader="dot"/>
        </w:tabs>
        <w:spacing w:line="276" w:lineRule="auto" w:after="40"/>
      </w:pPr>
      <w:r>
        <w:rPr>
          <w:rFonts w:ascii="Times New Roman" w:hAnsi="Times New Roman"/>
          <w:sz w:val="19"/>
        </w:rPr>
        <w:t xml:space="preserve">   B.2 Mathematical Derivation of 24,480 Paired Observations</w:t>
      </w:r>
      <w:r>
        <w:rPr>
          <w:rFonts w:ascii="Times New Roman" w:hAnsi="Times New Roman"/>
          <w:color w:val="404040"/>
          <w:sz w:val="19"/>
        </w:rPr>
        <w:tab/>
        <w:t>28</w:t>
      </w:r>
    </w:p>
    <w:p>
      <w:pPr>
        <w:tabs>
          <w:tab w:pos="9360" w:val="right" w:leader="dot"/>
        </w:tabs>
        <w:spacing w:line="276" w:lineRule="auto" w:after="40"/>
      </w:pPr>
      <w:r>
        <w:rPr>
          <w:rFonts w:ascii="Times New Roman" w:hAnsi="Times New Roman"/>
          <w:b/>
          <w:sz w:val="19"/>
        </w:rPr>
        <w:t>APPENDIX C: EMPIRICAL STATISTICAL METHODOLOGY &amp; BENCHMARKS</w:t>
      </w:r>
      <w:r>
        <w:rPr>
          <w:rFonts w:ascii="Times New Roman" w:hAnsi="Times New Roman"/>
          <w:color w:val="404040"/>
          <w:sz w:val="19"/>
        </w:rPr>
        <w:tab/>
        <w:t>29</w:t>
      </w:r>
    </w:p>
    <w:p>
      <w:pPr>
        <w:tabs>
          <w:tab w:pos="9360" w:val="right" w:leader="dot"/>
        </w:tabs>
        <w:spacing w:line="276" w:lineRule="auto" w:after="40"/>
      </w:pPr>
      <w:r>
        <w:rPr>
          <w:rFonts w:ascii="Times New Roman" w:hAnsi="Times New Roman"/>
          <w:sz w:val="19"/>
        </w:rPr>
        <w:t xml:space="preserve">   C.1 Empirical Category Confusion Matrix (360 Specimens)</w:t>
      </w:r>
      <w:r>
        <w:rPr>
          <w:rFonts w:ascii="Times New Roman" w:hAnsi="Times New Roman"/>
          <w:color w:val="404040"/>
          <w:sz w:val="19"/>
        </w:rPr>
        <w:tab/>
        <w:t>29</w:t>
      </w:r>
    </w:p>
    <w:p>
      <w:pPr>
        <w:tabs>
          <w:tab w:pos="9360" w:val="right" w:leader="dot"/>
        </w:tabs>
        <w:spacing w:line="276" w:lineRule="auto" w:after="40"/>
      </w:pPr>
      <w:r>
        <w:rPr>
          <w:rFonts w:ascii="Times New Roman" w:hAnsi="Times New Roman"/>
          <w:sz w:val="19"/>
        </w:rPr>
        <w:t xml:space="preserve">   C.2 McNemar Contingency Test &amp; Normalization Rescues</w:t>
      </w:r>
      <w:r>
        <w:rPr>
          <w:rFonts w:ascii="Times New Roman" w:hAnsi="Times New Roman"/>
          <w:color w:val="404040"/>
          <w:sz w:val="19"/>
        </w:rPr>
        <w:tab/>
        <w:t>29</w:t>
      </w:r>
    </w:p>
    <w:p>
      <w:pPr>
        <w:tabs>
          <w:tab w:pos="9360" w:val="right" w:leader="dot"/>
        </w:tabs>
        <w:spacing w:line="276" w:lineRule="auto" w:after="40"/>
      </w:pPr>
      <w:r>
        <w:rPr>
          <w:rFonts w:ascii="Times New Roman" w:hAnsi="Times New Roman"/>
          <w:sz w:val="19"/>
        </w:rPr>
        <w:t xml:space="preserve">   C.3 Non-Parametric Bootstrap Confidence Intervals (B = 10,000)</w:t>
      </w:r>
      <w:r>
        <w:rPr>
          <w:rFonts w:ascii="Times New Roman" w:hAnsi="Times New Roman"/>
          <w:color w:val="404040"/>
          <w:sz w:val="19"/>
        </w:rPr>
        <w:tab/>
        <w:t>30</w:t>
      </w:r>
    </w:p>
    <w:p>
      <w:pPr>
        <w:tabs>
          <w:tab w:pos="9360" w:val="right" w:leader="dot"/>
        </w:tabs>
        <w:spacing w:line="276" w:lineRule="auto" w:after="40"/>
      </w:pPr>
      <w:r>
        <w:rPr>
          <w:rFonts w:ascii="Times New Roman" w:hAnsi="Times New Roman"/>
          <w:b/>
          <w:sz w:val="19"/>
        </w:rPr>
        <w:t>REFERENCES</w:t>
      </w:r>
      <w:r>
        <w:rPr>
          <w:rFonts w:ascii="Times New Roman" w:hAnsi="Times New Roman"/>
          <w:color w:val="404040"/>
          <w:sz w:val="19"/>
        </w:rPr>
        <w:tab/>
        <w:t>30</w:t>
      </w:r>
    </w:p>
    <w:p w14:paraId="78AF360B">
      <w:pPr>
        <w:pageBreakBefore/>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14:paraId="547EAF43">
      <w:pPr>
        <w:spacing w:before="40" w:after="16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p>
    <w:p w14:paraId="15AA14C8">
      <w:pPr>
        <w:keepNext/>
        <w:spacing w:before="280" w:after="120"/>
        <w:jc w:val="both"/>
      </w:pPr>
      <w:r>
        <w:rPr>
          <w:rFonts w:ascii="Times New Roman" w:hAnsi="Times New Roman"/>
          <w:b/>
          <w:color w:val="003366"/>
          <w:sz w:val="26"/>
        </w:rPr>
        <w:t>Abstract</w:t>
      </w:r>
    </w:p>
    <w:p w14:paraId="60F0607A">
      <w:pPr>
        <w:spacing w:before="40" w:after="80" w:line="276" w:lineRule="auto"/>
        <w:jc w:val="both"/>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14:paraId="01FA128A">
      <w:pPr>
        <w:spacing w:before="40" w:after="80" w:line="276" w:lineRule="auto"/>
        <w:jc w:val="both"/>
      </w:pPr>
      <w:r>
        <w:t>We evaluate the benchmark suite across 360 specimens (24,480 paired field observations (360 specimens x variable field evaluation attributes (33 for certificates and student IDs; 138 for marksheets))). In headless framework validation dry-runs, the evaluation subsystem achieved a processing throughput of 242.59 samples/sec with zero database state mutations. In live neural model inference testing using Ollama Local Runtime's MiniCPM-V (7.6B Q4_0) Instant engine with strict real-inference enforcement (allowMockFallback: false), the system achieved a 75.23% Field Extraction F1 score and 8.21% Character Error Rate (CER) (11.35% field-level CER) under zero-shot prompting across all degradation profiles. Furthermore, category classification achieved 100.00% accuracy across all document types, while fine-grained entity extraction achieved 75.23% F1 score due to missing fields and OCR errors. The benchmark eliminates the need for real student records by using deterministic synthetic academic credential generation with complete ground-truth annotations. The evaluation baseline executes end-to-end neural document intelligence inference (Option A) across 360 document specimens under strict real-inference enforcement without mock fallback. This work provides a reproducible, synthetic-data-based foundation for benchmarking academic document analysis systems.</w:t>
      </w:r>
    </w:p>
    <w:p w14:paraId="2A2B8802">
      <w:pPr>
        <w:spacing w:before="40" w:after="80" w:line="276" w:lineRule="auto"/>
        <w:jc w:val="both"/>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14:paraId="3F76657E">
      <w:pPr>
        <w:keepNext/>
        <w:pageBreakBefore/>
        <w:spacing w:before="280" w:after="120"/>
        <w:jc w:val="both"/>
        <w:outlineLvl w:val="0"/>
      </w:pPr>
      <w:r>
        <w:rPr>
          <w:rFonts w:ascii="Times New Roman" w:hAnsi="Times New Roman"/>
          <w:b/>
          <w:color w:val="003366"/>
          <w:sz w:val="26"/>
        </w:rPr>
        <w:t>1. Introduction</w:t>
      </w:r>
    </w:p>
    <w:p w14:paraId="1472CF58">
      <w:pPr>
        <w:keepNext/>
        <w:spacing w:before="200" w:after="80"/>
        <w:jc w:val="both"/>
        <w:outlineLvl w:val="1"/>
      </w:pPr>
      <w:r>
        <w:rPr>
          <w:rFonts w:ascii="Times New Roman" w:hAnsi="Times New Roman"/>
          <w:b/>
          <w:color w:val="333333"/>
          <w:sz w:val="23"/>
        </w:rPr>
        <w:t>1.1 Background &amp; Motivation</w:t>
      </w:r>
    </w:p>
    <w:p w14:paraId="68481526">
      <w:pPr>
        <w:spacing w:before="40" w:after="80" w:line="276" w:lineRule="auto"/>
        <w:jc w:val="both"/>
      </w:pPr>
      <w:r>
        <w:rPr>
          <w:rFonts w:ascii="Times New Roman" w:hAnsi="Times New Roman"/>
          <w:sz w:val="20"/>
        </w:rPr>
        <w:t>Document Intelligence Systems (DIS) process semi-structured administrative documents across financial, legal, and educational domains [1]–[5]. In higher education administration, verifying academic degree certificates, semester marksheets, official transcripts, and student identity cards is essential for automated admissions processing, credit transfers, and credential authentication [26], [28], [35].</w:t>
      </w:r>
    </w:p>
    <w:p w14:paraId="54545C66">
      <w:pPr>
        <w:spacing w:before="40" w:after="80" w:line="276" w:lineRule="auto"/>
        <w:jc w:val="both"/>
      </w:pPr>
      <w:r>
        <w:rPr>
          <w:rFonts w:ascii="Times New Roman" w:hAnsi="Times New Roman"/>
          <w:sz w:val="20"/>
        </w:rPr>
        <w:t>Despite recent advances in Large Language Models (LLMs) and Vision-Language Models (VLMs) [9]–[15], [32]–[34], benchmarking document extraction algorithms on academic records presents three fundamental methodological obstacles:</w:t>
      </w:r>
    </w:p>
    <w:p w14:paraId="1556BEBE">
      <w:pPr>
        <w:spacing w:before="20" w:after="40"/>
        <w:ind w:left="360"/>
        <w:jc w:val="both"/>
        <w:outlineLvl w:val="0"/>
      </w:pPr>
      <w:r>
        <w:rPr>
          <w:rFonts w:ascii="Times New Roman" w:hAnsi="Times New Roman"/>
          <w:b/>
          <w:sz w:val="20"/>
        </w:rPr>
        <w:t>1. Privacy &amp; Statutory Regulatory Barriers</w:t>
      </w:r>
      <w:r>
        <w:rPr>
          <w:rFonts w:ascii="Times New Roman" w:hAnsi="Times New Roman"/>
          <w:sz w:val="20"/>
        </w:rPr>
        <w:t>: Statutory regulations—such as FERPA in the United States and GDPR in the European Union—prohibit the public distribution of authentic student academic records containing personally identifiable information (PII) [17], [28], [35].</w:t>
      </w:r>
    </w:p>
    <w:p w14:paraId="622959E9">
      <w:pPr>
        <w:spacing w:before="20" w:after="40"/>
        <w:ind w:left="360"/>
        <w:jc w:val="both"/>
        <w:outlineLvl w:val="0"/>
      </w:pPr>
      <w:r>
        <w:rPr>
          <w:rFonts w:ascii="Times New Roman" w:hAnsi="Times New Roman"/>
          <w:b/>
          <w:sz w:val="20"/>
        </w:rPr>
        <w:t>2. 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 [29].</w:t>
      </w:r>
    </w:p>
    <w:p w14:paraId="020FA763">
      <w:pPr>
        <w:spacing w:before="20" w:after="40"/>
        <w:ind w:left="360"/>
        <w:jc w:val="both"/>
        <w:outlineLvl w:val="0"/>
      </w:pPr>
      <w:r>
        <w:rPr>
          <w:rFonts w:ascii="Times New Roman" w:hAnsi="Times New Roman"/>
          <w:b/>
          <w:sz w:val="20"/>
        </w:rPr>
        <w:t>3. 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 [25], [36].</w:t>
      </w:r>
    </w:p>
    <w:p w14:paraId="31E6DB94">
      <w:pPr>
        <w:spacing w:before="40" w:after="80" w:line="276" w:lineRule="auto"/>
        <w:jc w:val="both"/>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 [26], [35].</w:t>
      </w:r>
    </w:p>
    <w:p w14:paraId="5B470FB9">
      <w:pPr>
        <w:keepNext/>
        <w:spacing w:before="200" w:after="80"/>
        <w:jc w:val="both"/>
        <w:outlineLvl w:val="1"/>
      </w:pPr>
      <w:r>
        <w:rPr>
          <w:rFonts w:ascii="Times New Roman" w:hAnsi="Times New Roman"/>
          <w:b/>
          <w:color w:val="333333"/>
          <w:sz w:val="23"/>
        </w:rPr>
        <w:t>1.2 Research Objectives</w:t>
      </w:r>
    </w:p>
    <w:p w14:paraId="613B7587">
      <w:pPr>
        <w:spacing w:before="40" w:after="80" w:line="276" w:lineRule="auto"/>
        <w:jc w:val="both"/>
      </w:pPr>
      <w:r>
        <w:rPr>
          <w:rFonts w:ascii="Times New Roman" w:hAnsi="Times New Roman"/>
          <w:sz w:val="20"/>
        </w:rPr>
        <w:t>To address these challenges, this study establishes a reproducible methodology for synthetic dataset generation and semantic performance evaluation [31]. Specifically, we focus on:</w:t>
      </w:r>
    </w:p>
    <w:p w14:paraId="05DC4B18">
      <w:pPr>
        <w:pStyle w:val="23"/>
        <w:spacing w:before="20" w:after="40"/>
        <w:jc w:val="both"/>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14:paraId="766C9EEA">
      <w:pPr>
        <w:pStyle w:val="23"/>
        <w:spacing w:before="20" w:after="40"/>
        <w:jc w:val="both"/>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14:paraId="37D3ED50">
      <w:pPr>
        <w:pStyle w:val="23"/>
        <w:spacing w:before="20" w:after="40"/>
        <w:jc w:val="both"/>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14:paraId="783A5158">
      <w:pPr>
        <w:keepNext/>
        <w:spacing w:before="200" w:after="80"/>
        <w:jc w:val="both"/>
        <w:outlineLvl w:val="1"/>
      </w:pPr>
      <w:r>
        <w:rPr>
          <w:rFonts w:ascii="Times New Roman" w:hAnsi="Times New Roman"/>
          <w:b/>
          <w:color w:val="333333"/>
          <w:sz w:val="23"/>
        </w:rPr>
        <w:t>1.3 Main Research Contributions</w:t>
      </w:r>
    </w:p>
    <w:p w14:paraId="015EEB7A">
      <w:pPr>
        <w:spacing w:before="40" w:after="80" w:line="276" w:lineRule="auto"/>
        <w:jc w:val="both"/>
      </w:pPr>
      <w:r>
        <w:rPr>
          <w:rFonts w:ascii="Times New Roman" w:hAnsi="Times New Roman"/>
          <w:sz w:val="20"/>
        </w:rPr>
        <w:t>The primary contributions of this work are summarized as follows:</w:t>
      </w:r>
    </w:p>
    <w:p w14:paraId="1C461AB5">
      <w:pPr>
        <w:spacing w:before="20" w:after="40"/>
        <w:ind w:left="360"/>
        <w:jc w:val="both"/>
        <w:outlineLvl w:val="0"/>
      </w:pPr>
      <w:r>
        <w:rPr>
          <w:rFonts w:ascii="Times New Roman" w:hAnsi="Times New Roman"/>
          <w:b/>
          <w:sz w:val="20"/>
        </w:rPr>
        <w:t>1. 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 [26], [35].</w:t>
      </w:r>
    </w:p>
    <w:p w14:paraId="4500592A">
      <w:pPr>
        <w:spacing w:before="20" w:after="40"/>
        <w:ind w:left="360"/>
        <w:jc w:val="both"/>
        <w:outlineLvl w:val="0"/>
      </w:pPr>
      <w:r>
        <w:rPr>
          <w:rFonts w:ascii="Times New Roman" w:hAnsi="Times New Roman"/>
          <w:b/>
          <w:sz w:val="20"/>
        </w:rPr>
        <w:t>2. AU DIC Evaluation Subsystem</w:t>
      </w:r>
      <w:r>
        <w:rPr>
          <w:rFonts w:ascii="Times New Roman" w:hAnsi="Times New Roman"/>
          <w:sz w:val="20"/>
        </w:rPr>
        <w:t>: A decoupled, strictly read-only benchmark execution engine that evaluates document processing pipelines without modifying production data stores [31].</w:t>
      </w:r>
    </w:p>
    <w:p w14:paraId="5DDDB933">
      <w:pPr>
        <w:spacing w:before="20" w:after="40"/>
        <w:ind w:left="360"/>
        <w:jc w:val="both"/>
        <w:outlineLvl w:val="0"/>
      </w:pPr>
      <w:r>
        <w:rPr>
          <w:rFonts w:ascii="Times New Roman" w:hAnsi="Times New Roman"/>
          <w:b/>
          <w:sz w:val="20"/>
        </w:rPr>
        <w:t>3. 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 [25], [36].</w:t>
      </w:r>
    </w:p>
    <w:p w14:paraId="71AC79BD">
      <w:pPr>
        <w:spacing w:before="20" w:after="40"/>
        <w:ind w:left="360"/>
        <w:jc w:val="both"/>
        <w:outlineLvl w:val="0"/>
      </w:pPr>
      <w:r>
        <w:rPr>
          <w:rFonts w:ascii="Times New Roman" w:hAnsi="Times New Roman"/>
          <w:b/>
          <w:sz w:val="20"/>
        </w:rPr>
        <w:t>4. 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 [28], [37].</w:t>
      </w:r>
    </w:p>
    <w:p w14:paraId="5015A743">
      <w:pPr>
        <w:spacing w:before="20" w:after="40"/>
        <w:ind w:left="360"/>
        <w:jc w:val="both"/>
        <w:outlineLvl w:val="0"/>
      </w:pPr>
      <w:r>
        <w:t xml:space="preserve">5. Quality Profile Robustness Framework: A controlled optical quality-profile degradation matrix across four standardized profiles (clean, scanner_copy, mobile_camera, rotated_90) [27], [30], [33], designed to quantify extraction decay in image-based evaluations. The Option A evaluation baseline executes end-to-end neural document intelligence inference across all optical degradation profiles.</w:t>
      </w:r>
    </w:p>
    <w:p w14:paraId="3197BF30">
      <w:pPr>
        <w:keepNext/>
        <w:spacing w:before="200" w:after="80"/>
        <w:jc w:val="both"/>
        <w:outlineLvl w:val="1"/>
      </w:pPr>
      <w:r>
        <w:rPr>
          <w:rFonts w:ascii="Times New Roman" w:hAnsi="Times New Roman"/>
          <w:b/>
          <w:color w:val="333333"/>
          <w:sz w:val="23"/>
        </w:rPr>
        <w:t>1.4 Scientific Novelty Statement</w:t>
      </w:r>
    </w:p>
    <w:p w14:paraId="3E9A9469">
      <w:pPr>
        <w:spacing w:before="40" w:after="80" w:line="276" w:lineRule="auto"/>
        <w:jc w:val="both"/>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14:paraId="26048763">
      <w:pPr>
        <w:spacing w:before="40" w:after="80" w:line="276" w:lineRule="auto"/>
        <w:jc w:val="both"/>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[28]. Previous benchmark contributions in document analysis (e.g., SROIE [2], CORD [3], FUNSD [4], DocVQA [5]) evaluate models on static document collections. In contrast, academic credential evaluation requires resolving statutory privacy constraints while insulating performance metrics from superficial representation variations [25], [36].</w:t>
      </w:r>
    </w:p>
    <w:p w14:paraId="63521041">
      <w:pPr>
        <w:spacing w:before="40" w:after="80" w:line="276" w:lineRule="auto"/>
        <w:jc w:val="both"/>
      </w:pPr>
      <w:r>
        <w:t xml:space="preserve">By integrating five interdependent methodological components-seed-deterministic synthetic rendering, multi-profile optical degradation, decoupled read-only execution, multi-stage semantic canonicalization, and a structured diagnostic error taxonomy-into a single protocol [31], this work establishes a reproducible foundation to evaluate document analysis pipelines under controlled experimental conditions. The evaluation protocol executes end-to-end neural document intelligence inference under Option A across 360 specimens and 24,480 paired field observations.</w:t>
      </w:r>
    </w:p>
    <w:p w14:paraId="0087EA3C">
      <w:pPr>
        <w:keepNext/>
        <w:spacing w:before="200" w:after="80"/>
        <w:jc w:val="both"/>
        <w:outlineLvl w:val="1"/>
      </w:pPr>
      <w:r>
        <w:rPr>
          <w:rFonts w:ascii="Times New Roman" w:hAnsi="Times New Roman"/>
          <w:b/>
          <w:color w:val="333333"/>
          <w:sz w:val="23"/>
        </w:rPr>
        <w:t>1.5 Paper Organization</w:t>
      </w:r>
    </w:p>
    <w:p w14:paraId="08A2492D">
      <w:pPr>
        <w:spacing w:before="40" w:after="80" w:line="276" w:lineRule="auto"/>
        <w:jc w:val="both"/>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14:paraId="292043FF">
      <w:pPr>
        <w:keepNext/>
        <w:spacing w:before="280" w:after="120"/>
        <w:jc w:val="both"/>
        <w:outlineLvl w:val="0"/>
      </w:pPr>
      <w:r>
        <w:rPr>
          <w:rFonts w:ascii="Times New Roman" w:hAnsi="Times New Roman"/>
          <w:b/>
          <w:color w:val="003366"/>
          <w:sz w:val="26"/>
        </w:rPr>
        <w:t>2. Related Work</w:t>
      </w:r>
    </w:p>
    <w:p w14:paraId="65EAE46E">
      <w:pPr>
        <w:keepNext/>
        <w:spacing w:before="200" w:after="80"/>
        <w:jc w:val="both"/>
        <w:outlineLvl w:val="1"/>
      </w:pPr>
      <w:r>
        <w:rPr>
          <w:rFonts w:ascii="Times New Roman" w:hAnsi="Times New Roman"/>
          <w:b/>
          <w:color w:val="333333"/>
          <w:sz w:val="23"/>
        </w:rPr>
        <w:t>2.1 Foundational Document AI &amp; Classical Benchmarks (Historical Context)</w:t>
      </w:r>
    </w:p>
    <w:p w14:paraId="189F7A1A">
      <w:pPr>
        <w:spacing w:before="40" w:after="80" w:line="276" w:lineRule="auto"/>
        <w:jc w:val="both"/>
      </w:pPr>
      <w:r>
        <w:rPr>
          <w:rFonts w:ascii="Times New Roman" w:hAnsi="Times New Roman"/>
          <w:sz w:val="20"/>
        </w:rPr>
        <w:t>Early research in Document Artificial Intelligence (Document AI) focused on classical optical character recognition engines (e.g., Tesseract [18], line-finding LSTM RNNs), historical document binarization ensembles [16], and rule-based key-value parsing across static receipt and administrative form datasets:</w:t>
      </w:r>
    </w:p>
    <w:p w14:paraId="5B2DA315">
      <w:pPr>
        <w:pStyle w:val="23"/>
        <w:spacing w:before="20" w:after="40"/>
        <w:jc w:val="both"/>
      </w:pPr>
      <w:r>
        <w:rPr>
          <w:rFonts w:ascii="Times New Roman" w:hAnsi="Times New Roman"/>
          <w:b/>
          <w:sz w:val="20"/>
        </w:rPr>
        <w:t>Receipt &amp; Invoice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[2] and </w:t>
      </w:r>
      <w:r>
        <w:rPr>
          <w:rFonts w:ascii="Times New Roman" w:hAnsi="Times New Roman"/>
          <w:b/>
          <w:sz w:val="20"/>
        </w:rPr>
        <w:t>CORD</w:t>
      </w:r>
      <w:r>
        <w:rPr>
          <w:rFonts w:ascii="Times New Roman" w:hAnsi="Times New Roman"/>
          <w:sz w:val="20"/>
        </w:rPr>
        <w:t xml:space="preserve"> [3] established standard benchmark datasets for point-of-sale receipt entity extraction.</w:t>
      </w:r>
    </w:p>
    <w:p w14:paraId="0B5175A7">
      <w:pPr>
        <w:pStyle w:val="23"/>
        <w:spacing w:before="20" w:after="40"/>
        <w:jc w:val="both"/>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[4] introduced key-value pair and spatial entity link annotations for noisy scanned forms.</w:t>
      </w:r>
    </w:p>
    <w:p w14:paraId="1C1B2E13">
      <w:pPr>
        <w:pStyle w:val="23"/>
        <w:spacing w:before="20" w:after="40"/>
        <w:jc w:val="both"/>
      </w:pPr>
      <w:r>
        <w:rPr>
          <w:rFonts w:ascii="Times New Roman" w:hAnsi="Times New Roman"/>
          <w:b/>
          <w:sz w:val="20"/>
        </w:rPr>
        <w:t>Document Image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[1] benchmarked multi-class document page classification across 16 commercial form categories.</w:t>
      </w:r>
    </w:p>
    <w:p w14:paraId="22EABA03">
      <w:pPr>
        <w:pStyle w:val="23"/>
        <w:spacing w:before="20" w:after="40"/>
        <w:jc w:val="both"/>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[5] introduced visual question answering over complex mixed document pages.</w:t>
      </w:r>
    </w:p>
    <w:p w14:paraId="09808609">
      <w:pPr>
        <w:spacing w:before="40" w:after="80" w:line="276" w:lineRule="auto"/>
        <w:jc w:val="both"/>
      </w:pPr>
      <w:r>
        <w:rPr>
          <w:rFonts w:ascii="Times New Roman" w:hAnsi="Times New Roman"/>
          <w:sz w:val="20"/>
        </w:rPr>
        <w:t xml:space="preserve">To process these document datasets, early multi-modal architectures combined visual features, OCR text, and 2D spatial bounding box coordinates. </w:t>
      </w:r>
      <w:r>
        <w:rPr>
          <w:rFonts w:ascii="Times New Roman" w:hAnsi="Times New Roman"/>
          <w:b/>
          <w:sz w:val="20"/>
        </w:rPr>
        <w:t>LayoutLMv3</w:t>
      </w:r>
      <w:r>
        <w:rPr>
          <w:rFonts w:ascii="Times New Roman" w:hAnsi="Times New Roman"/>
          <w:sz w:val="20"/>
        </w:rPr>
        <w:t xml:space="preserve"> [6] integrated text and image token masking for multimodal alignment, while sequence-to-sequence architectures such as </w:t>
      </w:r>
      <w:r>
        <w:rPr>
          <w:rFonts w:ascii="Times New Roman" w:hAnsi="Times New Roman"/>
          <w:b/>
          <w:sz w:val="20"/>
        </w:rPr>
        <w:t>TrOCR</w:t>
      </w:r>
      <w:r>
        <w:rPr>
          <w:rFonts w:ascii="Times New Roman" w:hAnsi="Times New Roman"/>
          <w:sz w:val="20"/>
        </w:rPr>
        <w:t xml:space="preserve"> [8] and OCR-free transformers like </w:t>
      </w:r>
      <w:r>
        <w:rPr>
          <w:rFonts w:ascii="Times New Roman" w:hAnsi="Times New Roman"/>
          <w:b/>
          <w:sz w:val="20"/>
        </w:rPr>
        <w:t>Donut</w:t>
      </w:r>
      <w:r>
        <w:rPr>
          <w:rFonts w:ascii="Times New Roman" w:hAnsi="Times New Roman"/>
          <w:sz w:val="20"/>
        </w:rPr>
        <w:t xml:space="preserve"> [7] mapped page images directly to text sequences. However, these foundational benchmarks evaluated models primarily using raw string equality or unnormalized edit distances, failing to isolate genuine character recognition errors from superficial formatting discrepancies [25], [36].</w:t>
      </w:r>
    </w:p>
    <w:p w14:paraId="59C328F3">
      <w:pPr>
        <w:keepNext/>
        <w:spacing w:before="200" w:after="80"/>
        <w:jc w:val="both"/>
        <w:outlineLvl w:val="1"/>
      </w:pPr>
      <w:r>
        <w:rPr>
          <w:rFonts w:ascii="Times New Roman" w:hAnsi="Times New Roman"/>
          <w:b/>
          <w:color w:val="333333"/>
          <w:sz w:val="23"/>
        </w:rPr>
        <w:t>2.2 2025–2026 Vision-Language Models &amp; Multimodal Document Understanding</w:t>
      </w:r>
    </w:p>
    <w:p w14:paraId="3F983351">
      <w:pPr>
        <w:spacing w:before="40" w:after="80" w:line="276" w:lineRule="auto"/>
        <w:jc w:val="both"/>
      </w:pPr>
      <w:r>
        <w:rPr>
          <w:rFonts w:ascii="Times New Roman" w:hAnsi="Times New Roman"/>
          <w:sz w:val="20"/>
        </w:rPr>
        <w:t>Recent 2025–2026 advancements in Large Multimodal Models (LMMs) and Vision-Language Models (VLMs) have significantly expanded document understanding capabilities:</w:t>
      </w:r>
    </w:p>
    <w:p w14:paraId="4607C032">
      <w:pPr>
        <w:pStyle w:val="23"/>
        <w:spacing w:before="20" w:after="40"/>
        <w:jc w:val="both"/>
      </w:pPr>
      <w:r>
        <w:rPr>
          <w:rFonts w:ascii="Times New Roman" w:hAnsi="Times New Roman"/>
          <w:b/>
          <w:sz w:val="20"/>
        </w:rPr>
        <w:t>Unified Task Representations</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[9] unified visual tasks into a sequence-to-sequence framework mapping spatial bounding boxes to text tokens.</w:t>
      </w:r>
    </w:p>
    <w:p w14:paraId="280CA75A">
      <w:pPr>
        <w:pStyle w:val="23"/>
        <w:spacing w:before="20" w:after="40"/>
        <w:jc w:val="both"/>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[10] introduced crop-based visual embeddings and token compression for high-resolution document pages.</w:t>
      </w:r>
    </w:p>
    <w:p w14:paraId="0E4ED913">
      <w:pPr>
        <w:pStyle w:val="23"/>
        <w:spacing w:before="20" w:after="40"/>
        <w:jc w:val="both"/>
      </w:pPr>
      <w:r>
        <w:rPr>
          <w:rFonts w:ascii="Times New Roman" w:hAnsi="Times New Roman"/>
          <w:b/>
          <w:sz w:val="20"/>
        </w:rPr>
        <w:t>Dynamic Resolution Encoders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[11] implemented dynamic resolution NaViT encoders to process document images at native aspect ratios.</w:t>
      </w:r>
    </w:p>
    <w:p w14:paraId="36436E37">
      <w:pPr>
        <w:pStyle w:val="23"/>
        <w:spacing w:before="20" w:after="40"/>
        <w:jc w:val="both"/>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[12] introduced cross-window attention to alleviate tokenization bottlenecks in large document images.</w:t>
      </w:r>
    </w:p>
    <w:p w14:paraId="2A24C907">
      <w:pPr>
        <w:pStyle w:val="23"/>
        <w:spacing w:before="20" w:after="40"/>
        <w:jc w:val="both"/>
      </w:pPr>
      <w:r>
        <w:rPr>
          <w:rFonts w:ascii="Times New Roman" w:hAnsi="Times New Roman"/>
          <w:b/>
          <w:sz w:val="20"/>
        </w:rPr>
        <w:t>Visual Vocabulary Enlargement</w:t>
      </w:r>
      <w:r>
        <w:rPr>
          <w:rFonts w:ascii="Times New Roman" w:hAnsi="Times New Roman"/>
          <w:sz w:val="20"/>
        </w:rPr>
        <w:t xml:space="preserve">: </w:t>
      </w:r>
      <w:r>
        <w:rPr>
          <w:rFonts w:ascii="Times New Roman" w:hAnsi="Times New Roman"/>
          <w:b/>
          <w:sz w:val="20"/>
        </w:rPr>
        <w:t>Vary</w:t>
      </w:r>
      <w:r>
        <w:rPr>
          <w:rFonts w:ascii="Times New Roman" w:hAnsi="Times New Roman"/>
          <w:sz w:val="20"/>
        </w:rPr>
        <w:t xml:space="preserve"> [19] expanded visual vocabulary tokens specifically for document text and chart parsing.</w:t>
      </w:r>
    </w:p>
    <w:p w14:paraId="5EAB8A02">
      <w:pPr>
        <w:pStyle w:val="23"/>
        <w:spacing w:before="20" w:after="40"/>
        <w:jc w:val="both"/>
      </w:pPr>
      <w:r>
        <w:rPr>
          <w:rFonts w:ascii="Times New Roman" w:hAnsi="Times New Roman"/>
          <w:b/>
          <w:sz w:val="20"/>
        </w:rPr>
        <w:t>Layout-Aware Architectures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[13] integrated explicit spatial layout instruction tuning into open-weight LLMs, </w:t>
      </w:r>
      <w:r>
        <w:rPr>
          <w:rFonts w:ascii="Times New Roman" w:hAnsi="Times New Roman"/>
          <w:b/>
          <w:sz w:val="20"/>
        </w:rPr>
        <w:t>UDOP-v2</w:t>
      </w:r>
      <w:r>
        <w:rPr>
          <w:rFonts w:ascii="Times New Roman" w:hAnsi="Times New Roman"/>
          <w:sz w:val="20"/>
        </w:rPr>
        <w:t xml:space="preserve"> [14] unified text, vision, and layout pretraining, and </w:t>
      </w:r>
      <w:r>
        <w:rPr>
          <w:rFonts w:ascii="Times New Roman" w:hAnsi="Times New Roman"/>
          <w:b/>
          <w:sz w:val="20"/>
        </w:rPr>
        <w:t>LLaVA-NeXT-Doc</w:t>
      </w:r>
      <w:r>
        <w:rPr>
          <w:rFonts w:ascii="Times New Roman" w:hAnsi="Times New Roman"/>
          <w:sz w:val="20"/>
        </w:rPr>
        <w:t xml:space="preserve"> [15] established fine-grained document parsing.</w:t>
      </w:r>
    </w:p>
    <w:p w14:paraId="2429E4D2">
      <w:pPr>
        <w:pStyle w:val="23"/>
        <w:spacing w:before="20" w:after="40"/>
        <w:jc w:val="both"/>
      </w:pPr>
      <w:r>
        <w:t xml:space="preserve">Fine-Grained Layout Attention &amp; Unified Tokenization: DocFormers 2.0 [32] introduced fine-grained multimodal layout attention, Wilson et al. [34] established evaluation benchmarks for vision-language models on complex tabular document grids, and Martinez et al. [33] benchmarked OCR-free vision-language architectures under physical image distortions.
End-to-End Document Parsing &amp; Open-Weight Advances: GOT-OCR2.0 [38] proposed a general OCR theory unifying scene text, document text, and formula recognition. Docopilot [39] and Marten [40] (both CVPR 2025) advanced multimodal models for document-level understanding and visual mask-based question answering. MinerU2.5 [43] introduced a 1.2B decoupled vision-language model for high-resolution document parsing, while olmOCR 2 [45] formulated unit-test-based reward signals for improving document OCR accuracy. For multimodal document retrieval, ColPali [41] proposed visually-grounded page-level retrieval using vision-language embeddings. DeepSeek-VL2 [42] proposed mixture-of-experts VLM architectures that substantially improve computational efficiency under multimodal document workloads. OCR-Robust [44] benchmarked VLM fragility specifically under 49 classes of real-world optical perturbations, directly informing the robustness profiling methodology adopted in AU DIC.</w:t>
      </w:r>
    </w:p>
    <w:p w14:paraId="57C1E4DA">
      <w:pPr>
        <w:spacing w:before="40" w:after="80" w:line="276" w:lineRule="auto"/>
        <w:jc w:val="both"/>
      </w:pPr>
      <w:r>
        <w:rPr>
          <w:rFonts w:ascii="Times New Roman" w:hAnsi="Times New Roman"/>
          <w:b/>
          <w:sz w:val="20"/>
        </w:rPr>
        <w:t>Critical Comparative Synthesis</w:t>
      </w:r>
      <w:r>
        <w:rPr>
          <w:rFonts w:ascii="Times New Roman" w:hAnsi="Times New Roman"/>
          <w:sz w:val="20"/>
        </w:rPr>
        <w:t>: While 2025–2026 VLMs achieve high extraction accuracy on generic single-page documents, current evaluation benchmarks exhibit three key limitations when applied to academic credentials: (1) metrics rely on unnormalized string matching that penalizes benign representation differences (e.g., date syntax 2026-08-04 vs August 4, 2026); (2) benchmarks lack dedicated protocols for multi-column tabular grade arrays [29]; and (3) robustness is rarely evaluated across systematic physical optical degradation matrices [27], [30], [33].</w:t>
      </w:r>
    </w:p>
    <w:p w14:paraId="17A394DD">
      <w:pPr>
        <w:keepNext/>
        <w:spacing w:before="200" w:after="80"/>
        <w:jc w:val="both"/>
        <w:outlineLvl w:val="1"/>
      </w:pPr>
      <w:r>
        <w:rPr>
          <w:rFonts w:ascii="Times New Roman" w:hAnsi="Times New Roman"/>
          <w:b/>
          <w:color w:val="333333"/>
          <w:sz w:val="23"/>
        </w:rPr>
        <w:t>2.3 Synthetic Document Generation Paradigms (2024–2026)</w:t>
      </w:r>
    </w:p>
    <w:p w14:paraId="6C515E3E">
      <w:pPr>
        <w:spacing w:before="40" w:after="80" w:line="276" w:lineRule="auto"/>
        <w:jc w:val="both"/>
      </w:pPr>
      <w:r>
        <w:rPr>
          <w:rFonts w:ascii="Times New Roman" w:hAnsi="Times New Roman"/>
          <w:sz w:val="20"/>
        </w:rPr>
        <w:t xml:space="preserve">To resolve privacy barriers enforced by educational data regulations (such as FERPA and GDPR [28], [35]), synthetic document generation has emerged as an essential data availability solution [17]. Fictional text rendering eliminates privacy risks while producing exact ground-truth annotations. Recent framework compilers like </w:t>
      </w:r>
      <w:r>
        <w:rPr>
          <w:rFonts w:ascii="Times New Roman" w:hAnsi="Times New Roman"/>
          <w:b/>
          <w:sz w:val="20"/>
        </w:rPr>
        <w:t>Typst</w:t>
      </w:r>
      <w:r>
        <w:rPr>
          <w:rFonts w:ascii="Times New Roman" w:hAnsi="Times New Roman"/>
          <w:sz w:val="20"/>
        </w:rPr>
        <w:t xml:space="preserve"> [29] enable vector PDF rendering with millimetre-exact layout control. ADBG v1.0 builds upon these paradigms by combining Typst template compilation with 14 physical optical degradation operators, producing synthetic credentials across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[26], [35].</w:t>
      </w:r>
    </w:p>
    <w:p w14:paraId="56A570CA">
      <w:pPr>
        <w:keepNext/>
        <w:spacing w:before="200" w:after="80"/>
        <w:jc w:val="both"/>
        <w:outlineLvl w:val="1"/>
      </w:pPr>
      <w:r>
        <w:rPr>
          <w:rFonts w:ascii="Times New Roman" w:hAnsi="Times New Roman"/>
          <w:b/>
          <w:color w:val="333333"/>
          <w:sz w:val="23"/>
        </w:rPr>
        <w:t>2.4 Benchmark Design Methodologies &amp; Optical Degradation Matrix</w:t>
      </w:r>
    </w:p>
    <w:p w14:paraId="16C8BB60">
      <w:pPr>
        <w:spacing w:before="40" w:after="80" w:line="276" w:lineRule="auto"/>
        <w:jc w:val="both"/>
      </w:pPr>
      <w:r>
        <w:rPr>
          <w:rFonts w:ascii="Times New Roman" w:hAnsi="Times New Roman"/>
          <w:sz w:val="20"/>
        </w:rPr>
        <w:t>Standardized benchmark construction relies on strict reproducibility protocols, verified execution pipelines, and controlled degradation evaluation [30], [31]. Physical document capture introduces optical artifacts (e.g., scanner noise, camera skew, resolution loss [27]). Furthermore, isolating extraction failures requires domain-specific semantic canonical normalization [25], [36] and automated structured error categorization [28], [37]. The AU DIC framework integrates these principles into a read-only evaluation pipeline with ground-truth pairing.</w:t>
      </w:r>
    </w:p>
    <w:p w14:paraId="16F2ADF2">
      <w:pPr>
        <w:keepNext/>
        <w:spacing w:before="200" w:after="80"/>
        <w:jc w:val="both"/>
        <w:outlineLvl w:val="1"/>
      </w:pPr>
      <w:r>
        <w:rPr>
          <w:rFonts w:ascii="Times New Roman" w:hAnsi="Times New Roman"/>
          <w:b/>
          <w:color w:val="333333"/>
          <w:sz w:val="23"/>
        </w:rPr>
        <w:t>2.5 Academic Credential &amp; Sensitive Administrative Document Analysis</w:t>
      </w:r>
    </w:p>
    <w:p w14:paraId="2CC2A5D4">
      <w:pPr>
        <w:spacing w:before="40" w:after="80" w:line="276" w:lineRule="auto"/>
        <w:jc w:val="both"/>
      </w:pPr>
      <w:r>
        <w:rPr>
          <w:rFonts w:ascii="Times New Roman" w:hAnsi="Times New Roman"/>
          <w:sz w:val="20"/>
        </w:rPr>
        <w:t>Academic administrative documents (degree certificates, marksheets, student ID cards) present distinct challenges compared to retail receipts or commercial invoices: (1) strict statutory privacy prohibitions on public dissemination [28], [35]; (2) dense tabular subject arrays containing course codes, credit hours, and numerical grades [29]; and (3) institutional alias variations requiring domain-specific canonical normalization [25], [26], [36].</w:t>
      </w:r>
    </w:p>
    <w:p w14:paraId="2EC13B83">
      <w:pPr>
        <w:spacing w:before="40" w:after="80" w:line="276" w:lineRule="auto"/>
      </w:pPr>
      <w:r>
        <w:t xml:space="preserve">Table I provides a comprehensive comparative analysis contrasting ADBG v1.0 and the AU DIC framework against foundational benchmarks and modern 2025–2026 Document AI paradigms.</w:t>
      </w:r>
    </w:p>
    <w:p w14:paraId="50009E26">
      <w:pPr>
        <w:keepNext/>
        <w:spacing w:before="80" w:after="160"/>
        <w:jc w:val="center"/>
      </w:pPr>
      <w:r>
        <w:t xml:space="preserve">Table I: Comprehensive Comparative Matrix of Document Intelligence Benchmarks &amp; Evaluation Paradigms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18"/>
        <w:gridCol w:w="637"/>
        <w:gridCol w:w="1096"/>
        <w:gridCol w:w="1453"/>
        <w:gridCol w:w="974"/>
        <w:gridCol w:w="1212"/>
        <w:gridCol w:w="1361"/>
        <w:gridCol w:w="1669"/>
      </w:tblGrid>
      <w:tr w14:paraId="390BA0C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6F06B291">
            <w:pPr>
              <w:spacing w:before="40" w:after="40"/>
              <w:jc w:val="center"/>
            </w:pPr>
            <w:r>
              <w:rPr>
                <w:rFonts w:ascii="Times New Roman" w:hAnsi="Times New Roman"/>
                <w:b/>
                <w:color w:val="FFFFFF"/>
                <w:sz w:val="19"/>
              </w:rPr>
              <w:t>Benchmark / Model Paradigm</w:t>
            </w:r>
          </w:p>
        </w:tc>
        <w:tc>
          <w:tcPr>
            <w:tcW w:w="1170" w:type="dxa"/>
            <w:shd w:val="clear" w:color="auto" w:fill="003366"/>
            <w:tcMar>
              <w:top w:w="100" w:type="dxa"/>
              <w:left w:w="130" w:type="dxa"/>
              <w:bottom w:w="100" w:type="dxa"/>
              <w:right w:w="130" w:type="dxa"/>
            </w:tcMar>
          </w:tcPr>
          <w:p w14:paraId="22D2E873">
            <w:pPr>
              <w:spacing w:before="40" w:after="40"/>
              <w:jc w:val="center"/>
            </w:pPr>
            <w:r>
              <w:rPr>
                <w:rFonts w:ascii="Times New Roman" w:hAnsi="Times New Roman"/>
                <w:b/>
                <w:color w:val="FFFFFF"/>
                <w:sz w:val="19"/>
              </w:rPr>
              <w:t>Year</w:t>
            </w:r>
          </w:p>
        </w:tc>
        <w:tc>
          <w:tcPr>
            <w:tcW w:w="1170" w:type="dxa"/>
            <w:shd w:val="clear" w:color="auto" w:fill="003366"/>
            <w:tcMar>
              <w:top w:w="100" w:type="dxa"/>
              <w:left w:w="130" w:type="dxa"/>
              <w:bottom w:w="100" w:type="dxa"/>
              <w:right w:w="130" w:type="dxa"/>
            </w:tcMar>
          </w:tcPr>
          <w:p w14:paraId="2D5DD546">
            <w:pPr>
              <w:spacing w:before="40" w:after="40"/>
              <w:jc w:val="center"/>
            </w:pPr>
            <w:r>
              <w:rPr>
                <w:rFonts w:ascii="Times New Roman" w:hAnsi="Times New Roman"/>
                <w:b/>
                <w:color w:val="FFFFFF"/>
                <w:sz w:val="19"/>
              </w:rPr>
              <w:t>Document Domain</w:t>
            </w:r>
          </w:p>
        </w:tc>
        <w:tc>
          <w:tcPr>
            <w:tcW w:w="1170" w:type="dxa"/>
            <w:shd w:val="clear" w:color="auto" w:fill="003366"/>
            <w:tcMar>
              <w:top w:w="100" w:type="dxa"/>
              <w:left w:w="130" w:type="dxa"/>
              <w:bottom w:w="100" w:type="dxa"/>
              <w:right w:w="130" w:type="dxa"/>
            </w:tcMar>
          </w:tcPr>
          <w:p w14:paraId="0F933C27">
            <w:pPr>
              <w:spacing w:before="40" w:after="40"/>
              <w:jc w:val="center"/>
            </w:pPr>
            <w:r>
              <w:rPr>
                <w:rFonts w:ascii="Times New Roman" w:hAnsi="Times New Roman"/>
                <w:b/>
                <w:color w:val="FFFFFF"/>
                <w:sz w:val="19"/>
              </w:rPr>
              <w:t>Fully Synthetic Data</w:t>
            </w:r>
          </w:p>
        </w:tc>
        <w:tc>
          <w:tcPr>
            <w:tcW w:w="1170" w:type="dxa"/>
            <w:shd w:val="clear" w:color="auto" w:fill="003366"/>
            <w:tcMar>
              <w:top w:w="100" w:type="dxa"/>
              <w:left w:w="130" w:type="dxa"/>
              <w:bottom w:w="100" w:type="dxa"/>
              <w:right w:w="130" w:type="dxa"/>
            </w:tcMar>
          </w:tcPr>
          <w:p w14:paraId="70FC4D72">
            <w:pPr>
              <w:spacing w:before="40" w:after="40"/>
              <w:jc w:val="center"/>
            </w:pPr>
            <w:r>
              <w:rPr>
                <w:rFonts w:ascii="Times New Roman" w:hAnsi="Times New Roman"/>
                <w:b/>
                <w:color w:val="FFFFFF"/>
                <w:sz w:val="19"/>
              </w:rPr>
              <w:t>Tabular Grade Array Support</w:t>
            </w:r>
          </w:p>
        </w:tc>
        <w:tc>
          <w:tcPr>
            <w:tcW w:w="1170" w:type="dxa"/>
            <w:shd w:val="clear" w:color="auto" w:fill="003366"/>
            <w:tcMar>
              <w:top w:w="100" w:type="dxa"/>
              <w:left w:w="130" w:type="dxa"/>
              <w:bottom w:w="100" w:type="dxa"/>
              <w:right w:w="130" w:type="dxa"/>
            </w:tcMar>
          </w:tcPr>
          <w:p w14:paraId="67428837">
            <w:pPr>
              <w:spacing w:before="40" w:after="40"/>
              <w:jc w:val="center"/>
            </w:pPr>
            <w:r>
              <w:rPr>
                <w:rFonts w:ascii="Times New Roman" w:hAnsi="Times New Roman"/>
                <w:b/>
                <w:color w:val="FFFFFF"/>
                <w:sz w:val="19"/>
              </w:rPr>
              <w:t>Controlled Quality Degradation Matrix</w:t>
            </w:r>
          </w:p>
        </w:tc>
        <w:tc>
          <w:tcPr>
            <w:tcW w:w="1170" w:type="dxa"/>
            <w:shd w:val="clear" w:color="auto" w:fill="003366"/>
            <w:tcMar>
              <w:top w:w="100" w:type="dxa"/>
              <w:left w:w="130" w:type="dxa"/>
              <w:bottom w:w="100" w:type="dxa"/>
              <w:right w:w="130" w:type="dxa"/>
            </w:tcMar>
          </w:tcPr>
          <w:p w14:paraId="281BF2B0">
            <w:pPr>
              <w:spacing w:before="40" w:after="40"/>
              <w:jc w:val="center"/>
            </w:pPr>
            <w:r>
              <w:rPr>
                <w:rFonts w:ascii="Times New Roman" w:hAnsi="Times New Roman"/>
                <w:b/>
                <w:color w:val="FFFFFF"/>
                <w:sz w:val="19"/>
              </w:rPr>
              <w:t>Semantic Canonical Normalization</w:t>
            </w:r>
          </w:p>
        </w:tc>
        <w:tc>
          <w:tcPr>
            <w:tcW w:w="1170" w:type="dxa"/>
            <w:shd w:val="clear" w:color="auto" w:fill="003366"/>
            <w:tcMar>
              <w:top w:w="100" w:type="dxa"/>
              <w:left w:w="130" w:type="dxa"/>
              <w:bottom w:w="100" w:type="dxa"/>
              <w:right w:w="130" w:type="dxa"/>
            </w:tcMar>
          </w:tcPr>
          <w:p w14:paraId="18B36868">
            <w:pPr>
              <w:spacing w:before="40" w:after="40"/>
              <w:jc w:val="center"/>
            </w:pPr>
            <w:r>
              <w:rPr>
                <w:rFonts w:ascii="Times New Roman" w:hAnsi="Times New Roman"/>
                <w:b/>
                <w:color w:val="FFFFFF"/>
                <w:sz w:val="19"/>
              </w:rPr>
              <w:t>Academic Credentials Domain</w:t>
            </w:r>
          </w:p>
        </w:tc>
      </w:tr>
      <w:tr w14:paraId="3281E39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580796C">
            <w:pPr>
              <w:spacing w:before="40" w:after="40"/>
              <w:jc w:val="left"/>
            </w:pPr>
            <w:r>
              <w:rPr>
                <w:rFonts w:ascii="Times New Roman" w:hAnsi="Times New Roman"/>
                <w:b/>
                <w:sz w:val="18"/>
              </w:rPr>
              <w:t>RVL-CDIP</w:t>
            </w:r>
            <w:r>
              <w:rPr>
                <w:rFonts w:ascii="Times New Roman" w:hAnsi="Times New Roman"/>
                <w:sz w:val="18"/>
              </w:rPr>
              <w:t xml:space="preserve"> (Harley et al. [1])</w:t>
            </w:r>
          </w:p>
        </w:tc>
        <w:tc>
          <w:tcPr>
            <w:tcW w:w="1170" w:type="dxa"/>
            <w:shd w:val="clear" w:color="auto" w:fill="FFFFFF"/>
            <w:tcMar>
              <w:top w:w="100" w:type="dxa"/>
              <w:left w:w="130" w:type="dxa"/>
              <w:bottom w:w="100" w:type="dxa"/>
              <w:right w:w="130" w:type="dxa"/>
            </w:tcMar>
          </w:tcPr>
          <w:p w14:paraId="30CA6361">
            <w:pPr>
              <w:spacing w:before="40" w:after="40"/>
              <w:jc w:val="center"/>
            </w:pPr>
            <w:r>
              <w:rPr>
                <w:rFonts w:ascii="Times New Roman" w:hAnsi="Times New Roman"/>
                <w:sz w:val="18"/>
              </w:rPr>
              <w:t>2015</w:t>
            </w:r>
          </w:p>
        </w:tc>
        <w:tc>
          <w:tcPr>
            <w:tcW w:w="1170" w:type="dxa"/>
            <w:shd w:val="clear" w:color="auto" w:fill="FFFFFF"/>
            <w:tcMar>
              <w:top w:w="100" w:type="dxa"/>
              <w:left w:w="130" w:type="dxa"/>
              <w:bottom w:w="100" w:type="dxa"/>
              <w:right w:w="130" w:type="dxa"/>
            </w:tcMar>
          </w:tcPr>
          <w:p w14:paraId="12F367B5">
            <w:pPr>
              <w:spacing w:before="40" w:after="40"/>
              <w:jc w:val="center"/>
            </w:pPr>
            <w:r>
              <w:rPr>
                <w:rFonts w:ascii="Times New Roman" w:hAnsi="Times New Roman"/>
                <w:sz w:val="18"/>
              </w:rPr>
              <w:t>Business Forms</w:t>
            </w:r>
          </w:p>
        </w:tc>
        <w:tc>
          <w:tcPr>
            <w:tcW w:w="1170" w:type="dxa"/>
            <w:shd w:val="clear" w:color="auto" w:fill="FFFFFF"/>
            <w:tcMar>
              <w:top w:w="100" w:type="dxa"/>
              <w:left w:w="130" w:type="dxa"/>
              <w:bottom w:w="100" w:type="dxa"/>
              <w:right w:w="130" w:type="dxa"/>
            </w:tcMar>
          </w:tcPr>
          <w:p w14:paraId="17D6B3F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C0530B3">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282380C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7B2002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8E5CCF">
            <w:pPr>
              <w:spacing w:before="40" w:after="40"/>
              <w:jc w:val="center"/>
            </w:pPr>
            <w:r>
              <w:rPr>
                <w:rFonts w:ascii="Times New Roman" w:hAnsi="Times New Roman"/>
                <w:sz w:val="18"/>
              </w:rPr>
              <w:t>No</w:t>
            </w:r>
          </w:p>
        </w:tc>
      </w:tr>
      <w:tr w14:paraId="39A20E6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12F0EB">
            <w:pPr>
              <w:spacing w:before="40" w:after="40"/>
              <w:jc w:val="left"/>
            </w:pPr>
            <w:r>
              <w:rPr>
                <w:rFonts w:ascii="Times New Roman" w:hAnsi="Times New Roman"/>
                <w:b/>
                <w:sz w:val="18"/>
              </w:rPr>
              <w:t>SROIE</w:t>
            </w:r>
            <w:r>
              <w:rPr>
                <w:rFonts w:ascii="Times New Roman" w:hAnsi="Times New Roman"/>
                <w:sz w:val="18"/>
              </w:rPr>
              <w:t xml:space="preserve"> (Huang et al. [2])</w:t>
            </w:r>
          </w:p>
        </w:tc>
        <w:tc>
          <w:tcPr>
            <w:tcW w:w="1170" w:type="dxa"/>
            <w:shd w:val="clear" w:color="auto" w:fill="F8F9FA"/>
            <w:tcMar>
              <w:top w:w="100" w:type="dxa"/>
              <w:left w:w="130" w:type="dxa"/>
              <w:bottom w:w="100" w:type="dxa"/>
              <w:right w:w="130" w:type="dxa"/>
            </w:tcMar>
          </w:tcPr>
          <w:p w14:paraId="07A1338A">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33856CA3">
            <w:pPr>
              <w:spacing w:before="40" w:after="40"/>
              <w:jc w:val="center"/>
            </w:pPr>
            <w:r>
              <w:rPr>
                <w:rFonts w:ascii="Times New Roman" w:hAnsi="Times New Roman"/>
                <w:sz w:val="18"/>
              </w:rPr>
              <w:t>Receipts</w:t>
            </w:r>
          </w:p>
        </w:tc>
        <w:tc>
          <w:tcPr>
            <w:tcW w:w="1170" w:type="dxa"/>
            <w:shd w:val="clear" w:color="auto" w:fill="F8F9FA"/>
            <w:tcMar>
              <w:top w:w="100" w:type="dxa"/>
              <w:left w:w="130" w:type="dxa"/>
              <w:bottom w:w="100" w:type="dxa"/>
              <w:right w:w="130" w:type="dxa"/>
            </w:tcMar>
          </w:tcPr>
          <w:p w14:paraId="08AC09A8">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7B16C42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F2D597C">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7EEBAC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A28EA94">
            <w:pPr>
              <w:spacing w:before="40" w:after="40"/>
              <w:jc w:val="center"/>
            </w:pPr>
            <w:r>
              <w:rPr>
                <w:rFonts w:ascii="Times New Roman" w:hAnsi="Times New Roman"/>
                <w:sz w:val="18"/>
              </w:rPr>
              <w:t>No</w:t>
            </w:r>
          </w:p>
        </w:tc>
      </w:tr>
      <w:tr w14:paraId="1A68EA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3D1311A">
            <w:pPr>
              <w:spacing w:before="40" w:after="40"/>
              <w:jc w:val="left"/>
            </w:pPr>
            <w:r>
              <w:rPr>
                <w:rFonts w:ascii="Times New Roman" w:hAnsi="Times New Roman"/>
                <w:b/>
                <w:sz w:val="18"/>
              </w:rPr>
              <w:t>CORD</w:t>
            </w:r>
            <w:r>
              <w:rPr>
                <w:rFonts w:ascii="Times New Roman" w:hAnsi="Times New Roman"/>
                <w:sz w:val="18"/>
              </w:rPr>
              <w:t xml:space="preserve"> (Park et al. [3])</w:t>
            </w:r>
          </w:p>
        </w:tc>
        <w:tc>
          <w:tcPr>
            <w:tcW w:w="1170" w:type="dxa"/>
            <w:shd w:val="clear" w:color="auto" w:fill="FFFFFF"/>
            <w:tcMar>
              <w:top w:w="100" w:type="dxa"/>
              <w:left w:w="130" w:type="dxa"/>
              <w:bottom w:w="100" w:type="dxa"/>
              <w:right w:w="130" w:type="dxa"/>
            </w:tcMar>
          </w:tcPr>
          <w:p w14:paraId="1857DCB4">
            <w:pPr>
              <w:spacing w:before="40" w:after="40"/>
              <w:jc w:val="center"/>
            </w:pPr>
            <w:r>
              <w:rPr>
                <w:rFonts w:ascii="Times New Roman" w:hAnsi="Times New Roman"/>
                <w:sz w:val="18"/>
              </w:rPr>
              <w:t>2019</w:t>
            </w:r>
          </w:p>
        </w:tc>
        <w:tc>
          <w:tcPr>
            <w:tcW w:w="1170" w:type="dxa"/>
            <w:shd w:val="clear" w:color="auto" w:fill="FFFFFF"/>
            <w:tcMar>
              <w:top w:w="100" w:type="dxa"/>
              <w:left w:w="130" w:type="dxa"/>
              <w:bottom w:w="100" w:type="dxa"/>
              <w:right w:w="130" w:type="dxa"/>
            </w:tcMar>
          </w:tcPr>
          <w:p w14:paraId="09195013">
            <w:pPr>
              <w:spacing w:before="40" w:after="40"/>
              <w:jc w:val="center"/>
            </w:pPr>
            <w:r>
              <w:rPr>
                <w:rFonts w:ascii="Times New Roman" w:hAnsi="Times New Roman"/>
                <w:sz w:val="18"/>
              </w:rPr>
              <w:t>Receipts</w:t>
            </w:r>
          </w:p>
        </w:tc>
        <w:tc>
          <w:tcPr>
            <w:tcW w:w="1170" w:type="dxa"/>
            <w:shd w:val="clear" w:color="auto" w:fill="FFFFFF"/>
            <w:tcMar>
              <w:top w:w="100" w:type="dxa"/>
              <w:left w:w="130" w:type="dxa"/>
              <w:bottom w:w="100" w:type="dxa"/>
              <w:right w:w="130" w:type="dxa"/>
            </w:tcMar>
          </w:tcPr>
          <w:p w14:paraId="3A8B5D3E">
            <w:pPr>
              <w:spacing w:before="40" w:after="40"/>
              <w:jc w:val="center"/>
            </w:pPr>
            <w:r>
              <w:rPr>
                <w:rFonts w:ascii="Times New Roman" w:hAnsi="Times New Roman"/>
                <w:sz w:val="18"/>
              </w:rPr>
              <w:t>No (Anonymized)</w:t>
            </w:r>
          </w:p>
        </w:tc>
        <w:tc>
          <w:tcPr>
            <w:tcW w:w="1170" w:type="dxa"/>
            <w:shd w:val="clear" w:color="auto" w:fill="FFFFFF"/>
            <w:tcMar>
              <w:top w:w="100" w:type="dxa"/>
              <w:left w:w="130" w:type="dxa"/>
              <w:bottom w:w="100" w:type="dxa"/>
              <w:right w:w="130" w:type="dxa"/>
            </w:tcMar>
          </w:tcPr>
          <w:p w14:paraId="4AA7F229">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26405F12">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8ED8BE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97F371">
            <w:pPr>
              <w:spacing w:before="40" w:after="40"/>
              <w:jc w:val="center"/>
            </w:pPr>
            <w:r>
              <w:rPr>
                <w:rFonts w:ascii="Times New Roman" w:hAnsi="Times New Roman"/>
                <w:sz w:val="18"/>
              </w:rPr>
              <w:t>No</w:t>
            </w:r>
          </w:p>
        </w:tc>
      </w:tr>
      <w:tr w14:paraId="7980EC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34D136B6">
            <w:pPr>
              <w:spacing w:before="40" w:after="40"/>
              <w:jc w:val="left"/>
            </w:pPr>
            <w:r>
              <w:rPr>
                <w:rFonts w:ascii="Times New Roman" w:hAnsi="Times New Roman"/>
                <w:b/>
                <w:sz w:val="18"/>
              </w:rPr>
              <w:t>FUNSD</w:t>
            </w:r>
            <w:r>
              <w:rPr>
                <w:rFonts w:ascii="Times New Roman" w:hAnsi="Times New Roman"/>
                <w:sz w:val="18"/>
              </w:rPr>
              <w:t xml:space="preserve"> (Jaume et al. [4])</w:t>
            </w:r>
          </w:p>
        </w:tc>
        <w:tc>
          <w:tcPr>
            <w:tcW w:w="1170" w:type="dxa"/>
            <w:shd w:val="clear" w:color="auto" w:fill="F8F9FA"/>
            <w:tcMar>
              <w:top w:w="100" w:type="dxa"/>
              <w:left w:w="130" w:type="dxa"/>
              <w:bottom w:w="100" w:type="dxa"/>
              <w:right w:w="130" w:type="dxa"/>
            </w:tcMar>
          </w:tcPr>
          <w:p w14:paraId="6110C5C0">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49DDD9AB">
            <w:pPr>
              <w:spacing w:before="40" w:after="40"/>
              <w:jc w:val="center"/>
            </w:pPr>
            <w:r>
              <w:rPr>
                <w:rFonts w:ascii="Times New Roman" w:hAnsi="Times New Roman"/>
                <w:sz w:val="18"/>
              </w:rPr>
              <w:t>Noisy Forms</w:t>
            </w:r>
          </w:p>
        </w:tc>
        <w:tc>
          <w:tcPr>
            <w:tcW w:w="1170" w:type="dxa"/>
            <w:shd w:val="clear" w:color="auto" w:fill="F8F9FA"/>
            <w:tcMar>
              <w:top w:w="100" w:type="dxa"/>
              <w:left w:w="130" w:type="dxa"/>
              <w:bottom w:w="100" w:type="dxa"/>
              <w:right w:w="130" w:type="dxa"/>
            </w:tcMar>
          </w:tcPr>
          <w:p w14:paraId="370B136A">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64B5BF3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804DB6F">
            <w:pPr>
              <w:spacing w:before="40" w:after="40"/>
              <w:jc w:val="center"/>
            </w:pPr>
            <w:r>
              <w:rPr>
                <w:rFonts w:ascii="Times New Roman" w:hAnsi="Times New Roman"/>
                <w:sz w:val="18"/>
              </w:rPr>
              <w:t>Static Noise</w:t>
            </w:r>
          </w:p>
        </w:tc>
        <w:tc>
          <w:tcPr>
            <w:tcW w:w="1170" w:type="dxa"/>
            <w:shd w:val="clear" w:color="auto" w:fill="F8F9FA"/>
            <w:tcMar>
              <w:top w:w="100" w:type="dxa"/>
              <w:left w:w="130" w:type="dxa"/>
              <w:bottom w:w="100" w:type="dxa"/>
              <w:right w:w="130" w:type="dxa"/>
            </w:tcMar>
          </w:tcPr>
          <w:p w14:paraId="2C41314B">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122B781">
            <w:pPr>
              <w:spacing w:before="40" w:after="40"/>
              <w:jc w:val="center"/>
            </w:pPr>
            <w:r>
              <w:rPr>
                <w:rFonts w:ascii="Times New Roman" w:hAnsi="Times New Roman"/>
                <w:sz w:val="18"/>
              </w:rPr>
              <w:t>No</w:t>
            </w:r>
          </w:p>
        </w:tc>
      </w:tr>
      <w:tr w14:paraId="4A3265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A885B4A">
            <w:pPr>
              <w:spacing w:before="40" w:after="40"/>
              <w:jc w:val="left"/>
            </w:pPr>
            <w:r>
              <w:rPr>
                <w:rFonts w:ascii="Times New Roman" w:hAnsi="Times New Roman"/>
                <w:b/>
                <w:sz w:val="18"/>
              </w:rPr>
              <w:t>DocVQA</w:t>
            </w:r>
            <w:r>
              <w:rPr>
                <w:rFonts w:ascii="Times New Roman" w:hAnsi="Times New Roman"/>
                <w:sz w:val="18"/>
              </w:rPr>
              <w:t xml:space="preserve"> (Mathew et al. [5])</w:t>
            </w:r>
          </w:p>
        </w:tc>
        <w:tc>
          <w:tcPr>
            <w:tcW w:w="1170" w:type="dxa"/>
            <w:shd w:val="clear" w:color="auto" w:fill="FFFFFF"/>
            <w:tcMar>
              <w:top w:w="100" w:type="dxa"/>
              <w:left w:w="130" w:type="dxa"/>
              <w:bottom w:w="100" w:type="dxa"/>
              <w:right w:w="130" w:type="dxa"/>
            </w:tcMar>
          </w:tcPr>
          <w:p w14:paraId="34E6588C">
            <w:pPr>
              <w:spacing w:before="40" w:after="40"/>
              <w:jc w:val="center"/>
            </w:pPr>
            <w:r>
              <w:rPr>
                <w:rFonts w:ascii="Times New Roman" w:hAnsi="Times New Roman"/>
                <w:sz w:val="18"/>
              </w:rPr>
              <w:t>2021</w:t>
            </w:r>
          </w:p>
        </w:tc>
        <w:tc>
          <w:tcPr>
            <w:tcW w:w="1170" w:type="dxa"/>
            <w:shd w:val="clear" w:color="auto" w:fill="FFFFFF"/>
            <w:tcMar>
              <w:top w:w="100" w:type="dxa"/>
              <w:left w:w="130" w:type="dxa"/>
              <w:bottom w:w="100" w:type="dxa"/>
              <w:right w:w="130" w:type="dxa"/>
            </w:tcMar>
          </w:tcPr>
          <w:p w14:paraId="5F115FE0">
            <w:pPr>
              <w:spacing w:before="40" w:after="40"/>
              <w:jc w:val="center"/>
            </w:pPr>
            <w:r>
              <w:rPr>
                <w:rFonts w:ascii="Times New Roman" w:hAnsi="Times New Roman"/>
                <w:sz w:val="18"/>
              </w:rPr>
              <w:t>Mixed Documents</w:t>
            </w:r>
          </w:p>
        </w:tc>
        <w:tc>
          <w:tcPr>
            <w:tcW w:w="1170" w:type="dxa"/>
            <w:shd w:val="clear" w:color="auto" w:fill="FFFFFF"/>
            <w:tcMar>
              <w:top w:w="100" w:type="dxa"/>
              <w:left w:w="130" w:type="dxa"/>
              <w:bottom w:w="100" w:type="dxa"/>
              <w:right w:w="130" w:type="dxa"/>
            </w:tcMar>
          </w:tcPr>
          <w:p w14:paraId="5064B06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DD84CAB">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6A7EA7E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34EE8FA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8472B49">
            <w:pPr>
              <w:spacing w:before="40" w:after="40"/>
              <w:jc w:val="center"/>
            </w:pPr>
            <w:r>
              <w:rPr>
                <w:rFonts w:ascii="Times New Roman" w:hAnsi="Times New Roman"/>
                <w:sz w:val="18"/>
              </w:rPr>
              <w:t>No</w:t>
            </w:r>
          </w:p>
        </w:tc>
      </w:tr>
      <w:tr w14:paraId="5F3EFAC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6F71C5ED">
            <w:pPr>
              <w:spacing w:before="40" w:after="40"/>
              <w:jc w:val="left"/>
            </w:pPr>
            <w:r>
              <w:rPr>
                <w:rFonts w:ascii="Times New Roman" w:hAnsi="Times New Roman"/>
                <w:b/>
                <w:sz w:val="18"/>
              </w:rPr>
              <w:t>LayoutLMv3</w:t>
            </w:r>
            <w:r>
              <w:rPr>
                <w:rFonts w:ascii="Times New Roman" w:hAnsi="Times New Roman"/>
                <w:sz w:val="18"/>
              </w:rPr>
              <w:t xml:space="preserve"> (Huang et al. [6])</w:t>
            </w:r>
          </w:p>
        </w:tc>
        <w:tc>
          <w:tcPr>
            <w:tcW w:w="1170" w:type="dxa"/>
            <w:shd w:val="clear" w:color="auto" w:fill="F8F9FA"/>
            <w:tcMar>
              <w:top w:w="100" w:type="dxa"/>
              <w:left w:w="130" w:type="dxa"/>
              <w:bottom w:w="100" w:type="dxa"/>
              <w:right w:w="130" w:type="dxa"/>
            </w:tcMar>
          </w:tcPr>
          <w:p w14:paraId="1C1AF0A6">
            <w:pPr>
              <w:spacing w:before="40" w:after="40"/>
              <w:jc w:val="center"/>
            </w:pPr>
            <w:r>
              <w:rPr>
                <w:rFonts w:ascii="Times New Roman" w:hAnsi="Times New Roman"/>
                <w:sz w:val="18"/>
              </w:rPr>
              <w:t>2022</w:t>
            </w:r>
          </w:p>
        </w:tc>
        <w:tc>
          <w:tcPr>
            <w:tcW w:w="1170" w:type="dxa"/>
            <w:shd w:val="clear" w:color="auto" w:fill="F8F9FA"/>
            <w:tcMar>
              <w:top w:w="100" w:type="dxa"/>
              <w:left w:w="130" w:type="dxa"/>
              <w:bottom w:w="100" w:type="dxa"/>
              <w:right w:w="130" w:type="dxa"/>
            </w:tcMar>
          </w:tcPr>
          <w:p w14:paraId="73C9A564">
            <w:pPr>
              <w:spacing w:before="40" w:after="40"/>
              <w:jc w:val="center"/>
            </w:pPr>
            <w:r>
              <w:rPr>
                <w:rFonts w:ascii="Times New Roman" w:hAnsi="Times New Roman"/>
                <w:sz w:val="18"/>
              </w:rPr>
              <w:t>Business Forms</w:t>
            </w:r>
          </w:p>
        </w:tc>
        <w:tc>
          <w:tcPr>
            <w:tcW w:w="1170" w:type="dxa"/>
            <w:shd w:val="clear" w:color="auto" w:fill="F8F9FA"/>
            <w:tcMar>
              <w:top w:w="100" w:type="dxa"/>
              <w:left w:w="130" w:type="dxa"/>
              <w:bottom w:w="100" w:type="dxa"/>
              <w:right w:w="130" w:type="dxa"/>
            </w:tcMar>
          </w:tcPr>
          <w:p w14:paraId="39D1AE30">
            <w:pPr>
              <w:spacing w:before="40" w:after="40"/>
              <w:jc w:val="center"/>
            </w:pPr>
            <w:r>
              <w:rPr>
                <w:rFonts w:ascii="Times New Roman" w:hAnsi="Times New Roman"/>
                <w:sz w:val="18"/>
              </w:rPr>
              <w:t>No (Mixed)</w:t>
            </w:r>
          </w:p>
        </w:tc>
        <w:tc>
          <w:tcPr>
            <w:tcW w:w="1170" w:type="dxa"/>
            <w:shd w:val="clear" w:color="auto" w:fill="F8F9FA"/>
            <w:tcMar>
              <w:top w:w="100" w:type="dxa"/>
              <w:left w:w="130" w:type="dxa"/>
              <w:bottom w:w="100" w:type="dxa"/>
              <w:right w:w="130" w:type="dxa"/>
            </w:tcMar>
          </w:tcPr>
          <w:p w14:paraId="5F65C017">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4D1A6D56">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56D0F8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46B6D7A">
            <w:pPr>
              <w:spacing w:before="40" w:after="40"/>
              <w:jc w:val="center"/>
            </w:pPr>
            <w:r>
              <w:rPr>
                <w:rFonts w:ascii="Times New Roman" w:hAnsi="Times New Roman"/>
                <w:sz w:val="18"/>
              </w:rPr>
              <w:t>No</w:t>
            </w:r>
          </w:p>
        </w:tc>
      </w:tr>
      <w:tr w14:paraId="2C6519C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C5A2596">
            <w:pPr>
              <w:spacing w:before="40" w:after="40"/>
              <w:jc w:val="left"/>
            </w:pPr>
            <w:r>
              <w:rPr>
                <w:rFonts w:ascii="Times New Roman" w:hAnsi="Times New Roman"/>
                <w:b/>
                <w:sz w:val="18"/>
              </w:rPr>
              <w:t>Donut</w:t>
            </w:r>
            <w:r>
              <w:rPr>
                <w:rFonts w:ascii="Times New Roman" w:hAnsi="Times New Roman"/>
                <w:sz w:val="18"/>
              </w:rPr>
              <w:t xml:space="preserve"> (Kim et al. [7])</w:t>
            </w:r>
          </w:p>
        </w:tc>
        <w:tc>
          <w:tcPr>
            <w:tcW w:w="1170" w:type="dxa"/>
            <w:shd w:val="clear" w:color="auto" w:fill="FFFFFF"/>
            <w:tcMar>
              <w:top w:w="100" w:type="dxa"/>
              <w:left w:w="130" w:type="dxa"/>
              <w:bottom w:w="100" w:type="dxa"/>
              <w:right w:w="130" w:type="dxa"/>
            </w:tcMar>
          </w:tcPr>
          <w:p w14:paraId="0AD25337">
            <w:pPr>
              <w:spacing w:before="40" w:after="40"/>
              <w:jc w:val="center"/>
            </w:pPr>
            <w:r>
              <w:rPr>
                <w:rFonts w:ascii="Times New Roman" w:hAnsi="Times New Roman"/>
                <w:sz w:val="18"/>
              </w:rPr>
              <w:t>2022</w:t>
            </w:r>
          </w:p>
        </w:tc>
        <w:tc>
          <w:tcPr>
            <w:tcW w:w="1170" w:type="dxa"/>
            <w:shd w:val="clear" w:color="auto" w:fill="FFFFFF"/>
            <w:tcMar>
              <w:top w:w="100" w:type="dxa"/>
              <w:left w:w="130" w:type="dxa"/>
              <w:bottom w:w="100" w:type="dxa"/>
              <w:right w:w="130" w:type="dxa"/>
            </w:tcMar>
          </w:tcPr>
          <w:p w14:paraId="47F03698">
            <w:pPr>
              <w:spacing w:before="40" w:after="40"/>
              <w:jc w:val="center"/>
            </w:pPr>
            <w:r>
              <w:rPr>
                <w:rFonts w:ascii="Times New Roman" w:hAnsi="Times New Roman"/>
                <w:sz w:val="18"/>
              </w:rPr>
              <w:t>Receipts &amp; Forms</w:t>
            </w:r>
          </w:p>
        </w:tc>
        <w:tc>
          <w:tcPr>
            <w:tcW w:w="1170" w:type="dxa"/>
            <w:shd w:val="clear" w:color="auto" w:fill="FFFFFF"/>
            <w:tcMar>
              <w:top w:w="100" w:type="dxa"/>
              <w:left w:w="130" w:type="dxa"/>
              <w:bottom w:w="100" w:type="dxa"/>
              <w:right w:w="130" w:type="dxa"/>
            </w:tcMar>
          </w:tcPr>
          <w:p w14:paraId="0DB24083">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490929B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754302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3E2543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A5CB4CA">
            <w:pPr>
              <w:spacing w:before="40" w:after="40"/>
              <w:jc w:val="center"/>
            </w:pPr>
            <w:r>
              <w:rPr>
                <w:rFonts w:ascii="Times New Roman" w:hAnsi="Times New Roman"/>
                <w:sz w:val="18"/>
              </w:rPr>
              <w:t>No</w:t>
            </w:r>
          </w:p>
        </w:tc>
      </w:tr>
      <w:tr w14:paraId="0C463C4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73BFD63">
            <w:pPr>
              <w:spacing w:before="40" w:after="40"/>
              <w:jc w:val="left"/>
            </w:pPr>
            <w:r>
              <w:rPr>
                <w:rFonts w:ascii="Times New Roman" w:hAnsi="Times New Roman"/>
                <w:b/>
                <w:sz w:val="18"/>
              </w:rPr>
              <w:t>Florence-2</w:t>
            </w:r>
            <w:r>
              <w:rPr>
                <w:rFonts w:ascii="Times New Roman" w:hAnsi="Times New Roman"/>
                <w:sz w:val="18"/>
              </w:rPr>
              <w:t xml:space="preserve"> (Xiao et al. [9])</w:t>
            </w:r>
          </w:p>
        </w:tc>
        <w:tc>
          <w:tcPr>
            <w:tcW w:w="1170" w:type="dxa"/>
            <w:shd w:val="clear" w:color="auto" w:fill="F8F9FA"/>
            <w:tcMar>
              <w:top w:w="100" w:type="dxa"/>
              <w:left w:w="130" w:type="dxa"/>
              <w:bottom w:w="100" w:type="dxa"/>
              <w:right w:w="130" w:type="dxa"/>
            </w:tcMar>
          </w:tcPr>
          <w:p w14:paraId="07E850A1">
            <w:pPr>
              <w:spacing w:before="40" w:after="40"/>
              <w:jc w:val="center"/>
            </w:pPr>
            <w:r>
              <w:rPr>
                <w:rFonts w:ascii="Times New Roman" w:hAnsi="Times New Roman"/>
                <w:sz w:val="18"/>
              </w:rPr>
              <w:t>2024</w:t>
            </w:r>
          </w:p>
        </w:tc>
        <w:tc>
          <w:tcPr>
            <w:tcW w:w="1170" w:type="dxa"/>
            <w:shd w:val="clear" w:color="auto" w:fill="F8F9FA"/>
            <w:tcMar>
              <w:top w:w="100" w:type="dxa"/>
              <w:left w:w="130" w:type="dxa"/>
              <w:bottom w:w="100" w:type="dxa"/>
              <w:right w:w="130" w:type="dxa"/>
            </w:tcMar>
          </w:tcPr>
          <w:p w14:paraId="0696591C">
            <w:pPr>
              <w:spacing w:before="40" w:after="40"/>
              <w:jc w:val="center"/>
            </w:pPr>
            <w:r>
              <w:rPr>
                <w:rFonts w:ascii="Times New Roman" w:hAnsi="Times New Roman"/>
                <w:sz w:val="18"/>
              </w:rPr>
              <w:t>Vision-Text</w:t>
            </w:r>
          </w:p>
        </w:tc>
        <w:tc>
          <w:tcPr>
            <w:tcW w:w="1170" w:type="dxa"/>
            <w:shd w:val="clear" w:color="auto" w:fill="F8F9FA"/>
            <w:tcMar>
              <w:top w:w="100" w:type="dxa"/>
              <w:left w:w="130" w:type="dxa"/>
              <w:bottom w:w="100" w:type="dxa"/>
              <w:right w:w="130" w:type="dxa"/>
            </w:tcMar>
          </w:tcPr>
          <w:p w14:paraId="0E6359D7">
            <w:pPr>
              <w:spacing w:before="40" w:after="40"/>
              <w:jc w:val="center"/>
            </w:pPr>
            <w:r>
              <w:rPr>
                <w:rFonts w:ascii="Times New Roman" w:hAnsi="Times New Roman"/>
                <w:sz w:val="18"/>
              </w:rPr>
              <w:t>Synthetic/Natural</w:t>
            </w:r>
          </w:p>
        </w:tc>
        <w:tc>
          <w:tcPr>
            <w:tcW w:w="1170" w:type="dxa"/>
            <w:shd w:val="clear" w:color="auto" w:fill="F8F9FA"/>
            <w:tcMar>
              <w:top w:w="100" w:type="dxa"/>
              <w:left w:w="130" w:type="dxa"/>
              <w:bottom w:w="100" w:type="dxa"/>
              <w:right w:w="130" w:type="dxa"/>
            </w:tcMar>
          </w:tcPr>
          <w:p w14:paraId="77B9BEE7">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3EE0E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135638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C8E0D5">
            <w:pPr>
              <w:spacing w:before="40" w:after="40"/>
              <w:jc w:val="center"/>
            </w:pPr>
            <w:r>
              <w:rPr>
                <w:rFonts w:ascii="Times New Roman" w:hAnsi="Times New Roman"/>
                <w:sz w:val="18"/>
              </w:rPr>
              <w:t>No</w:t>
            </w:r>
          </w:p>
        </w:tc>
      </w:tr>
      <w:tr w14:paraId="226FD1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1EBD7645">
            <w:pPr>
              <w:spacing w:before="40" w:after="40"/>
              <w:jc w:val="left"/>
            </w:pPr>
            <w:r>
              <w:rPr>
                <w:rFonts w:ascii="Times New Roman" w:hAnsi="Times New Roman"/>
                <w:b/>
                <w:sz w:val="18"/>
              </w:rPr>
              <w:t>DocOwl 2.0</w:t>
            </w:r>
            <w:r>
              <w:rPr>
                <w:rFonts w:ascii="Times New Roman" w:hAnsi="Times New Roman"/>
                <w:sz w:val="18"/>
              </w:rPr>
              <w:t xml:space="preserve"> (Hu et al. [10])</w:t>
            </w:r>
          </w:p>
        </w:tc>
        <w:tc>
          <w:tcPr>
            <w:tcW w:w="1170" w:type="dxa"/>
            <w:shd w:val="clear" w:color="auto" w:fill="FFFFFF"/>
            <w:tcMar>
              <w:top w:w="100" w:type="dxa"/>
              <w:left w:w="130" w:type="dxa"/>
              <w:bottom w:w="100" w:type="dxa"/>
              <w:right w:w="130" w:type="dxa"/>
            </w:tcMar>
          </w:tcPr>
          <w:p w14:paraId="4F838069">
            <w:pPr>
              <w:spacing w:before="40" w:after="40"/>
              <w:jc w:val="center"/>
            </w:pPr>
            <w:r>
              <w:rPr>
                <w:rFonts w:ascii="Times New Roman" w:hAnsi="Times New Roman"/>
                <w:sz w:val="18"/>
              </w:rPr>
              <w:t>2025</w:t>
            </w:r>
          </w:p>
        </w:tc>
        <w:tc>
          <w:tcPr>
            <w:tcW w:w="1170" w:type="dxa"/>
            <w:shd w:val="clear" w:color="auto" w:fill="FFFFFF"/>
            <w:tcMar>
              <w:top w:w="100" w:type="dxa"/>
              <w:left w:w="130" w:type="dxa"/>
              <w:bottom w:w="100" w:type="dxa"/>
              <w:right w:w="130" w:type="dxa"/>
            </w:tcMar>
          </w:tcPr>
          <w:p w14:paraId="2D0D3113">
            <w:pPr>
              <w:spacing w:before="40" w:after="40"/>
              <w:jc w:val="center"/>
            </w:pPr>
            <w:r>
              <w:rPr>
                <w:rFonts w:ascii="Times New Roman" w:hAnsi="Times New Roman"/>
                <w:sz w:val="18"/>
              </w:rPr>
              <w:t>General Docs</w:t>
            </w:r>
          </w:p>
        </w:tc>
        <w:tc>
          <w:tcPr>
            <w:tcW w:w="1170" w:type="dxa"/>
            <w:shd w:val="clear" w:color="auto" w:fill="FFFFFF"/>
            <w:tcMar>
              <w:top w:w="100" w:type="dxa"/>
              <w:left w:w="130" w:type="dxa"/>
              <w:bottom w:w="100" w:type="dxa"/>
              <w:right w:w="130" w:type="dxa"/>
            </w:tcMar>
          </w:tcPr>
          <w:p w14:paraId="16AFBF28">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0AEC86A2">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7A94984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0EEDA1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65B43B4">
            <w:pPr>
              <w:spacing w:before="40" w:after="40"/>
              <w:jc w:val="center"/>
            </w:pPr>
            <w:r>
              <w:rPr>
                <w:rFonts w:ascii="Times New Roman" w:hAnsi="Times New Roman"/>
                <w:sz w:val="18"/>
              </w:rPr>
              <w:t>No</w:t>
            </w:r>
          </w:p>
        </w:tc>
      </w:tr>
      <w:tr w14:paraId="16F5DC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F09198A">
            <w:pPr>
              <w:spacing w:before="40" w:after="40"/>
              <w:jc w:val="left"/>
            </w:pPr>
            <w:r>
              <w:rPr>
                <w:rFonts w:ascii="Times New Roman" w:hAnsi="Times New Roman"/>
                <w:b/>
                <w:sz w:val="18"/>
              </w:rPr>
              <w:t>Qwen2-VL</w:t>
            </w:r>
            <w:r>
              <w:rPr>
                <w:rFonts w:ascii="Times New Roman" w:hAnsi="Times New Roman"/>
                <w:sz w:val="18"/>
              </w:rPr>
              <w:t xml:space="preserve"> (Wang et al. [11])</w:t>
            </w:r>
          </w:p>
        </w:tc>
        <w:tc>
          <w:tcPr>
            <w:tcW w:w="1170" w:type="dxa"/>
            <w:shd w:val="clear" w:color="auto" w:fill="F8F9FA"/>
            <w:tcMar>
              <w:top w:w="100" w:type="dxa"/>
              <w:left w:w="130" w:type="dxa"/>
              <w:bottom w:w="100" w:type="dxa"/>
              <w:right w:w="130" w:type="dxa"/>
            </w:tcMar>
          </w:tcPr>
          <w:p w14:paraId="23737B6F">
            <w:pPr>
              <w:spacing w:before="40" w:after="40"/>
              <w:jc w:val="center"/>
            </w:pPr>
            <w:r>
              <w:rPr>
                <w:rFonts w:ascii="Times New Roman" w:hAnsi="Times New Roman"/>
                <w:sz w:val="18"/>
              </w:rPr>
              <w:t>2025</w:t>
            </w:r>
          </w:p>
        </w:tc>
        <w:tc>
          <w:tcPr>
            <w:tcW w:w="1170" w:type="dxa"/>
            <w:shd w:val="clear" w:color="auto" w:fill="F8F9FA"/>
            <w:tcMar>
              <w:top w:w="100" w:type="dxa"/>
              <w:left w:w="130" w:type="dxa"/>
              <w:bottom w:w="100" w:type="dxa"/>
              <w:right w:w="130" w:type="dxa"/>
            </w:tcMar>
          </w:tcPr>
          <w:p w14:paraId="76CAA679">
            <w:pPr>
              <w:spacing w:before="40" w:after="40"/>
              <w:jc w:val="center"/>
            </w:pPr>
            <w:r>
              <w:rPr>
                <w:rFonts w:ascii="Times New Roman" w:hAnsi="Times New Roman"/>
                <w:sz w:val="18"/>
              </w:rPr>
              <w:t>Multimodal Pages</w:t>
            </w:r>
          </w:p>
        </w:tc>
        <w:tc>
          <w:tcPr>
            <w:tcW w:w="1170" w:type="dxa"/>
            <w:shd w:val="clear" w:color="auto" w:fill="F8F9FA"/>
            <w:tcMar>
              <w:top w:w="100" w:type="dxa"/>
              <w:left w:w="130" w:type="dxa"/>
              <w:bottom w:w="100" w:type="dxa"/>
              <w:right w:w="130" w:type="dxa"/>
            </w:tcMar>
          </w:tcPr>
          <w:p w14:paraId="3E5B42C0">
            <w:pPr>
              <w:spacing w:before="40" w:after="40"/>
              <w:jc w:val="center"/>
            </w:pPr>
            <w:r>
              <w:rPr>
                <w:rFonts w:ascii="Times New Roman" w:hAnsi="Times New Roman"/>
                <w:sz w:val="18"/>
              </w:rPr>
              <w:t>Mixed</w:t>
            </w:r>
          </w:p>
        </w:tc>
        <w:tc>
          <w:tcPr>
            <w:tcW w:w="1170" w:type="dxa"/>
            <w:shd w:val="clear" w:color="auto" w:fill="F8F9FA"/>
            <w:tcMar>
              <w:top w:w="100" w:type="dxa"/>
              <w:left w:w="130" w:type="dxa"/>
              <w:bottom w:w="100" w:type="dxa"/>
              <w:right w:w="130" w:type="dxa"/>
            </w:tcMar>
          </w:tcPr>
          <w:p w14:paraId="529D5E64">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30AAB61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74CC888">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68EF129">
            <w:pPr>
              <w:spacing w:before="40" w:after="40"/>
              <w:jc w:val="center"/>
            </w:pPr>
            <w:r>
              <w:rPr>
                <w:rFonts w:ascii="Times New Roman" w:hAnsi="Times New Roman"/>
                <w:sz w:val="18"/>
              </w:rPr>
              <w:t>No</w:t>
            </w:r>
          </w:p>
        </w:tc>
      </w:tr>
      <w:tr w14:paraId="400CAF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103AC47">
            <w:pPr>
              <w:spacing w:before="40" w:after="40"/>
              <w:jc w:val="left"/>
            </w:pPr>
            <w:r>
              <w:rPr>
                <w:rFonts w:ascii="Times New Roman" w:hAnsi="Times New Roman"/>
                <w:b/>
                <w:sz w:val="18"/>
              </w:rPr>
              <w:t>DocFormers 2.0</w:t>
            </w:r>
            <w:r>
              <w:rPr>
                <w:rFonts w:ascii="Times New Roman" w:hAnsi="Times New Roman"/>
                <w:sz w:val="18"/>
              </w:rPr>
              <w:t xml:space="preserve"> (Zhao et al. [32])</w:t>
            </w:r>
          </w:p>
        </w:tc>
        <w:tc>
          <w:tcPr>
            <w:tcW w:w="1170" w:type="dxa"/>
            <w:shd w:val="clear" w:color="auto" w:fill="FFFFFF"/>
            <w:tcMar>
              <w:top w:w="100" w:type="dxa"/>
              <w:left w:w="130" w:type="dxa"/>
              <w:bottom w:w="100" w:type="dxa"/>
              <w:right w:w="130" w:type="dxa"/>
            </w:tcMar>
          </w:tcPr>
          <w:p w14:paraId="660E85BA">
            <w:pPr>
              <w:spacing w:before="40" w:after="40"/>
              <w:jc w:val="center"/>
            </w:pPr>
            <w:r>
              <w:rPr>
                <w:rFonts w:ascii="Times New Roman" w:hAnsi="Times New Roman"/>
                <w:sz w:val="18"/>
              </w:rPr>
              <w:t>2026</w:t>
            </w:r>
          </w:p>
        </w:tc>
        <w:tc>
          <w:tcPr>
            <w:tcW w:w="1170" w:type="dxa"/>
            <w:shd w:val="clear" w:color="auto" w:fill="FFFFFF"/>
            <w:tcMar>
              <w:top w:w="100" w:type="dxa"/>
              <w:left w:w="130" w:type="dxa"/>
              <w:bottom w:w="100" w:type="dxa"/>
              <w:right w:w="130" w:type="dxa"/>
            </w:tcMar>
          </w:tcPr>
          <w:p w14:paraId="7F36E26F">
            <w:pPr>
              <w:spacing w:before="40" w:after="40"/>
              <w:jc w:val="center"/>
            </w:pPr>
            <w:r>
              <w:rPr>
                <w:rFonts w:ascii="Times New Roman" w:hAnsi="Times New Roman"/>
                <w:sz w:val="18"/>
              </w:rPr>
              <w:t>Multimodal Pages</w:t>
            </w:r>
          </w:p>
        </w:tc>
        <w:tc>
          <w:tcPr>
            <w:tcW w:w="1170" w:type="dxa"/>
            <w:shd w:val="clear" w:color="auto" w:fill="FFFFFF"/>
            <w:tcMar>
              <w:top w:w="100" w:type="dxa"/>
              <w:left w:w="130" w:type="dxa"/>
              <w:bottom w:w="100" w:type="dxa"/>
              <w:right w:w="130" w:type="dxa"/>
            </w:tcMar>
          </w:tcPr>
          <w:p w14:paraId="2DB59D53">
            <w:pPr>
              <w:spacing w:before="40" w:after="40"/>
              <w:jc w:val="center"/>
            </w:pPr>
            <w:r>
              <w:rPr>
                <w:rFonts w:ascii="Times New Roman" w:hAnsi="Times New Roman"/>
                <w:sz w:val="18"/>
              </w:rPr>
              <w:t>Synthetic/Natural</w:t>
            </w:r>
          </w:p>
        </w:tc>
        <w:tc>
          <w:tcPr>
            <w:tcW w:w="1170" w:type="dxa"/>
            <w:shd w:val="clear" w:color="auto" w:fill="FFFFFF"/>
            <w:tcMar>
              <w:top w:w="100" w:type="dxa"/>
              <w:left w:w="130" w:type="dxa"/>
              <w:bottom w:w="100" w:type="dxa"/>
              <w:right w:w="130" w:type="dxa"/>
            </w:tcMar>
          </w:tcPr>
          <w:p w14:paraId="21426763">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58130C59">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ABD5D7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B88C695">
            <w:pPr>
              <w:spacing w:before="40" w:after="40"/>
              <w:jc w:val="center"/>
            </w:pPr>
            <w:r>
              <w:rPr>
                <w:rFonts w:ascii="Times New Roman" w:hAnsi="Times New Roman"/>
                <w:sz w:val="18"/>
              </w:rPr>
              <w:t>No</w:t>
            </w:r>
          </w:p>
        </w:tc>
      </w:tr>
      <w:tr w14:paraId="562D40E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0ECE5893">
            <w:pPr>
              <w:spacing w:before="40" w:after="40"/>
              <w:jc w:val="left"/>
            </w:pPr>
            <w:r>
              <w:rPr>
                <w:rFonts w:ascii="Times New Roman" w:hAnsi="Times New Roman"/>
                <w:b/>
                <w:sz w:val="18"/>
              </w:rPr>
              <w:t>ADBG v1.0 / AU DIC (Ours)</w:t>
            </w:r>
          </w:p>
        </w:tc>
        <w:tc>
          <w:tcPr>
            <w:tcW w:w="1170" w:type="dxa"/>
            <w:shd w:val="clear" w:color="auto" w:fill="F8F9FA"/>
            <w:tcMar>
              <w:top w:w="100" w:type="dxa"/>
              <w:left w:w="130" w:type="dxa"/>
              <w:bottom w:w="100" w:type="dxa"/>
              <w:right w:w="130" w:type="dxa"/>
            </w:tcMar>
          </w:tcPr>
          <w:p w14:paraId="2AB809F4">
            <w:pPr>
              <w:spacing w:before="40" w:after="40"/>
              <w:jc w:val="center"/>
            </w:pPr>
            <w:r>
              <w:rPr>
                <w:rFonts w:ascii="Times New Roman" w:hAnsi="Times New Roman"/>
                <w:b/>
                <w:sz w:val="18"/>
              </w:rPr>
              <w:t>2026</w:t>
            </w:r>
          </w:p>
        </w:tc>
        <w:tc>
          <w:tcPr>
            <w:tcW w:w="1170" w:type="dxa"/>
            <w:shd w:val="clear" w:color="auto" w:fill="F8F9FA"/>
            <w:tcMar>
              <w:top w:w="100" w:type="dxa"/>
              <w:left w:w="130" w:type="dxa"/>
              <w:bottom w:w="100" w:type="dxa"/>
              <w:right w:w="130" w:type="dxa"/>
            </w:tcMar>
          </w:tcPr>
          <w:p w14:paraId="692903A2">
            <w:pPr>
              <w:spacing w:before="40" w:after="40"/>
              <w:jc w:val="center"/>
            </w:pPr>
            <w:r>
              <w:rPr>
                <w:rFonts w:ascii="Times New Roman" w:hAnsi="Times New Roman"/>
                <w:b/>
                <w:sz w:val="18"/>
              </w:rPr>
              <w:t>Academic Credentials</w:t>
            </w:r>
          </w:p>
        </w:tc>
        <w:tc>
          <w:tcPr>
            <w:tcW w:w="1170" w:type="dxa"/>
            <w:shd w:val="clear" w:color="auto" w:fill="F8F9FA"/>
            <w:tcMar>
              <w:top w:w="100" w:type="dxa"/>
              <w:left w:w="130" w:type="dxa"/>
              <w:bottom w:w="100" w:type="dxa"/>
              <w:right w:w="130" w:type="dxa"/>
            </w:tcMar>
          </w:tcPr>
          <w:p w14:paraId="2DCDA38D">
            <w:pPr>
              <w:spacing w:before="40" w:after="40"/>
              <w:jc w:val="center"/>
            </w:pPr>
            <w:r>
              <w:rPr>
                <w:rFonts w:ascii="Times New Roman" w:hAnsi="Times New Roman"/>
                <w:b/>
                <w:sz w:val="18"/>
              </w:rPr>
              <w:t>Yes (100% Synthetic)</w:t>
            </w:r>
          </w:p>
        </w:tc>
        <w:tc>
          <w:tcPr>
            <w:tcW w:w="1170" w:type="dxa"/>
            <w:shd w:val="clear" w:color="auto" w:fill="F8F9FA"/>
            <w:tcMar>
              <w:top w:w="100" w:type="dxa"/>
              <w:left w:w="130" w:type="dxa"/>
              <w:bottom w:w="100" w:type="dxa"/>
              <w:right w:w="130" w:type="dxa"/>
            </w:tcMar>
          </w:tcPr>
          <w:p w14:paraId="51987CF1">
            <w:pPr>
              <w:spacing w:before="40" w:after="40"/>
              <w:jc w:val="center"/>
            </w:pPr>
            <w:r>
              <w:rPr>
                <w:rFonts w:ascii="Times New Roman" w:hAnsi="Times New Roman"/>
                <w:b/>
                <w:sz w:val="18"/>
              </w:rPr>
              <w:t>Yes (Semester Arrays)</w:t>
            </w:r>
          </w:p>
        </w:tc>
        <w:tc>
          <w:tcPr>
            <w:tcW w:w="1170" w:type="dxa"/>
            <w:shd w:val="clear" w:color="auto" w:fill="F8F9FA"/>
            <w:tcMar>
              <w:top w:w="100" w:type="dxa"/>
              <w:left w:w="130" w:type="dxa"/>
              <w:bottom w:w="100" w:type="dxa"/>
              <w:right w:w="130" w:type="dxa"/>
            </w:tcMar>
          </w:tcPr>
          <w:p w14:paraId="08759BC4">
            <w:pPr>
              <w:spacing w:before="40" w:after="40"/>
              <w:jc w:val="center"/>
            </w:pPr>
            <w:r>
              <w:rPr>
                <w:rFonts w:ascii="Times New Roman" w:hAnsi="Times New Roman"/>
                <w:b/>
                <w:sz w:val="18"/>
              </w:rPr>
              <w:t>Yes (4 Profiles)</w:t>
            </w:r>
          </w:p>
        </w:tc>
        <w:tc>
          <w:tcPr>
            <w:tcW w:w="1170" w:type="dxa"/>
            <w:shd w:val="clear" w:color="auto" w:fill="F8F9FA"/>
            <w:tcMar>
              <w:top w:w="100" w:type="dxa"/>
              <w:left w:w="130" w:type="dxa"/>
              <w:bottom w:w="100" w:type="dxa"/>
              <w:right w:w="130" w:type="dxa"/>
            </w:tcMar>
          </w:tcPr>
          <w:p w14:paraId="47FB331D">
            <w:pPr>
              <w:spacing w:before="40" w:after="40"/>
              <w:jc w:val="center"/>
            </w:pPr>
            <w:r>
              <w:rPr>
                <w:rFonts w:ascii="Times New Roman" w:hAnsi="Times New Roman"/>
                <w:b/>
                <w:sz w:val="18"/>
              </w:rPr>
              <w:t>Yes (6 Stages)</w:t>
            </w:r>
          </w:p>
        </w:tc>
        <w:tc>
          <w:tcPr>
            <w:tcW w:w="1170" w:type="dxa"/>
            <w:shd w:val="clear" w:color="auto" w:fill="F8F9FA"/>
            <w:tcMar>
              <w:top w:w="100" w:type="dxa"/>
              <w:left w:w="130" w:type="dxa"/>
              <w:bottom w:w="100" w:type="dxa"/>
              <w:right w:w="130" w:type="dxa"/>
            </w:tcMar>
          </w:tcPr>
          <w:p w14:paraId="633C70F9">
            <w:pPr>
              <w:spacing w:before="40" w:after="40"/>
              <w:jc w:val="center"/>
            </w:pPr>
            <w:r>
              <w:rPr>
                <w:rFonts w:ascii="Times New Roman" w:hAnsi="Times New Roman"/>
                <w:b/>
                <w:sz w:val="18"/>
              </w:rPr>
              <w:t>Yes (Certificates/Mark-sheets)</w:t>
            </w:r>
          </w:p>
        </w:tc>
      </w:tr>
    </w:tbl>
    <w:p w14:paraId="151491A5">
      <w:pPr>
        <w:keepNext/>
        <w:spacing w:before="200" w:after="80"/>
        <w:jc w:val="both"/>
        <w:outlineLvl w:val="1"/>
      </w:pPr>
      <w:r>
        <w:rPr>
          <w:rFonts w:ascii="Times New Roman" w:hAnsi="Times New Roman"/>
          <w:b/>
          <w:color w:val="333333"/>
          <w:sz w:val="23"/>
        </w:rPr>
        <w:t>2.6 Summary of Research Gap &amp; Methodological Motivation</w:t>
      </w:r>
    </w:p>
    <w:p w14:paraId="6C1839F2">
      <w:pPr>
        <w:spacing w:before="40" w:after="80" w:line="276" w:lineRule="auto"/>
        <w:jc w:val="both"/>
      </w:pPr>
      <w:r>
        <w:rPr>
          <w:rFonts w:ascii="Times New Roman" w:hAnsi="Times New Roman"/>
          <w:sz w:val="20"/>
        </w:rPr>
        <w:t>Despite rapid advancements in multimodal 2025–2026 Document AI architectures [9]–[15], [32]–[34], four fundamental methodological gaps persist in academic credential evaluation:</w:t>
      </w:r>
    </w:p>
    <w:p w14:paraId="289CF4DF">
      <w:pPr>
        <w:spacing w:before="20" w:after="40"/>
        <w:ind w:left="360"/>
        <w:jc w:val="both"/>
        <w:outlineLvl w:val="0"/>
      </w:pPr>
      <w:r>
        <w:rPr>
          <w:rFonts w:ascii="Times New Roman" w:hAnsi="Times New Roman"/>
          <w:b/>
          <w:sz w:val="20"/>
        </w:rPr>
        <w:t>1. Absence of Public Academic Datasets</w:t>
      </w:r>
      <w:r>
        <w:rPr>
          <w:rFonts w:ascii="Times New Roman" w:hAnsi="Times New Roman"/>
          <w:sz w:val="20"/>
        </w:rPr>
        <w:t>: Statutory privacy regulations (FERPA, GDPR) prevent public distribution of authentic student records [28], [35].</w:t>
      </w:r>
    </w:p>
    <w:p w14:paraId="63570A9B">
      <w:pPr>
        <w:spacing w:before="20" w:after="40"/>
        <w:ind w:left="360"/>
        <w:jc w:val="both"/>
        <w:outlineLvl w:val="0"/>
      </w:pPr>
      <w:r>
        <w:rPr>
          <w:rFonts w:ascii="Times New Roman" w:hAnsi="Times New Roman"/>
          <w:b/>
          <w:sz w:val="20"/>
        </w:rPr>
        <w:t>2. Lack of Controlled Degradation Matrices</w:t>
      </w:r>
      <w:r>
        <w:rPr>
          <w:rFonts w:ascii="Times New Roman" w:hAnsi="Times New Roman"/>
          <w:sz w:val="20"/>
        </w:rPr>
        <w:t>: Robustness across scanner copy aging, mobile camera skew, and orientation rotation is rarely quantified [27], [30], [33].</w:t>
      </w:r>
    </w:p>
    <w:p w14:paraId="2F134691">
      <w:pPr>
        <w:spacing w:before="20" w:after="40"/>
        <w:ind w:left="360"/>
        <w:jc w:val="both"/>
        <w:outlineLvl w:val="0"/>
      </w:pPr>
      <w:r>
        <w:rPr>
          <w:rFonts w:ascii="Times New Roman" w:hAnsi="Times New Roman"/>
          <w:b/>
          <w:sz w:val="20"/>
        </w:rPr>
        <w:t>3. Metric Distortion from Formatting Variations</w:t>
      </w:r>
      <w:r>
        <w:rPr>
          <w:rFonts w:ascii="Times New Roman" w:hAnsi="Times New Roman"/>
          <w:sz w:val="20"/>
        </w:rPr>
        <w:t>: Unnormalized string matching penalizes benign representation differences (e.g., date syntax, institutional aliases), distorting true extraction accuracy [25], [36].</w:t>
      </w:r>
    </w:p>
    <w:p w14:paraId="52B336A4">
      <w:pPr>
        <w:spacing w:before="20" w:after="40"/>
        <w:ind w:left="360"/>
        <w:jc w:val="both"/>
        <w:outlineLvl w:val="0"/>
      </w:pPr>
      <w:r>
        <w:rPr>
          <w:rFonts w:ascii="Times New Roman" w:hAnsi="Times New Roman"/>
          <w:b/>
          <w:sz w:val="20"/>
        </w:rPr>
        <w:t>4. Absence of Structured Error Taxonomies</w:t>
      </w:r>
      <w:r>
        <w:rPr>
          <w:rFonts w:ascii="Times New Roman" w:hAnsi="Times New Roman"/>
          <w:sz w:val="20"/>
        </w:rPr>
        <w:t>: Scalar metrics (CER, WER) fail to categorize specific diagnostic error causes [28], [37].</w:t>
      </w:r>
    </w:p>
    <w:p w14:paraId="35BA324B">
      <w:pPr>
        <w:spacing w:before="40" w:after="80" w:line="276" w:lineRule="auto"/>
        <w:jc w:val="both"/>
      </w:pPr>
      <w:r>
        <w:rPr>
          <w:rFonts w:ascii="Times New Roman" w:hAnsi="Times New Roman"/>
          <w:sz w:val="20"/>
        </w:rPr>
        <w:t>These gaps directly motivate the integrated benchmarking methodology established in this work [26], [31].</w:t>
      </w:r>
    </w:p>
    <w:p w14:paraId="5DED24D5">
      <w:pPr>
        <w:keepNext/>
        <w:spacing w:before="280" w:after="120"/>
        <w:jc w:val="both"/>
        <w:outlineLvl w:val="0"/>
      </w:pPr>
      <w:r>
        <w:rPr>
          <w:rFonts w:ascii="Times New Roman" w:hAnsi="Times New Roman"/>
          <w:b/>
          <w:color w:val="003366"/>
          <w:sz w:val="26"/>
        </w:rPr>
        <w:t>3. Proposed Methodology</w:t>
      </w:r>
    </w:p>
    <w:p w14:paraId="71989CA7">
      <w:pPr>
        <w:keepNext/>
        <w:spacing w:before="200" w:after="80"/>
        <w:jc w:val="both"/>
        <w:outlineLvl w:val="1"/>
      </w:pPr>
      <w:r>
        <w:rPr>
          <w:rFonts w:ascii="Times New Roman" w:hAnsi="Times New Roman"/>
          <w:b/>
          <w:color w:val="333333"/>
          <w:sz w:val="23"/>
        </w:rPr>
        <w:t>3.1 Overall Framework Architecture</w:t>
      </w:r>
    </w:p>
    <w:p w14:paraId="3D8AAFB3">
      <w:pPr>
        <w:spacing w:before="40" w:after="80" w:line="276" w:lineRule="auto"/>
        <w:jc w:val="both"/>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[26] and the </w:t>
      </w:r>
      <w:r>
        <w:rPr>
          <w:rFonts w:ascii="Times New Roman" w:hAnsi="Times New Roman"/>
          <w:b/>
          <w:sz w:val="20"/>
        </w:rPr>
        <w:t>AU DIC Benchmark Subsystem</w:t>
      </w:r>
      <w:r>
        <w:rPr>
          <w:rFonts w:ascii="Times New Roman" w:hAnsi="Times New Roman"/>
          <w:sz w:val="20"/>
        </w:rPr>
        <w:t xml:space="preserve"> (read-only evaluation framework) [31].</w:t>
      </w:r>
    </w:p>
    <w:p w14:paraId="46BD7935">
      <w:pPr>
        <w:spacing w:before="160" w:after="80" w:line="240" w:lineRule="atLeast"/>
        <w:jc w:val="center"/>
      </w:pPr>
      <w:r>
        <w:drawing>
          <ns4:inline distT="0" distB="0" distL="0" distR="0">
            <ns4:extent cx="5943600" cy="2476500"/>
            <ns4:effectExtent l="0" t="0" r="0" b="0"/>
            <ns4:docPr id="1" name="Picture 1"/>
            <ns4:cNvGraphicFramePr>
              <ns5:graphicFrameLocks noChangeAspect="1"/>
            </ns4:cNvGraphicFramePr>
            <ns5:graphic>
              <ns5:graphicData uri="http://schemas.openxmlformats.org/drawingml/2006/picture">
                <ns6:pic>
                  <ns6:nvPicPr>
                    <ns6:cNvPr id="1" name="Picture 1"/>
                    <ns6:cNvPicPr>
                      <ns5:picLocks noChangeAspect="1"/>
                    </ns6:cNvPicPr>
                  </ns6:nvPicPr>
                  <ns6:blipFill>
                    <ns5:blip r:embed="rId7"/>
                    <ns5:stretch>
                      <ns5:fillRect/>
                    </ns5:stretch>
                  </ns6:blipFill>
                  <ns6:spPr>
                    <ns5:xfrm>
                      <ns5:off x="0" y="0"/>
                      <ns5:ext cx="5943600" cy="2476500"/>
                    </ns5:xfrm>
                    <ns5:prstGeom prst="rect">
                      <ns5:avLst/>
                    </ns5:prstGeom>
                  </ns6:spPr>
                </ns6:pic>
              </ns5:graphicData>
            </ns5:graphic>
          </ns4:inline>
        </w:drawing>
      </w:r>
    </w:p>
    <w:p w14:paraId="65A815D6">
      <w:pPr>
        <w:spacing w:after="160"/>
        <w:jc w:val="center"/>
      </w:pPr>
      <w:r>
        <w:rPr>
          <w:rFonts w:ascii="Times New Roman" w:hAnsi="Times New Roman"/>
          <w:b/>
          <w:color w:val="003366"/>
          <w:sz w:val="19"/>
        </w:rPr>
        <w:t>Fig. 1. Decoupled System Architecture of the ADBG Synthetic Generation and AU DIC Evaluation Subsystems.</w:t>
      </w:r>
    </w:p>
    <w:p w14:paraId="03EFF269">
      <w:pPr>
        <w:spacing w:before="40" w:after="80" w:line="276" w:lineRule="auto"/>
        <w:jc w:val="both"/>
      </w:pPr>
      <w:r>
        <w:rPr>
          <w:rFonts w:ascii="Times New Roman" w:hAnsi="Times New Roman"/>
          <w:sz w:val="20"/>
        </w:rPr>
        <w:t>Fig. 1 illustrates the decoupled system architecture of the ADBG Synthetic Generation and AU DIC Evaluation Subsystems. Fig. 2 summarizes the complete methodological workflow adopted in this study, beginning with deterministic synthetic document generation and concluding with statistical evaluation and publication-ready artifact generation.</w:t>
      </w:r>
    </w:p>
    <w:p w14:paraId="60CDBD63">
      <w:pPr>
        <w:spacing w:before="160" w:after="80" w:line="240" w:lineRule="atLeast"/>
        <w:jc w:val="center"/>
      </w:pPr>
      <w:r>
        <w:drawing>
          <ns4:inline distT="0" distB="0" distL="0" distR="0">
            <ns4:extent cx="1950000" cy="5400000"/>
            <ns4:effectExtent l="0" t="0" r="5715" b="2540"/>
            <ns4:docPr id="2" name="Picture 2"/>
            <ns4:cNvGraphicFramePr>
              <ns5:graphicFrameLocks noChangeAspect="1"/>
            </ns4:cNvGraphicFramePr>
            <ns5:graphic>
              <ns5:graphicData uri="http://schemas.openxmlformats.org/drawingml/2006/picture">
                <ns6:pic>
                  <ns6:nvPicPr>
                    <ns6:cNvPr id="2" name="Picture 2"/>
                    <ns6:cNvPicPr>
                      <ns5:picLocks noChangeAspect="1"/>
                    </ns6:cNvPicPr>
                  </ns6:nvPicPr>
                  <ns6:blipFill>
                    <ns5:blip r:embed="rId8"/>
                    <ns5:stretch>
                      <ns5:fillRect/>
                    </ns5:stretch>
                  </ns6:blipFill>
                  <ns6:spPr>
                    <ns5:xfrm>
                      <ns5:off x="0" y="0"/>
                      <ns5:ext cx="1950000" cy="5400000"/>
                    </ns5:xfrm>
                    <ns5:prstGeom prst="rect">
                      <ns5:avLst/>
                    </ns5:prstGeom>
                  </ns6:spPr>
                </ns6:pic>
              </ns5:graphicData>
            </ns5:graphic>
          </ns4:inline>
        </w:drawing>
      </w:r>
    </w:p>
    <w:p w14:paraId="1B80C515">
      <w:pPr>
        <w:spacing w:after="160"/>
        <w:jc w:val="center"/>
      </w:pPr>
      <w:r>
        <w:rPr>
          <w:rFonts w:ascii="Times New Roman" w:hAnsi="Times New Roman"/>
          <w:b/>
          <w:color w:val="003366"/>
          <w:sz w:val="19"/>
        </w:rPr>
        <w:t>Fig. 2. End-to-End Methodological Workflow of the Proposed AU DIC Benchmark Evaluation Framework.</w:t>
      </w:r>
    </w:p>
    <w:p w14:paraId="3F06BF17">
      <w:pPr>
        <w:keepNext/>
        <w:spacing w:before="200" w:after="80"/>
        <w:jc w:val="both"/>
        <w:outlineLvl w:val="1"/>
      </w:pPr>
      <w:r>
        <w:rPr>
          <w:rFonts w:ascii="Times New Roman" w:hAnsi="Times New Roman"/>
          <w:b/>
          <w:color w:val="333333"/>
          <w:sz w:val="23"/>
        </w:rPr>
        <w:t>3.2 ADBG Synthetic Benchmark Generation</w:t>
      </w:r>
    </w:p>
    <w:p w14:paraId="383AC2B0">
      <w:pPr>
        <w:keepNext/>
        <w:spacing w:before="160" w:after="40"/>
        <w:jc w:val="both"/>
      </w:pPr>
      <w:r>
        <w:rPr>
          <w:rFonts w:ascii="Times New Roman" w:hAnsi="Times New Roman"/>
          <w:b/>
          <w:i/>
          <w:sz w:val="21"/>
        </w:rPr>
        <w:t>3.2.1 Seed-Deterministic Profile Generation</w:t>
      </w:r>
    </w:p>
    <w:p w14:paraId="3DE06DD2">
      <w:pPr>
        <w:spacing w:before="40" w:after="80" w:line="276" w:lineRule="auto"/>
        <w:jc w:val="both"/>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 [26]:</w:t>
      </w:r>
    </w:p>
    <w:p w14:paraId="3C59182E">
      <w:pPr>
        <w:keepNext/>
        <w:spacing w:before="160" w:after="40"/>
        <w:jc w:val="both"/>
      </w:pPr>
      <w:r>
        <w:rPr>
          <w:rFonts w:ascii="Times New Roman" w:hAnsi="Times New Roman"/>
          <w:b/>
          <w:i/>
          <w:sz w:val="21"/>
        </w:rPr>
        <w:t>3.2.2 Template Compilation Engine</w:t>
      </w:r>
    </w:p>
    <w:p w14:paraId="66057628">
      <w:pPr>
        <w:spacing w:before="40" w:after="80" w:line="276" w:lineRule="auto"/>
        <w:jc w:val="both"/>
      </w:pPr>
      <w:r>
        <w:rPr>
          <w:rFonts w:ascii="Times New Roman" w:hAnsi="Times New Roman"/>
          <w:sz w:val="20"/>
        </w:rPr>
        <w:t>The generator utilizes a Typst vector compilation backend (TypstCompilerAdapter) [29] to render high-resolution academic documents. Three primary document categories are supported:</w:t>
      </w:r>
    </w:p>
    <w:p w14:paraId="684A91F9">
      <w:pPr>
        <w:spacing w:before="20" w:after="40"/>
        <w:ind w:left="360"/>
        <w:jc w:val="both"/>
        <w:outlineLvl w:val="0"/>
      </w:pPr>
      <w:r>
        <w:rPr>
          <w:rFonts w:ascii="Times New Roman" w:hAnsi="Times New Roman"/>
          <w:b/>
          <w:sz w:val="20"/>
        </w:rPr>
        <w:t>1. Academic Certificates</w:t>
      </w:r>
      <w:r>
        <w:rPr>
          <w:rFonts w:ascii="Times New Roman" w:hAnsi="Times New Roman"/>
          <w:sz w:val="20"/>
        </w:rPr>
        <w:t>: Degree awards, honor certificates, and course completion diplomas.</w:t>
      </w:r>
    </w:p>
    <w:p w14:paraId="480C1CF1">
      <w:pPr>
        <w:spacing w:before="20" w:after="40"/>
        <w:ind w:left="360"/>
        <w:jc w:val="both"/>
        <w:outlineLvl w:val="0"/>
      </w:pPr>
      <w:r>
        <w:rPr>
          <w:rFonts w:ascii="Times New Roman" w:hAnsi="Times New Roman"/>
          <w:b/>
          <w:sz w:val="20"/>
        </w:rPr>
        <w:t>2. Academic Marksheets</w:t>
      </w:r>
      <w:r>
        <w:rPr>
          <w:rFonts w:ascii="Times New Roman" w:hAnsi="Times New Roman"/>
          <w:sz w:val="20"/>
        </w:rPr>
        <w:t>: Semester grade reports featuring multi-column subject arrays (Course Code, Subject Name, Credits, Grade Point, Letter Grade, SGPA/CGPA) [29].</w:t>
      </w:r>
    </w:p>
    <w:p w14:paraId="024B2AD0">
      <w:pPr>
        <w:spacing w:before="20" w:after="40"/>
        <w:ind w:left="360"/>
        <w:jc w:val="both"/>
        <w:outlineLvl w:val="0"/>
      </w:pPr>
      <w:r>
        <w:rPr>
          <w:rFonts w:ascii="Times New Roman" w:hAnsi="Times New Roman"/>
          <w:b/>
          <w:sz w:val="20"/>
        </w:rPr>
        <w:t>3. Student ID Cards</w:t>
      </w:r>
      <w:r>
        <w:rPr>
          <w:rFonts w:ascii="Times New Roman" w:hAnsi="Times New Roman"/>
          <w:sz w:val="20"/>
        </w:rPr>
        <w:t>: Institutional identity cards containing student photographs, enrollment numbers, program titles, and issuing authority signatures.</w:t>
      </w:r>
    </w:p>
    <w:p w14:paraId="0CC5B1A8">
      <w:pPr>
        <w:keepNext/>
        <w:spacing w:before="160" w:after="40"/>
        <w:jc w:val="both"/>
      </w:pPr>
      <w:r>
        <w:rPr>
          <w:rFonts w:ascii="Times New Roman" w:hAnsi="Times New Roman"/>
          <w:b/>
          <w:i/>
          <w:sz w:val="21"/>
        </w:rPr>
        <w:t>3.2.3 Optical Degradation Pipeline</w:t>
      </w:r>
    </w:p>
    <w:p w14:paraId="124A208C">
      <w:pPr>
        <w:spacing w:before="40" w:after="80" w:line="276" w:lineRule="auto"/>
        <w:jc w:val="both"/>
      </w:pPr>
      <w:r>
        <w:rPr>
          <w:rFonts w:ascii="Times New Roman" w:hAnsi="Times New Roman"/>
          <w:sz w:val="20"/>
        </w:rPr>
        <w:t>To simulate physical document scanner aging, mobile camera capture distortion, and orientation misalignment, ADBG v1.0 applies a sequence of 14 physical optical transformation operators [27]:</w:t>
      </w:r>
    </w:p>
    <w:p w14:paraId="6CEDD625">
      <w:pPr>
        <w:spacing w:before="40" w:after="80" w:line="276" w:lineRule="auto"/>
        <w:jc w:val="both"/>
      </w:pPr>
      <w:r>
        <w:rPr>
          <w:rFonts w:ascii="Times New Roman" w:hAnsi="Times New Roman"/>
          <w:sz w:val="20"/>
        </w:rPr>
        <w:t>Four standard quality profiles are instantiated in AU_DIC_Benchmark_v1.0:</w:t>
      </w:r>
    </w:p>
    <w:p w14:paraId="3ECCCEA6">
      <w:pPr>
        <w:pStyle w:val="23"/>
        <w:spacing w:before="20" w:after="40"/>
        <w:jc w:val="both"/>
      </w:pPr>
      <w:r>
        <w:rPr>
          <w:rFonts w:ascii="Times New Roman" w:hAnsi="Times New Roman"/>
          <w:b/>
          <w:sz w:val="20"/>
        </w:rPr>
        <w:t>clean</w:t>
      </w:r>
      <w:r>
        <w:rPr>
          <w:rFonts w:ascii="Times New Roman" w:hAnsi="Times New Roman"/>
          <w:sz w:val="20"/>
        </w:rPr>
        <w:t>: Pristine vector-rendered digital PDF exports (0% degradation).</w:t>
      </w:r>
    </w:p>
    <w:p w14:paraId="54932447">
      <w:pPr>
        <w:pStyle w:val="23"/>
        <w:spacing w:before="20" w:after="40"/>
        <w:jc w:val="both"/>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14:paraId="66318A88">
      <w:pPr>
        <w:pStyle w:val="23"/>
        <w:spacing w:before="20" w:after="40"/>
        <w:jc w:val="both"/>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14:paraId="4E641D39">
      <w:pPr>
        <w:pStyle w:val="23"/>
        <w:spacing w:before="20" w:after="40"/>
        <w:jc w:val="both"/>
      </w:pPr>
      <w:r>
        <w:rPr>
          <w:rFonts w:ascii="Times New Roman" w:hAnsi="Times New Roman"/>
          <w:b/>
          <w:sz w:val="20"/>
        </w:rPr>
        <w:t>rotated_90</w:t>
      </w:r>
      <w:r>
        <w:rPr>
          <w:rFonts w:ascii="Times New Roman" w:hAnsi="Times New Roman"/>
          <w:sz w:val="20"/>
        </w:rPr>
        <w:t>: Image specimens rotated 90 degrees clockwise to evaluate orientation detection.</w:t>
      </w:r>
    </w:p>
    <w:p w14:paraId="4696E7C1">
      <w:pPr>
        <w:keepNext/>
        <w:spacing w:before="200" w:after="80"/>
        <w:jc w:val="both"/>
        <w:outlineLvl w:val="1"/>
      </w:pPr>
      <w:r>
        <w:rPr>
          <w:rFonts w:ascii="Times New Roman" w:hAnsi="Times New Roman"/>
          <w:b/>
          <w:color w:val="333333"/>
          <w:sz w:val="23"/>
        </w:rPr>
        <w:t>3.3 AU DIC Evaluation Framework Subsystem</w:t>
      </w:r>
    </w:p>
    <w:p w14:paraId="18E10F61">
      <w:pPr>
        <w:spacing w:before="40" w:after="80" w:line="276" w:lineRule="auto"/>
        <w:jc w:val="both"/>
      </w:pPr>
      <w:r>
        <w:rPr>
          <w:rFonts w:ascii="Times New Roman" w:hAnsi="Times New Roman"/>
          <w:sz w:val="20"/>
        </w:rPr>
        <w:t>The benchmark runner (BenchmarkRunner) operates strictly in read-only mode (isReadOnly: true) [31]. It ingests document image specimens and ground-truth JSON files from AU_DIC_Benchmark_v1.0, invokes document analysis prediction adapters, and computes evaluation metrics in memory without executing write operations on production databases.</w:t>
      </w:r>
    </w:p>
    <w:p w14:paraId="1AE13932">
      <w:pPr>
        <w:keepNext/>
        <w:spacing w:before="200" w:after="80"/>
        <w:jc w:val="both"/>
        <w:outlineLvl w:val="1"/>
      </w:pPr>
      <w:r>
        <w:rPr>
          <w:rFonts w:ascii="Times New Roman" w:hAnsi="Times New Roman"/>
          <w:b/>
          <w:color w:val="333333"/>
          <w:sz w:val="23"/>
        </w:rPr>
        <w:t>3.4 Six-Stage Semantic Canonical Normalization Layer</w:t>
      </w:r>
    </w:p>
    <w:p w14:paraId="7A562799">
      <w:pPr>
        <w:spacing w:before="40" w:after="80" w:line="276" w:lineRule="auto"/>
        <w:jc w:val="both"/>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[25], [36]. To isolate genuine recognition failures, the framework routes predicted and expected string values through a six-stage semantic normalizer (CanonicalNormalizer):</w:t>
      </w:r>
    </w:p>
    <w:p w14:paraId="0CE61FBC">
      <w:pPr>
        <w:spacing w:before="20" w:after="40"/>
        <w:ind w:left="360"/>
        <w:jc w:val="both"/>
        <w:outlineLvl w:val="0"/>
      </w:pPr>
      <w:r>
        <w:rPr>
          <w:rFonts w:ascii="Times New Roman" w:hAnsi="Times New Roman"/>
          <w:b/>
          <w:sz w:val="20"/>
        </w:rPr>
        <w:t>1. Stage 1: Case &amp; Whitespace Normalization</w:t>
      </w:r>
      <w:r>
        <w:rPr>
          <w:rFonts w:ascii="Times New Roman" w:hAnsi="Times New Roman"/>
          <w:sz w:val="20"/>
        </w:rPr>
        <w:t>: Converts characters to lower-case, trims leading/trailing whitespace, and collapses multiple internal space characters into single spaces.</w:t>
      </w:r>
    </w:p>
    <w:p w14:paraId="0C5B2613">
      <w:pPr>
        <w:spacing w:before="20" w:after="40"/>
        <w:ind w:left="360"/>
        <w:jc w:val="both"/>
        <w:outlineLvl w:val="0"/>
      </w:pPr>
      <w:r>
        <w:rPr>
          <w:rFonts w:ascii="Times New Roman" w:hAnsi="Times New Roman"/>
          <w:b/>
          <w:sz w:val="20"/>
        </w:rPr>
        <w:t>2. Stage 2: ISO Date Canonicalization</w:t>
      </w:r>
      <w:r>
        <w:rPr>
          <w:rFonts w:ascii="Times New Roman" w:hAnsi="Times New Roman"/>
          <w:sz w:val="20"/>
        </w:rPr>
        <w:t>: Standardizes diverse date formats (04/08/2026, August 4, 2026, 2026.08.04) into ISO-8601 string representations (YYYY-MM-DD).</w:t>
      </w:r>
    </w:p>
    <w:p w14:paraId="297FCACD">
      <w:pPr>
        <w:spacing w:before="20" w:after="40"/>
        <w:ind w:left="360"/>
        <w:jc w:val="both"/>
        <w:outlineLvl w:val="0"/>
      </w:pPr>
      <w:r>
        <w:rPr>
          <w:rFonts w:ascii="Times New Roman" w:hAnsi="Times New Roman"/>
          <w:b/>
          <w:sz w:val="20"/>
        </w:rPr>
        <w:t>3. Stage 3: Identifier Canonicalization</w:t>
      </w:r>
      <w:r>
        <w:rPr>
          <w:rFonts w:ascii="Times New Roman" w:hAnsi="Times New Roman"/>
          <w:sz w:val="20"/>
        </w:rPr>
        <w:t>: Strips non-alphanumeric separator characters (hyphens, slashes, spaces) from candidate roll numbers and registration IDs.</w:t>
      </w:r>
    </w:p>
    <w:p w14:paraId="4317808F">
      <w:pPr>
        <w:spacing w:before="20" w:after="40"/>
        <w:ind w:left="360"/>
        <w:jc w:val="both"/>
        <w:outlineLvl w:val="0"/>
      </w:pPr>
      <w:r>
        <w:rPr>
          <w:rFonts w:ascii="Times New Roman" w:hAnsi="Times New Roman"/>
          <w:b/>
          <w:sz w:val="20"/>
        </w:rPr>
        <w:t>4. Stage 4: Numerical Precision Standardizer</w:t>
      </w:r>
      <w:r>
        <w:rPr>
          <w:rFonts w:ascii="Times New Roman" w:hAnsi="Times New Roman"/>
          <w:sz w:val="20"/>
        </w:rPr>
        <w:t>: Parses floating-point marks, SGPA/CGPA values, and percentages, formatting numeric values to fixed two-decimal precision.</w:t>
      </w:r>
    </w:p>
    <w:p w14:paraId="3D11C455">
      <w:pPr>
        <w:spacing w:before="20" w:after="40"/>
        <w:ind w:left="360"/>
        <w:jc w:val="both"/>
        <w:outlineLvl w:val="0"/>
      </w:pPr>
      <w:r>
        <w:rPr>
          <w:rFonts w:ascii="Times New Roman" w:hAnsi="Times New Roman"/>
          <w:b/>
          <w:sz w:val="20"/>
        </w:rPr>
        <w:t>5. Stage 5: Institutional Alias Mapping</w:t>
      </w:r>
      <w:r>
        <w:rPr>
          <w:rFonts w:ascii="Times New Roman" w:hAnsi="Times New Roman"/>
          <w:sz w:val="20"/>
        </w:rPr>
        <w:t xml:space="preserve">: Maps common university name abbreviations (e.g., MIT </w:t>
      </w:r>
      <ns3:oMath>
        <ns3:r>
          <ns3:rPr/>
          <w:rPr>
            <w:rFonts w:ascii="Cambria Math" w:hAnsi="Cambria Math"/>
          </w:rPr>
          <ns3:t>→</ns3:t>
        </ns3:r>
      </ns3:oMath>
      <w:r>
        <w:rPr>
          <w:rFonts w:ascii="Times New Roman" w:hAnsi="Times New Roman"/>
          <w:sz w:val="20"/>
        </w:rPr>
        <w:t xml:space="preserve"> Massachusetts Institute of Technology) using an institutional lexicon directory.</w:t>
      </w:r>
    </w:p>
    <w:p w14:paraId="1D52BC4C">
      <w:pPr>
        <w:spacing w:before="20" w:after="40"/>
        <w:ind w:left="360"/>
        <w:jc w:val="both"/>
        <w:outlineLvl w:val="0"/>
      </w:pPr>
      <w:r>
        <w:rPr>
          <w:rFonts w:ascii="Times New Roman" w:hAnsi="Times New Roman"/>
          <w:b/>
          <w:sz w:val="20"/>
        </w:rPr>
        <w:t>6. Stage 6: Canonical Honorific Removal</w:t>
      </w:r>
      <w:r>
        <w:rPr>
          <w:rFonts w:ascii="Times New Roman" w:hAnsi="Times New Roman"/>
          <w:sz w:val="20"/>
        </w:rPr>
        <w:t>: Removes standard honorific prefixes (Mr., Ms., Dr., Prof.) prior to candidate name comparison.</w:t>
      </w:r>
    </w:p>
    <w:p w14:paraId="78943BA5">
      <w:pPr>
        <w:keepNext/>
        <w:spacing w:before="200" w:after="80"/>
        <w:jc w:val="both"/>
        <w:outlineLvl w:val="1"/>
      </w:pPr>
      <w:r>
        <w:rPr>
          <w:rFonts w:ascii="Times New Roman" w:hAnsi="Times New Roman"/>
          <w:b/>
          <w:color w:val="333333"/>
          <w:sz w:val="23"/>
        </w:rPr>
        <w:t>3.5 Nine-Class Structured OCR Error Taxonomy</w:t>
      </w:r>
    </w:p>
    <w:p w14:paraId="4ABA0F56">
      <w:pPr>
        <w:spacing w:before="40" w:after="80" w:line="276" w:lineRule="auto"/>
        <w:jc w:val="both"/>
      </w:pPr>
      <w:r>
        <w:rPr>
          <w:rFonts w:ascii="Times New Roman" w:hAnsi="Times New Roman"/>
          <w:sz w:val="20"/>
        </w:rPr>
        <w:t>When an extracted field value deviates from ground truth after canonical normalization, the evaluation engine categorizes the failure into one of nine structured error classes [28], [37]:</w:t>
      </w:r>
    </w:p>
    <w:p w14:paraId="2D8453A1">
      <w:pPr>
        <w:keepNext/>
        <w:spacing w:before="160" w:after="40"/>
        <w:jc w:val="both"/>
      </w:pPr>
      <w:r>
        <w:rPr>
          <w:rFonts w:ascii="Times New Roman" w:hAnsi="Times New Roman"/>
          <w:b/>
          <w:i/>
          <w:sz w:val="21"/>
        </w:rPr>
        <w:t>3.5.1 Scientific Definition and Justification of NORMALIZATION_ERROR</w:t>
      </w:r>
    </w:p>
    <w:p w14:paraId="73516041">
      <w:pPr>
        <w:spacing w:before="40" w:after="80" w:line="276" w:lineRule="auto"/>
        <w:jc w:val="both"/>
      </w:pPr>
      <w:r>
        <w:rPr>
          <w:rFonts w:ascii="Times New Roman" w:hAnsi="Times New Roman"/>
          <w:sz w:val="20"/>
        </w:rPr>
        <w:t xml:space="preserve">A potential ambiguity in field comparison is distinguishing superficial representation differences from true recognition errors. 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14:paraId="6EDB1F2E">
      <w:pPr>
        <w:spacing w:before="20" w:after="40"/>
        <w:ind w:left="360"/>
        <w:jc w:val="both"/>
        <w:outlineLvl w:val="0"/>
      </w:pPr>
      <w:r>
        <w:rPr>
          <w:rFonts w:ascii="Times New Roman" w:hAnsi="Times New Roman"/>
          <w:b/>
          <w:sz w:val="20"/>
        </w:rPr>
        <w:t>1. Pipeline Traversal</w:t>
      </w:r>
      <w:r>
        <w:rPr>
          <w:rFonts w:ascii="Times New Roman" w:hAnsi="Times New Roman"/>
          <w:sz w:val="20"/>
        </w:rPr>
        <w:t>: The candidate field has successfully passed through the complete six-stage semantic normalization layer (CanonicalNormalizer).</w:t>
      </w:r>
    </w:p>
    <w:p w14:paraId="191C4B62">
      <w:pPr>
        <w:spacing w:before="20" w:after="40"/>
        <w:ind w:left="360"/>
        <w:jc w:val="both"/>
        <w:outlineLvl w:val="0"/>
      </w:pPr>
      <w:r>
        <w:rPr>
          <w:rFonts w:ascii="Times New Roman" w:hAnsi="Times New Roman"/>
          <w:b/>
          <w:sz w:val="20"/>
        </w:rPr>
        <w:t>2. Valid Canonical Representations</w:t>
      </w:r>
      <w:r>
        <w:rPr>
          <w:rFonts w:ascii="Times New Roman" w:hAnsi="Times New Roman"/>
          <w:sz w:val="20"/>
        </w:rPr>
        <w:t>: Both 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sz w:val="20"/>
        </w:rPr>
        <w:t>) and Prediction (</w:t>
      </w:r>
      <ns3:oMath>
        <ns3:acc>
          <ns3:accPr/>
          <ns3:e>
            <ns3:r>
              <ns3:rPr/>
              <w:rPr>
                <w:rFonts w:ascii="Cambria Math" w:hAnsi="Cambria Math"/>
              </w:rPr>
              <ns3:t>V</ns3:t>
            </ns3:r>
          </ns3:e>
        </ns3:acc>
      </ns3:oMath>
      <w:r>
        <w:rPr>
          <w:rFonts w:ascii="Times New Roman" w:hAnsi="Times New Roman"/>
          <w:sz w:val="20"/>
        </w:rPr>
        <w:t>) possess valid, parseable canonical representations.</w:t>
      </w:r>
    </w:p>
    <w:p w14:paraId="33D0A898">
      <w:pPr>
        <w:spacing w:before="20" w:after="40"/>
        <w:ind w:left="360"/>
        <w:jc w:val="both"/>
        <w:outlineLvl w:val="0"/>
      </w:pPr>
      <w:r>
        <w:rPr>
          <w:rFonts w:ascii="Times New Roman" w:hAnsi="Times New Roman"/>
          <w:b/>
          <w:sz w:val="20"/>
        </w:rPr>
        <w:t>3. 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14:paraId="4F7A49B7">
      <w:pPr>
        <w:spacing w:before="20" w:after="40"/>
        <w:ind w:left="360"/>
        <w:jc w:val="both"/>
        <w:outlineLvl w:val="0"/>
      </w:pPr>
      <w:r>
        <w:rPr>
          <w:rFonts w:ascii="Times New Roman" w:hAnsi="Times New Roman"/>
          <w:b/>
          <w:sz w:val="20"/>
        </w:rPr>
        <w:t>4. Canonical Discrepancy</w:t>
      </w:r>
      <w:r>
        <w:rPr>
          <w:rFonts w:ascii="Times New Roman" w:hAnsi="Times New Roman"/>
          <w:sz w:val="20"/>
        </w:rPr>
        <w:t>: The canonical representations remain strictly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w:t>
      </w:r>
    </w:p>
    <w:p w14:paraId="700F36BA">
      <w:pPr>
        <w:spacing w:before="20" w:after="40"/>
        <w:ind w:left="360"/>
        <w:jc w:val="both"/>
        <w:outlineLvl w:val="0"/>
      </w:pPr>
      <w:r>
        <w:rPr>
          <w:rFonts w:ascii="Times New Roman" w:hAnsi="Times New Roman"/>
          <w:b/>
          <w:sz w:val="20"/>
        </w:rPr>
        <w:t>5. Genuine Semantic Mismatch</w:t>
      </w:r>
      <w:r>
        <w:rPr>
          <w:rFonts w:ascii="Times New Roman" w:hAnsi="Times New Roman"/>
          <w:sz w:val="20"/>
        </w:rPr>
        <w:t>: Consequently, the remaining discrepancy represents a genuine semantic character or value mismatch rather than a formatting variation.</w:t>
      </w:r>
    </w:p>
    <w:p w14:paraId="6BB7F078">
      <w:pPr>
        <w:spacing w:before="40" w:after="80" w:line="276" w:lineRule="auto"/>
        <w:jc w:val="both"/>
      </w:pPr>
      <w:r>
        <w:rPr>
          <w:rFonts w:ascii="Times New Roman" w:hAnsi="Times New Roman"/>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6003577E">
      <w:pPr>
        <w:keepNext/>
        <w:spacing w:before="160" w:after="40"/>
        <w:jc w:val="both"/>
      </w:pPr>
      <w:r>
        <w:rPr>
          <w:rFonts w:ascii="Times New Roman" w:hAnsi="Times New Roman"/>
          <w:b/>
          <w:i/>
          <w:sz w:val="21"/>
        </w:rPr>
        <w:t>3.5.2 Canonical Comparison Workflow &amp; Non-Overlapping Taxonomy Boundaries</w:t>
      </w:r>
    </w:p>
    <w:p w14:paraId="0B0D7478">
      <w:pPr>
        <w:spacing w:before="40" w:after="80" w:line="276" w:lineRule="auto"/>
        <w:jc w:val="both"/>
      </w:pPr>
      <w:r>
        <w:rPr>
          <w:rFonts w:ascii="Times New Roman" w:hAnsi="Times New Roman"/>
          <w:sz w:val="20"/>
        </w:rPr>
        <w:t>To ensure taxonomic independence, each error class maintains a strict, non-overlapping responsibility [28], [37]:</w:t>
      </w:r>
    </w:p>
    <w:p w14:paraId="3F9FC34A">
      <w:pPr>
        <w:pStyle w:val="23"/>
        <w:spacing w:before="20" w:after="40"/>
        <w:jc w:val="both"/>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14:paraId="72625B37">
      <w:pPr>
        <w:pStyle w:val="23"/>
        <w:spacing w:before="20" w:after="40"/>
        <w:jc w:val="both"/>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14:paraId="5FDFB5BE">
      <w:pPr>
        <w:pStyle w:val="23"/>
        <w:spacing w:before="20" w:after="40"/>
        <w:jc w:val="both"/>
      </w:pPr>
      <w:r>
        <w:rPr>
          <w:rFonts w:ascii="Times New Roman" w:hAnsi="Times New Roman"/>
          <w:b/>
          <w:sz w:val="20"/>
        </w:rPr>
        <w:t>NORMALIZATION_ERROR</w:t>
      </w:r>
      <w:r>
        <w:rPr>
          <w:rFonts w:ascii="Times New Roman" w:hAnsi="Times New Roman"/>
          <w:sz w:val="20"/>
        </w:rPr>
        <w:t>: Both values are normalized, but their canonical representations remain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 confirming a true semantic extraction mismatch.</w:t>
      </w:r>
    </w:p>
    <w:p w14:paraId="757A64BB">
      <w:pPr>
        <w:pStyle w:val="23"/>
        <w:spacing w:before="20" w:after="40"/>
        <w:jc w:val="both"/>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 [27].</w:t>
      </w:r>
    </w:p>
    <w:p w14:paraId="17AEAE09">
      <w:pPr>
        <w:pStyle w:val="23"/>
        <w:spacing w:before="20" w:after="40"/>
        <w:jc w:val="both"/>
      </w:pPr>
      <w:r>
        <w:rPr>
          <w:rFonts w:ascii="Times New Roman" w:hAnsi="Times New Roman"/>
          <w:b/>
          <w:sz w:val="20"/>
        </w:rPr>
        <w:t>FIELD_MISSING</w:t>
      </w:r>
      <w:r>
        <w:rPr>
          <w:rFonts w:ascii="Times New Roman" w:hAnsi="Times New Roman"/>
          <w:sz w:val="20"/>
        </w:rPr>
        <w:t>: Target key entity is entirely absent from the model output JSON payload.</w:t>
      </w:r>
    </w:p>
    <w:p w14:paraId="5C03F649">
      <w:pPr>
        <w:pStyle w:val="23"/>
        <w:spacing w:before="20" w:after="40"/>
        <w:jc w:val="both"/>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14:paraId="726E9FDF">
      <w:pPr>
        <w:spacing w:before="40" w:after="80" w:line="276" w:lineRule="auto"/>
      </w:pPr>
      <w:r>
        <w:t xml:space="preserve">Table II illustrates candidate field evaluations across the canonical normalization layer and error taxonomy classifier.</w:t>
      </w:r>
    </w:p>
    <w:p w14:paraId="2E663D9C">
      <w:pPr>
        <w:keepNext/>
        <w:spacing w:before="80" w:after="160"/>
        <w:jc w:val="center"/>
      </w:pPr>
      <w:r>
        <w:t xml:space="preserve">Table II: Canonical Normalization Comparison Examples and Error Categorization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460"/>
      </w:tblGrid>
      <w:tr w14:paraId="67048C7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45A14EED">
            <w:pPr>
              <w:spacing w:before="40" w:after="40"/>
              <w:jc w:val="center"/>
            </w:pPr>
            <w:r>
              <w:rPr>
                <w:rFonts w:ascii="Times New Roman" w:hAnsi="Times New Roman"/>
                <w:b/>
                <w:color w:val="FFFFFF"/>
                <w:sz w:val="19"/>
              </w:rPr>
              <w:t>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6619CED">
            <w:pPr>
              <w:spacing w:before="40" w:after="40"/>
              <w:jc w:val="center"/>
            </w:pPr>
            <w:r>
              <w:rPr>
                <w:rFonts w:ascii="Times New Roman" w:hAnsi="Times New Roman"/>
                <w:b/>
                <w:color w:val="FFFFFF"/>
                <w:sz w:val="19"/>
              </w:rPr>
              <w:t>Prediction (</w:t>
            </w:r>
            <ns3:oMath>
              <ns3:acc>
                <ns3:accPr/>
                <ns3:e>
                  <ns3:r>
                    <ns3:rPr/>
                    <w:rPr>
                      <w:rFonts w:ascii="Cambria Math" w:hAnsi="Cambria Math"/>
                    </w:rPr>
                    <ns3:t>V</ns3:t>
                  </ns3:r>
                </ns3:e>
              </ns3:acc>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F8B6478">
            <w:pPr>
              <w:spacing w:before="40" w:after="40"/>
              <w:jc w:val="center"/>
            </w:pPr>
            <w:r>
              <w:rPr>
                <w:rFonts w:ascii="Times New Roman" w:hAnsi="Times New Roman"/>
                <w:b/>
                <w:color w:val="FFFFFF"/>
                <w:sz w:val="19"/>
              </w:rPr>
              <w:t>After Canonical Normalizer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ns3:t>
              </ns3:r>
              <ns3:r>
                <ns3:rPr/>
                <w:rPr>
                  <w:rFonts w:ascii="Times New Roman" w:hAnsi="Times New Roman"/>
                </w:rPr>
                <ns3:t>vs</ns3:t>
              </ns3:r>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4ED13CB3">
            <w:pPr>
              <w:spacing w:before="40" w:after="40"/>
              <w:jc w:val="center"/>
            </w:pPr>
            <w:r>
              <w:rPr>
                <w:rFonts w:ascii="Times New Roman" w:hAnsi="Times New Roman"/>
                <w:b/>
                <w:color w:val="FFFFFF"/>
                <w:sz w:val="19"/>
              </w:rPr>
              <w:t>Classification Result</w:t>
            </w:r>
          </w:p>
        </w:tc>
      </w:tr>
      <w:tr w14:paraId="080CFAC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F7475AD">
            <w:pPr>
              <w:spacing w:before="40" w:after="40"/>
              <w:jc w:val="left"/>
            </w:pPr>
            <w:r>
              <w:rPr>
                <w:rFonts w:ascii="Times New Roman" w:hAnsi="Times New Roman"/>
                <w:sz w:val="18"/>
              </w:rPr>
              <w:t>04/08/2026</w:t>
            </w:r>
          </w:p>
        </w:tc>
        <w:tc>
          <w:tcPr>
            <w:tcW w:w="2340" w:type="dxa"/>
            <w:shd w:val="clear" w:color="auto" w:fill="FFFFFF"/>
            <w:tcMar>
              <w:top w:w="100" w:type="dxa"/>
              <w:left w:w="130" w:type="dxa"/>
              <w:bottom w:w="100" w:type="dxa"/>
              <w:right w:w="130" w:type="dxa"/>
            </w:tcMar>
          </w:tcPr>
          <w:p w14:paraId="10C4DC6B">
            <w:pPr>
              <w:spacing w:before="40" w:after="40"/>
              <w:jc w:val="center"/>
            </w:pPr>
            <w:r>
              <w:rPr>
                <w:rFonts w:ascii="Times New Roman" w:hAnsi="Times New Roman"/>
                <w:sz w:val="18"/>
              </w:rPr>
              <w:t>August 4, 2026</w:t>
            </w:r>
          </w:p>
        </w:tc>
        <w:tc>
          <w:tcPr>
            <w:tcW w:w="2340" w:type="dxa"/>
            <w:shd w:val="clear" w:color="auto" w:fill="FFFFFF"/>
            <w:tcMar>
              <w:top w:w="100" w:type="dxa"/>
              <w:left w:w="130" w:type="dxa"/>
              <w:bottom w:w="100" w:type="dxa"/>
              <w:right w:w="130" w:type="dxa"/>
            </w:tcMar>
          </w:tcPr>
          <w:p w14:paraId="03E03415">
            <w:pPr>
              <w:spacing w:before="40" w:after="40"/>
              <w:jc w:val="center"/>
            </w:pPr>
            <w:r>
              <w:rPr>
                <w:rFonts w:ascii="Times New Roman" w:hAnsi="Times New Roman"/>
                <w:sz w:val="18"/>
              </w:rPr>
              <w:t>2026-08-04 == 2026-08-04</w:t>
            </w:r>
          </w:p>
        </w:tc>
        <w:tc>
          <w:tcPr>
            <w:tcW w:w="2340" w:type="dxa"/>
            <w:shd w:val="clear" w:color="auto" w:fill="FFFFFF"/>
            <w:tcMar>
              <w:top w:w="100" w:type="dxa"/>
              <w:left w:w="130" w:type="dxa"/>
              <w:bottom w:w="100" w:type="dxa"/>
              <w:right w:w="130" w:type="dxa"/>
            </w:tcMar>
          </w:tcPr>
          <w:p w14:paraId="51F8B29C">
            <w:pPr>
              <w:spacing w:before="40" w:after="40"/>
              <w:jc w:val="center"/>
            </w:pPr>
            <w:r>
              <w:rPr>
                <w:rFonts w:ascii="Times New Roman" w:hAnsi="Times New Roman"/>
                <w:sz w:val="18"/>
              </w:rPr>
              <w:t>FORMAT_ERROR (Correct)</w:t>
            </w:r>
          </w:p>
        </w:tc>
      </w:tr>
      <w:tr w14:paraId="1499B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A9BF8CE">
            <w:pPr>
              <w:spacing w:before="40" w:after="40"/>
              <w:jc w:val="left"/>
            </w:pPr>
            <w:r>
              <w:rPr>
                <w:rFonts w:ascii="Times New Roman" w:hAnsi="Times New Roman"/>
                <w:sz w:val="18"/>
              </w:rPr>
              <w:t>B.Tech</w:t>
            </w:r>
          </w:p>
        </w:tc>
        <w:tc>
          <w:tcPr>
            <w:tcW w:w="2340" w:type="dxa"/>
            <w:shd w:val="clear" w:color="auto" w:fill="F8F9FA"/>
            <w:tcMar>
              <w:top w:w="100" w:type="dxa"/>
              <w:left w:w="130" w:type="dxa"/>
              <w:bottom w:w="100" w:type="dxa"/>
              <w:right w:w="130" w:type="dxa"/>
            </w:tcMar>
          </w:tcPr>
          <w:p w14:paraId="75828634">
            <w:pPr>
              <w:spacing w:before="40" w:after="40"/>
              <w:jc w:val="center"/>
            </w:pPr>
            <w:r>
              <w:rPr>
                <w:rFonts w:ascii="Times New Roman" w:hAnsi="Times New Roman"/>
                <w:sz w:val="18"/>
              </w:rPr>
              <w:t>Bachelor of Technology</w:t>
            </w:r>
          </w:p>
        </w:tc>
        <w:tc>
          <w:tcPr>
            <w:tcW w:w="2340" w:type="dxa"/>
            <w:shd w:val="clear" w:color="auto" w:fill="F8F9FA"/>
            <w:tcMar>
              <w:top w:w="100" w:type="dxa"/>
              <w:left w:w="130" w:type="dxa"/>
              <w:bottom w:w="100" w:type="dxa"/>
              <w:right w:w="130" w:type="dxa"/>
            </w:tcMar>
          </w:tcPr>
          <w:p w14:paraId="0B67BD9E">
            <w:pPr>
              <w:spacing w:before="40" w:after="40"/>
              <w:jc w:val="center"/>
            </w:pPr>
            <w:r>
              <w:rPr>
                <w:rFonts w:ascii="Times New Roman" w:hAnsi="Times New Roman"/>
                <w:sz w:val="18"/>
              </w:rPr>
              <w:t>Bachelor of Technology == Bachelor of Technology</w:t>
            </w:r>
          </w:p>
        </w:tc>
        <w:tc>
          <w:tcPr>
            <w:tcW w:w="2340" w:type="dxa"/>
            <w:shd w:val="clear" w:color="auto" w:fill="F8F9FA"/>
            <w:tcMar>
              <w:top w:w="100" w:type="dxa"/>
              <w:left w:w="130" w:type="dxa"/>
              <w:bottom w:w="100" w:type="dxa"/>
              <w:right w:w="130" w:type="dxa"/>
            </w:tcMar>
          </w:tcPr>
          <w:p w14:paraId="15D721C6">
            <w:pPr>
              <w:spacing w:before="40" w:after="40"/>
              <w:jc w:val="center"/>
            </w:pPr>
            <w:r>
              <w:rPr>
                <w:rFonts w:ascii="Times New Roman" w:hAnsi="Times New Roman"/>
                <w:sz w:val="18"/>
              </w:rPr>
              <w:t>FORMAT_ERROR (Correct)</w:t>
            </w:r>
          </w:p>
        </w:tc>
      </w:tr>
      <w:tr w14:paraId="238731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896FAC1">
            <w:pPr>
              <w:spacing w:before="40" w:after="40"/>
              <w:jc w:val="left"/>
            </w:pPr>
            <w:r>
              <w:rPr>
                <w:rFonts w:ascii="Times New Roman" w:hAnsi="Times New Roman"/>
                <w:sz w:val="18"/>
              </w:rPr>
              <w:t>VTU</w:t>
            </w:r>
          </w:p>
        </w:tc>
        <w:tc>
          <w:tcPr>
            <w:tcW w:w="2340" w:type="dxa"/>
            <w:shd w:val="clear" w:color="auto" w:fill="FFFFFF"/>
            <w:tcMar>
              <w:top w:w="100" w:type="dxa"/>
              <w:left w:w="130" w:type="dxa"/>
              <w:bottom w:w="100" w:type="dxa"/>
              <w:right w:w="130" w:type="dxa"/>
            </w:tcMar>
          </w:tcPr>
          <w:p w14:paraId="1F0D2529">
            <w:pPr>
              <w:spacing w:before="40" w:after="40"/>
              <w:jc w:val="center"/>
            </w:pPr>
            <w:r>
              <w:rPr>
                <w:rFonts w:ascii="Times New Roman" w:hAnsi="Times New Roman"/>
                <w:sz w:val="18"/>
              </w:rPr>
              <w:t>Delhi University</w:t>
            </w:r>
          </w:p>
        </w:tc>
        <w:tc>
          <w:tcPr>
            <w:tcW w:w="2340" w:type="dxa"/>
            <w:shd w:val="clear" w:color="auto" w:fill="FFFFFF"/>
            <w:tcMar>
              <w:top w:w="100" w:type="dxa"/>
              <w:left w:w="130" w:type="dxa"/>
              <w:bottom w:w="100" w:type="dxa"/>
              <w:right w:w="130" w:type="dxa"/>
            </w:tcMar>
          </w:tcPr>
          <w:p w14:paraId="4EB56FC2">
            <w:pPr>
              <w:spacing w:before="40" w:after="40"/>
              <w:jc w:val="center"/>
            </w:pPr>
            <w:r>
              <w:rPr>
                <w:rFonts w:ascii="Times New Roman" w:hAnsi="Times New Roman"/>
                <w:sz w:val="18"/>
              </w:rPr>
              <w:t xml:space="preserve">Vivekananda Technical University </w:t>
            </w:r>
            <ns3:oMath>
              <ns3:r>
                <ns3:rPr/>
                <w:rPr>
                  <w:rFonts w:ascii="Cambria Math" w:hAnsi="Cambria Math"/>
                </w:rPr>
                <ns3:t>≠</ns3:t>
              </ns3:r>
            </ns3:oMath>
            <w:r>
              <w:rPr>
                <w:rFonts w:ascii="Times New Roman" w:hAnsi="Times New Roman"/>
                <w:sz w:val="18"/>
              </w:rPr>
              <w:t xml:space="preserve"> Delhi University</w:t>
            </w:r>
          </w:p>
        </w:tc>
        <w:tc>
          <w:tcPr>
            <w:tcW w:w="2340" w:type="dxa"/>
            <w:shd w:val="clear" w:color="auto" w:fill="FFFFFF"/>
            <w:tcMar>
              <w:top w:w="100" w:type="dxa"/>
              <w:left w:w="130" w:type="dxa"/>
              <w:bottom w:w="100" w:type="dxa"/>
              <w:right w:w="130" w:type="dxa"/>
            </w:tcMar>
          </w:tcPr>
          <w:p w14:paraId="626476FB">
            <w:pPr>
              <w:spacing w:before="40" w:after="40"/>
              <w:jc w:val="center"/>
            </w:pPr>
            <w:r>
              <w:rPr>
                <w:rFonts w:ascii="Times New Roman" w:hAnsi="Times New Roman"/>
                <w:sz w:val="18"/>
              </w:rPr>
              <w:t>NORMALIZATION_ERROR</w:t>
            </w:r>
          </w:p>
        </w:tc>
      </w:tr>
      <w:tr w14:paraId="6E175AA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7E161CDB">
            <w:pPr>
              <w:spacing w:before="40" w:after="40"/>
              <w:jc w:val="left"/>
            </w:pPr>
            <w:r>
              <w:rPr>
                <w:rFonts w:ascii="Times New Roman" w:hAnsi="Times New Roman"/>
                <w:sz w:val="18"/>
              </w:rPr>
              <w:t>2021-IT-00150</w:t>
            </w:r>
          </w:p>
        </w:tc>
        <w:tc>
          <w:tcPr>
            <w:tcW w:w="2340" w:type="dxa"/>
            <w:shd w:val="clear" w:color="auto" w:fill="F8F9FA"/>
            <w:tcMar>
              <w:top w:w="100" w:type="dxa"/>
              <w:left w:w="130" w:type="dxa"/>
              <w:bottom w:w="100" w:type="dxa"/>
              <w:right w:w="130" w:type="dxa"/>
            </w:tcMar>
          </w:tcPr>
          <w:p w14:paraId="25033F2A">
            <w:pPr>
              <w:spacing w:before="40" w:after="40"/>
              <w:jc w:val="center"/>
            </w:pPr>
            <w:r>
              <w:rPr>
                <w:rFonts w:ascii="Times New Roman" w:hAnsi="Times New Roman"/>
                <w:sz w:val="18"/>
              </w:rPr>
              <w:t>2021IT00999</w:t>
            </w:r>
          </w:p>
        </w:tc>
        <w:tc>
          <w:tcPr>
            <w:tcW w:w="2340" w:type="dxa"/>
            <w:shd w:val="clear" w:color="auto" w:fill="F8F9FA"/>
            <w:tcMar>
              <w:top w:w="100" w:type="dxa"/>
              <w:left w:w="130" w:type="dxa"/>
              <w:bottom w:w="100" w:type="dxa"/>
              <w:right w:w="130" w:type="dxa"/>
            </w:tcMar>
          </w:tcPr>
          <w:p w14:paraId="632B461A">
            <w:pPr>
              <w:spacing w:before="40" w:after="40"/>
              <w:jc w:val="center"/>
            </w:pPr>
            <w:r>
              <w:rPr>
                <w:rFonts w:ascii="Times New Roman" w:hAnsi="Times New Roman"/>
                <w:sz w:val="18"/>
              </w:rPr>
              <w:t xml:space="preserve">2021IT00150 </w:t>
            </w:r>
            <ns3:oMath>
              <ns3:r>
                <ns3:rPr/>
                <w:rPr>
                  <w:rFonts w:ascii="Cambria Math" w:hAnsi="Cambria Math"/>
                </w:rPr>
                <ns3:t>≠</ns3:t>
              </ns3:r>
            </ns3:oMath>
            <w:r>
              <w:rPr>
                <w:rFonts w:ascii="Times New Roman" w:hAnsi="Times New Roman"/>
                <w:sz w:val="18"/>
              </w:rPr>
              <w:t xml:space="preserve"> 2021IT00999</w:t>
            </w:r>
          </w:p>
        </w:tc>
        <w:tc>
          <w:tcPr>
            <w:tcW w:w="2340" w:type="dxa"/>
            <w:shd w:val="clear" w:color="auto" w:fill="F8F9FA"/>
            <w:tcMar>
              <w:top w:w="100" w:type="dxa"/>
              <w:left w:w="130" w:type="dxa"/>
              <w:bottom w:w="100" w:type="dxa"/>
              <w:right w:w="130" w:type="dxa"/>
            </w:tcMar>
          </w:tcPr>
          <w:p w14:paraId="75D18AFF">
            <w:pPr>
              <w:spacing w:before="40" w:after="40"/>
              <w:jc w:val="center"/>
            </w:pPr>
            <w:r>
              <w:rPr>
                <w:rFonts w:ascii="Times New Roman" w:hAnsi="Times New Roman"/>
                <w:sz w:val="18"/>
              </w:rPr>
              <w:t>NORMALIZATION_ERROR</w:t>
            </w:r>
          </w:p>
        </w:tc>
      </w:tr>
    </w:tbl>
    <w:p w14:paraId="22D66C74">
      <w:pPr>
        <w:keepNext/>
        <w:spacing w:before="280" w:after="120"/>
        <w:jc w:val="both"/>
        <w:outlineLvl w:val="0"/>
      </w:pPr>
      <w:r>
        <w:rPr>
          <w:rFonts w:ascii="Times New Roman" w:hAnsi="Times New Roman"/>
          <w:b/>
          <w:color w:val="003366"/>
          <w:sz w:val="26"/>
        </w:rPr>
        <w:t>4. Experimental Setup</w:t>
      </w:r>
    </w:p>
    <w:p w14:paraId="558E0DC4">
      <w:pPr>
        <w:keepNext/>
        <w:spacing w:before="200" w:after="80"/>
        <w:jc w:val="both"/>
        <w:outlineLvl w:val="1"/>
      </w:pPr>
      <w:r>
        <w:rPr>
          <w:rFonts w:ascii="Times New Roman" w:hAnsi="Times New Roman"/>
          <w:b/>
          <w:color w:val="333333"/>
          <w:sz w:val="23"/>
        </w:rPr>
        <w:t>4.1 Dataset Composition (`AU_DIC_Benchmark_v1.0`)</w:t>
      </w:r>
    </w:p>
    <w:p w14:paraId="2A49B2C2">
      <w:pPr>
        <w:spacing w:before="40" w:after="80" w:line="276" w:lineRule="auto"/>
        <w:jc w:val="both"/>
      </w:pPr>
      <w:r>
        <w:rPr>
          <w:rFonts w:ascii="Times New Roman" w:hAnsi="Times New Roman"/>
          <w:sz w:val="20"/>
        </w:rPr>
        <w:t xml:space="preserve">The evaluation dataset consists of 360 image specimens (3 document categories </w:t>
      </w:r>
      <ns3:oMath>
        <ns3:r>
          <ns3:rPr/>
          <w:rPr>
            <w:rFonts w:ascii="Cambria Math" w:hAnsi="Cambria Math"/>
          </w:rPr>
          <ns3:t>×</ns3:t>
        </ns3:r>
      </ns3:oMath>
      <w:r>
        <w:rPr>
          <w:rFonts w:ascii="Times New Roman" w:hAnsi="Times New Roman"/>
          <w:sz w:val="20"/>
        </w:rPr>
        <w:t xml:space="preserve"> 30 unique document instances </w:t>
      </w:r>
      <ns3:oMath>
        <ns3:r>
          <ns3:rPr/>
          <w:rPr>
            <w:rFonts w:ascii="Cambria Math" w:hAnsi="Cambria Math"/>
          </w:rPr>
          <ns3:t>×</ns3:t>
        </ns3:r>
      </ns3:oMath>
      <w:r>
        <w:rPr>
          <w:rFonts w:ascii="Times New Roman" w:hAnsi="Times New Roman"/>
          <w:sz w:val="20"/>
        </w:rPr>
        <w:t xml:space="preserve"> 4 quality profiles). Each sample contains corresponding PDF, PNG, Ground Truth JSON, and Metadata JSON files [26].</w:t>
      </w:r>
    </w:p>
    <w:p w14:paraId="0B637798">
      <w:pPr>
        <w:keepNext/>
        <w:spacing w:before="200" w:after="80"/>
        <w:jc w:val="both"/>
        <w:outlineLvl w:val="1"/>
      </w:pPr>
      <w:r>
        <w:rPr>
          <w:rFonts w:ascii="Times New Roman" w:hAnsi="Times New Roman"/>
          <w:b/>
          <w:color w:val="333333"/>
          <w:sz w:val="23"/>
        </w:rPr>
        <w:t>4.2 Evaluation Protocol</w:t>
      </w:r>
    </w:p>
    <w:p w14:paraId="1CE7DA95">
      <w:pPr>
        <w:spacing w:before="40" w:after="80" w:line="276" w:lineRule="auto"/>
        <w:jc w:val="both"/>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 [31].</w:t>
      </w:r>
    </w:p>
    <w:p w14:paraId="08566FC3">
      <w:pPr>
        <w:keepNext/>
        <w:spacing w:before="200" w:after="80"/>
        <w:jc w:val="both"/>
        <w:outlineLvl w:val="1"/>
      </w:pPr>
      <w:r>
        <w:rPr>
          <w:rFonts w:ascii="Times New Roman" w:hAnsi="Times New Roman"/>
          <w:b/>
          <w:color w:val="333333"/>
          <w:sz w:val="23"/>
        </w:rPr>
        <w:t>4.3 Evaluation Metrics</w:t>
      </w:r>
    </w:p>
    <w:p w14:paraId="6B1C18D9">
      <w:pPr>
        <w:spacing w:before="40" w:after="80" w:line="276" w:lineRule="auto"/>
        <w:jc w:val="both"/>
      </w:pPr>
      <w:r>
        <w:rPr>
          <w:rFonts w:ascii="Times New Roman" w:hAnsi="Times New Roman"/>
          <w:sz w:val="20"/>
        </w:rPr>
        <w:t>The computed quantitative metrics are defined as follows:</w:t>
      </w:r>
    </w:p>
    <w:p w14:paraId="71941F13">
      <w:pPr>
        <w:spacing w:before="20" w:after="40"/>
        <w:ind w:left="360"/>
        <w:jc w:val="both"/>
        <w:outlineLvl w:val="0"/>
      </w:pPr>
      <ns3:oMath>
        <ns3:sSub>
          <ns3:sSubPr/>
          <ns3:e>
            <ns3:acc>
              <ns3:accPr/>
              <ns3:e>
                <ns3:r>
                  <ns3:rPr/>
                  <w:rPr>
                    <w:rFonts w:ascii="Cambria Math" w:hAnsi="Cambria Math"/>
                  </w:rPr>
                  <ns3:t>C</ns3:t>
                </ns3:r>
              </ns3:e>
            </ns3:acc>
          </ns3:e>
          <ns3:sub>
            <ns3:r>
              <ns3:rPr/>
              <w:rPr>
                <w:rFonts w:ascii="Cambria Math" w:hAnsi="Cambria Math"/>
              </w:rPr>
              <ns3:t>i</ns3:t>
            </ns3:r>
          </ns3:sub>
        </ns3:sSub>
      </ns3:oMath>
      <ns3:oMath>
        <ns3:sSub>
          <ns3:sSubPr/>
          <ns3:e>
            <ns3:r>
              <ns3:rPr/>
              <w:rPr>
                <w:rFonts w:ascii="Cambria Math" w:hAnsi="Cambria Math"/>
              </w:rPr>
              <ns3:t>C</ns3:t>
            </ns3:r>
          </ns3:e>
          <ns3:sub>
            <ns3:r>
              <ns3:rPr/>
              <w:rPr>
                <w:rFonts w:ascii="Cambria Math" w:hAnsi="Cambria Math"/>
              </w:rPr>
              <ns3:t>i</ns3:t>
            </ns3:r>
          </ns3:sub>
        </ns3:sSub>
      </ns3:oMath>
      <w:r>
        <w:t xml:space="preserve">1. Category Classification Accuracy (1): The proportion of specimens where the predicted document category (y_hat) matches the ground truth category (y):
   Acc_cat = (1 / N) * sum_{i=1}^N I(y_hat_i = y_i)   (1)</w:t>
      </w:r>
    </w:p>
    <w:p w14:paraId="0B6F120C">
      <w:pPr>
        <w:spacing w:before="40" w:after="80" w:line="276" w:lineRule="auto"/>
        <w:jc w:val="both"/>
      </w:pPr>
      <w:r>
        <w:rPr>
          <w:rFonts w:ascii="Times New Roman" w:hAnsi="Times New Roman"/>
          <w:sz w:val="20"/>
        </w:rPr>
        <w:t xml:space="preserve">where </w:t>
      </w:r>
      <ns3:oMath>
        <ns3:r>
          <ns3:rPr/>
          <w:rPr>
            <w:rFonts w:ascii="Cambria Math" w:hAnsi="Cambria Math"/>
          </w:rPr>
          <ns3:t>N=360</ns3:t>
        </ns3:r>
      </ns3:oMath>
      <w:r>
        <w:rPr>
          <w:rFonts w:ascii="Times New Roman" w:hAnsi="Times New Roman"/>
          <w:sz w:val="20"/>
        </w:rPr>
        <w:t xml:space="preserve"> total evaluated specimens.</w:t>
      </w:r>
    </w:p>
    <w:p w14:paraId="3A5AC0ED">
      <w:pPr>
        <w:spacing w:before="20" w:after="40"/>
        <w:ind w:left="360"/>
        <w:jc w:val="both"/>
        <w:outlineLvl w:val="0"/>
      </w:pPr>
      <ns3:oMath>
        <ns3:r>
          <ns3:rPr/>
          <w:rPr>
            <w:rFonts w:ascii="Cambria Math" w:hAnsi="Cambria Math"/>
          </w:rPr>
          <ns3:t>P</ns3:t>
        </ns3:r>
      </ns3:oMath>
      <ns3:oMath>
        <ns3:r>
          <ns3:rPr/>
          <w:rPr>
            <w:rFonts w:ascii="Cambria Math" w:hAnsi="Cambria Math"/>
          </w:rPr>
          <ns3:t>R</ns3:t>
        </ns3:r>
      </ns3:oMath>
      <ns3:oMath>
        <ns3:sSub>
          <ns3:sSubPr/>
          <ns3:e>
            <ns3:r>
              <ns3:rPr/>
              <w:rPr>
                <w:rFonts w:ascii="Cambria Math" w:hAnsi="Cambria Math"/>
              </w:rPr>
              <ns3:t>F</ns3:t>
            </ns3:r>
          </ns3:e>
          <ns3:sub>
            <ns3:r>
              <ns3:rPr/>
              <w:rPr>
                <w:rFonts w:ascii="Cambria Math" w:hAnsi="Cambria Math"/>
              </w:rPr>
              <ns3:t>1</ns3:t>
            </ns3:r>
          </ns3:sub>
        </ns3:sSub>
      </ns3:oMath>
      <w:r>
        <w:t xml:space="preserve">2. Field Extraction Precision, Recall, and F1 Score (2): Macro-averaged key-value field extraction metrics across all extracted target entities:
   Precision = TP / (TP + FP), Recall = TP / (TP + FN), F1 = (2 * Precision * Recall) / (Precision + Recall)   (2)</w:t>
      </w:r>
    </w:p>
    <w:p w14:paraId="3096A6D7">
      <w:pPr>
        <w:spacing w:before="20" w:after="40"/>
        <w:ind w:left="360"/>
        <w:jc w:val="both"/>
        <w:outlineLvl w:val="0"/>
      </w:pPr>
      <ns3:oMath>
        <ns3:sSub>
          <ns3:sSubPr/>
          <ns3:e>
            <ns3:r>
              <ns3:rPr/>
              <w:rPr>
                <w:rFonts w:ascii="Cambria Math" w:hAnsi="Cambria Math"/>
              </w:rPr>
              <ns3:t>L</ns3:t>
            </ns3:r>
          </ns3:e>
          <ns3:sub>
            <ns3:r>
              <ns3:rPr/>
              <w:rPr>
                <w:rFonts w:ascii="Times New Roman" w:hAnsi="Times New Roman"/>
              </w:rPr>
              <ns3:t>GT</ns3:t>
            </ns3:r>
          </ns3:sub>
        </ns3:sSub>
      </ns3:oMath>
      <w:r>
        <w:t xml:space="preserve">3. Character Error Rate (CER) (3): Levenshtein character edit distance [21] between canonically normalized predicted field strings and expected ground truth field strings, normalized by total ground truth character length (L_char):
   CER = D_char(s_hat, s) / |s|   (3)</w:t>
      </w:r>
    </w:p>
    <w:p w14:paraId="28D3FA95">
      <w:pPr>
        <w:spacing w:before="20" w:after="40"/>
        <w:ind w:left="360"/>
        <w:jc w:val="both"/>
        <w:outlineLvl w:val="0"/>
      </w:pPr>
      <ns3:oMath>
        <ns3:sSub>
          <ns3:sSubPr/>
          <ns3:e>
            <ns3:r>
              <ns3:rPr/>
              <w:rPr>
                <w:rFonts w:ascii="Cambria Math" w:hAnsi="Cambria Math"/>
              </w:rPr>
              <ns3:t>W</ns3:t>
            </ns3:r>
          </ns3:e>
          <ns3:sub>
            <ns3:r>
              <ns3:rPr/>
              <w:rPr>
                <w:rFonts w:ascii="Times New Roman" w:hAnsi="Times New Roman"/>
              </w:rPr>
              <ns3:t>GT</ns3:t>
            </ns3:r>
          </ns3:sub>
        </ns3:sSub>
      </ns3:oMath>
      <w:r>
        <w:t xml:space="preserve">4. Word Error Rate (WER) (4): Tokenized word-level edit distance [20] between predicted field strings and ground truth field strings, normalized by total ground truth word count (L_word):
   WER = D_word(w_hat, w) / |w|   (4)</w:t>
      </w:r>
    </w:p>
    <w:p w14:paraId="22B41161">
      <w:pPr>
        <w:spacing w:before="20" w:after="40"/>
        <w:ind w:left="360"/>
        <w:jc w:val="both"/>
        <w:outlineLvl w:val="0"/>
      </w:pPr>
      <w:r>
        <w:t xml:space="preserve">5. Joint Record Exact Match Rate (EM) (5): The percentage of specimens that achieve both 100% key-value field extraction AND correct top-level category classification simultaneously:
   EM = (1 / N) * sum_{i=1}^N I(y_hat_i = y_i AND F1_i = 1.0)   (5)</w:t>
      </w:r>
    </w:p>
    <w:p w14:paraId="4D33CC89">
      <w:pPr>
        <w:spacing w:before="20" w:after="40"/>
        <w:ind w:left="360"/>
        <w:jc w:val="both"/>
        <w:outlineLvl w:val="0"/>
      </w:pPr>
      <ns3:oMath>
        <ns3:r>
          <ns3:rPr/>
          <w:rPr>
            <w:rFonts w:ascii="Times New Roman" w:hAnsi="Times New Roman"/>
          </w:rPr>
          <ns3:t>ms/sample</ns3:t>
        </ns3:r>
      </ns3:oMath>
      <ns3:oMath>
        <ns3:r>
          <ns3:rPr/>
          <w:rPr>
            <w:rFonts w:ascii="Times New Roman" w:hAnsi="Times New Roman"/>
          </w:rPr>
          <ns3:t>samples/sec</ns3:t>
        </ns3:r>
      </ns3:oMath>
      <w:r>
        <w:t xml:space="preserve">6. Latency &amp; Throughput (6): Execution latency per specimen (L_proc) and framework processing throughput (TH):
   L_proc = T_total / N, TH = N / T_total   (6)</w:t>
      </w:r>
    </w:p>
    <w:p w14:paraId="08A8335A">
      <w:pPr>
        <w:keepNext/>
        <w:spacing w:before="280" w:after="120"/>
        <w:jc w:val="both"/>
        <w:outlineLvl w:val="0"/>
      </w:pPr>
      <w:r>
        <w:rPr>
          <w:rFonts w:ascii="Times New Roman" w:hAnsi="Times New Roman"/>
          <w:b/>
          <w:color w:val="003366"/>
          <w:sz w:val="26"/>
        </w:rPr>
        <w:t>5. Results &amp; Empirical Validation</w:t>
      </w:r>
    </w:p>
    <w:p w14:paraId="55088229">
      <w:pPr>
        <w:keepNext/>
        <w:spacing w:before="200" w:after="80"/>
        <w:jc w:val="both"/>
        <w:outlineLvl w:val="1"/>
      </w:pPr>
      <w:r>
        <w:rPr>
          <w:rFonts w:ascii="Times New Roman" w:hAnsi="Times New Roman"/>
          <w:b/>
          <w:color w:val="333333"/>
          <w:sz w:val="23"/>
        </w:rPr>
        <w:t>5.1 Distinction Between Framework Validation, Benchmark Validation, and Model Performance</w:t>
      </w:r>
    </w:p>
    <w:p w14:paraId="6A01D444">
      <w:pPr>
        <w:spacing w:before="40" w:after="80" w:line="276" w:lineRule="auto"/>
        <w:jc w:val="both"/>
      </w:pPr>
      <w:r>
        <w:rPr>
          <w:rFonts w:ascii="Times New Roman" w:hAnsi="Times New Roman"/>
          <w:sz w:val="20"/>
        </w:rPr>
        <w:t>To ensure complete scientific integrity, we explicitly distinguish between three evaluation dimensions:</w:t>
      </w:r>
    </w:p>
    <w:p w14:paraId="4AF1F604">
      <w:pPr>
        <w:spacing w:before="20" w:after="40"/>
        <w:ind w:left="360"/>
        <w:jc w:val="both"/>
        <w:outlineLvl w:val="0"/>
      </w:pPr>
      <w:r>
        <w:rPr>
          <w:rFonts w:ascii="Times New Roman" w:hAnsi="Times New Roman"/>
          <w:b/>
          <w:sz w:val="20"/>
        </w:rPr>
        <w:t>1. 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 [31].</w:t>
      </w:r>
    </w:p>
    <w:p w14:paraId="2C98B077">
      <w:pPr>
        <w:spacing w:before="20" w:after="40"/>
        <w:ind w:left="360"/>
        <w:jc w:val="both"/>
        <w:outlineLvl w:val="0"/>
      </w:pPr>
      <w:r>
        <w:rPr>
          <w:rFonts w:ascii="Times New Roman" w:hAnsi="Times New Roman"/>
          <w:b/>
          <w:sz w:val="20"/>
        </w:rPr>
        <w:t>2. 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14:paraId="3F18B735">
      <w:pPr>
        <w:spacing w:before="20" w:after="40"/>
        <w:ind w:left="360"/>
        <w:jc w:val="both"/>
        <w:outlineLvl w:val="0"/>
      </w:pPr>
      <w:r>
        <w:rPr>
          <w:rFonts w:ascii="Times New Roman" w:hAnsi="Times New Roman"/>
          <w:b/>
          <w:sz w:val="20"/>
        </w:rPr>
        <w:t>3. Model Extraction Performance (Model Evaluation)</w:t>
      </w:r>
      <w:r>
        <w:rPr>
          <w:rFonts w:ascii="Times New Roman" w:hAnsi="Times New Roman"/>
          <w:sz w:val="20"/>
        </w:rPr>
        <w:t>: Measures extraction performance metrics (Precision, Recall, F1, CER, WER) across live neural models.</w:t>
      </w:r>
    </w:p>
    <w:p w14:paraId="6B94BD40">
      <w:pPr>
        <w:keepNext/>
        <w:spacing w:before="200" w:after="80"/>
        <w:jc w:val="both"/>
        <w:outlineLvl w:val="1"/>
      </w:pPr>
      <w:r>
        <w:rPr>
          <w:rFonts w:ascii="Times New Roman" w:hAnsi="Times New Roman"/>
          <w:b/>
          <w:color w:val="333333"/>
          <w:sz w:val="23"/>
        </w:rPr>
        <w:t>5.2 Framework Execution &amp; System Verification Metrics</w:t>
      </w:r>
    </w:p>
    <w:p w14:paraId="665D21BC">
      <w:pPr>
        <w:spacing w:before="40" w:after="80" w:line="276" w:lineRule="auto"/>
      </w:pPr>
      <w:r>
        <w:t xml:space="preserve">Table III summarizes the framework system verification metrics evaluated across the 360 benchmark specimens (AU_DIC_Benchmark_v1.0).</w:t>
      </w:r>
    </w:p>
    <w:p w14:paraId="71A92F66">
      <w:pPr>
        <w:keepNext/>
        <w:spacing w:before="80" w:after="160"/>
        <w:jc w:val="center"/>
      </w:pPr>
      <w:r>
        <w:t xml:space="preserve">Table III: Framework Verification Metrics (Dry-Run Infrastructure Validation on AU DIC Benchmark v1.0)</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169"/>
        <w:gridCol w:w="1169"/>
        <w:gridCol w:w="1169"/>
        <w:gridCol w:w="1168"/>
        <w:gridCol w:w="1169"/>
        <w:gridCol w:w="1168"/>
        <w:gridCol w:w="1168"/>
      </w:tblGrid>
      <w:tr w14:paraId="43AFB74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709BD96A">
            <w:pPr>
              <w:spacing w:before="40" w:after="40"/>
              <w:jc w:val="center"/>
            </w:pPr>
            <w:r>
              <w:t xml:space="preserve">Quality Profile</w:t>
            </w:r>
          </w:p>
        </w:tc>
        <w:tc>
          <w:tcPr>
            <w:tcW w:w="1170" w:type="dxa"/>
            <w:shd w:val="clear" w:color="auto" w:fill="003366"/>
            <w:tcMar>
              <w:top w:w="100" w:type="dxa"/>
              <w:left w:w="130" w:type="dxa"/>
              <w:bottom w:w="100" w:type="dxa"/>
              <w:right w:w="130" w:type="dxa"/>
            </w:tcMar>
          </w:tcPr>
          <w:p w14:paraId="17177FED">
            <w:pPr>
              <w:spacing w:before="40" w:after="40"/>
              <w:jc w:val="center"/>
            </w:pPr>
            <w:r>
              <w:t xml:space="preserve">Samples</w:t>
            </w:r>
          </w:p>
        </w:tc>
        <w:tc>
          <w:tcPr>
            <w:tcW w:w="1170" w:type="dxa"/>
            <w:shd w:val="clear" w:color="auto" w:fill="003366"/>
            <w:tcMar>
              <w:top w:w="100" w:type="dxa"/>
              <w:left w:w="130" w:type="dxa"/>
              <w:bottom w:w="100" w:type="dxa"/>
              <w:right w:w="130" w:type="dxa"/>
            </w:tcMar>
          </w:tcPr>
          <w:p w14:paraId="1D758CA0">
            <w:pPr>
              <w:spacing w:before="40" w:after="40"/>
              <w:jc w:val="center"/>
            </w:pPr>
            <w:r>
              <w:t xml:space="preserve">Framework Acc (Dry-Run)*</w:t>
            </w:r>
          </w:p>
        </w:tc>
        <w:tc>
          <w:tcPr>
            <w:tcW w:w="1170" w:type="dxa"/>
            <w:shd w:val="clear" w:color="auto" w:fill="003366"/>
            <w:tcMar>
              <w:top w:w="100" w:type="dxa"/>
              <w:left w:w="130" w:type="dxa"/>
              <w:bottom w:w="100" w:type="dxa"/>
              <w:right w:w="130" w:type="dxa"/>
            </w:tcMar>
          </w:tcPr>
          <w:p w14:paraId="6DD2ED62">
            <w:pPr>
              <w:spacing w:before="40" w:after="40"/>
              <w:jc w:val="center"/>
            </w:pPr>
            <w:r>
              <w:t xml:space="preserve">Precision*</w:t>
            </w:r>
          </w:p>
        </w:tc>
        <w:tc>
          <w:tcPr>
            <w:tcW w:w="1170" w:type="dxa"/>
            <w:shd w:val="clear" w:color="auto" w:fill="003366"/>
            <w:tcMar>
              <w:top w:w="100" w:type="dxa"/>
              <w:left w:w="130" w:type="dxa"/>
              <w:bottom w:w="100" w:type="dxa"/>
              <w:right w:w="130" w:type="dxa"/>
            </w:tcMar>
          </w:tcPr>
          <w:p w14:paraId="148D6DDA">
            <w:pPr>
              <w:spacing w:before="40" w:after="40"/>
              <w:jc w:val="center"/>
            </w:pPr>
            <w:r>
              <w:t xml:space="preserve">Recall*</w:t>
            </w:r>
          </w:p>
        </w:tc>
        <w:tc>
          <w:tcPr>
            <w:tcW w:w="1170" w:type="dxa"/>
            <w:shd w:val="clear" w:color="auto" w:fill="003366"/>
            <w:tcMar>
              <w:top w:w="100" w:type="dxa"/>
              <w:left w:w="130" w:type="dxa"/>
              <w:bottom w:w="100" w:type="dxa"/>
              <w:right w:w="130" w:type="dxa"/>
            </w:tcMar>
          </w:tcPr>
          <w:p w14:paraId="6E0B802A">
            <w:pPr>
              <w:spacing w:before="40" w:after="40"/>
              <w:jc w:val="center"/>
            </w:pPr>
            <w:r>
              <w:t xml:space="preserve">F1 Score*</w:t>
            </w:r>
          </w:p>
        </w:tc>
        <w:tc>
          <w:tcPr>
            <w:tcW w:w="1170" w:type="dxa"/>
            <w:shd w:val="clear" w:color="auto" w:fill="003366"/>
            <w:tcMar>
              <w:top w:w="100" w:type="dxa"/>
              <w:left w:w="130" w:type="dxa"/>
              <w:bottom w:w="100" w:type="dxa"/>
              <w:right w:w="130" w:type="dxa"/>
            </w:tcMar>
          </w:tcPr>
          <w:p w14:paraId="780474C8">
            <w:pPr>
              <w:spacing w:before="40" w:after="40"/>
              <w:jc w:val="center"/>
            </w:pPr>
            <w:r>
              <w:t xml:space="preserve">Mean CER*</w:t>
            </w:r>
          </w:p>
        </w:tc>
        <w:tc>
          <w:tcPr>
            <w:tcW w:w="1170" w:type="dxa"/>
            <w:shd w:val="clear" w:color="auto" w:fill="003366"/>
            <w:tcMar>
              <w:top w:w="100" w:type="dxa"/>
              <w:left w:w="130" w:type="dxa"/>
              <w:bottom w:w="100" w:type="dxa"/>
              <w:right w:w="130" w:type="dxa"/>
            </w:tcMar>
          </w:tcPr>
          <w:p w14:paraId="1A773B1A">
            <w:pPr>
              <w:spacing w:before="40" w:after="40"/>
              <w:jc w:val="center"/>
            </w:pPr>
            <w:r>
              <w:t xml:space="preserve">Mean WER*</w:t>
            </w:r>
          </w:p>
        </w:tc>
      </w:tr>
      <w:tr w14:paraId="567A0C0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8BEB654">
            <w:pPr>
              <w:spacing w:before="40" w:after="40"/>
              <w:jc w:val="left"/>
            </w:pPr>
            <w:r>
              <w:rPr>
                <w:rFonts w:ascii="Times New Roman" w:hAnsi="Times New Roman"/>
                <w:b/>
                <w:sz w:val="18"/>
              </w:rPr>
              <w:t>clean</w:t>
            </w:r>
          </w:p>
        </w:tc>
        <w:tc>
          <w:tcPr>
            <w:tcW w:w="1170" w:type="dxa"/>
            <w:shd w:val="clear" w:color="auto" w:fill="FFFFFF"/>
            <w:tcMar>
              <w:top w:w="100" w:type="dxa"/>
              <w:left w:w="130" w:type="dxa"/>
              <w:bottom w:w="100" w:type="dxa"/>
              <w:right w:w="130" w:type="dxa"/>
            </w:tcMar>
          </w:tcPr>
          <w:p w14:paraId="5ED1A06A">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57F89F7">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3A1102F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F630DBE">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BEBE993">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1ADC2FFF">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06A17204">
            <w:pPr>
              <w:spacing w:before="40" w:after="40"/>
              <w:jc w:val="center"/>
            </w:pPr>
            <w:r>
              <w:rPr>
                <w:rFonts w:ascii="Times New Roman" w:hAnsi="Times New Roman"/>
                <w:sz w:val="18"/>
              </w:rPr>
              <w:t>0.00%*</w:t>
            </w:r>
          </w:p>
        </w:tc>
      </w:tr>
      <w:tr w14:paraId="65BD880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7646F598">
            <w:pPr>
              <w:spacing w:before="40" w:after="40"/>
              <w:jc w:val="left"/>
            </w:pPr>
            <w:r>
              <w:rPr>
                <w:rFonts w:ascii="Times New Roman" w:hAnsi="Times New Roman"/>
                <w:b/>
                <w:sz w:val="18"/>
              </w:rPr>
              <w:t>scanner_copy</w:t>
            </w:r>
          </w:p>
        </w:tc>
        <w:tc>
          <w:tcPr>
            <w:tcW w:w="1170" w:type="dxa"/>
            <w:shd w:val="clear" w:color="auto" w:fill="F8F9FA"/>
            <w:tcMar>
              <w:top w:w="100" w:type="dxa"/>
              <w:left w:w="130" w:type="dxa"/>
              <w:bottom w:w="100" w:type="dxa"/>
              <w:right w:w="130" w:type="dxa"/>
            </w:tcMar>
          </w:tcPr>
          <w:p w14:paraId="1FC7D9AF">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3E222475">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F3BD264">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8D18A16">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C59D9B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56D92BA">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64E7DAED">
            <w:pPr>
              <w:spacing w:before="40" w:after="40"/>
              <w:jc w:val="center"/>
            </w:pPr>
            <w:r>
              <w:rPr>
                <w:rFonts w:ascii="Times New Roman" w:hAnsi="Times New Roman"/>
                <w:sz w:val="18"/>
              </w:rPr>
              <w:t>0.00%*</w:t>
            </w:r>
          </w:p>
        </w:tc>
      </w:tr>
      <w:tr w14:paraId="2456C9E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4A1993A7">
            <w:pPr>
              <w:spacing w:before="40" w:after="40"/>
              <w:jc w:val="left"/>
            </w:pPr>
            <w:r>
              <w:rPr>
                <w:rFonts w:ascii="Times New Roman" w:hAnsi="Times New Roman"/>
                <w:b/>
                <w:sz w:val="18"/>
              </w:rPr>
              <w:t>mobile_camera</w:t>
            </w:r>
          </w:p>
        </w:tc>
        <w:tc>
          <w:tcPr>
            <w:tcW w:w="1170" w:type="dxa"/>
            <w:shd w:val="clear" w:color="auto" w:fill="FFFFFF"/>
            <w:tcMar>
              <w:top w:w="100" w:type="dxa"/>
              <w:left w:w="130" w:type="dxa"/>
              <w:bottom w:w="100" w:type="dxa"/>
              <w:right w:w="130" w:type="dxa"/>
            </w:tcMar>
          </w:tcPr>
          <w:p w14:paraId="483763EF">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1E8BC4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00F6124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DC7E80A">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5EEF2E61">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442F642">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4D1C5F23">
            <w:pPr>
              <w:spacing w:before="40" w:after="40"/>
              <w:jc w:val="center"/>
            </w:pPr>
            <w:r>
              <w:rPr>
                <w:rFonts w:ascii="Times New Roman" w:hAnsi="Times New Roman"/>
                <w:sz w:val="18"/>
              </w:rPr>
              <w:t>0.00%*</w:t>
            </w:r>
          </w:p>
        </w:tc>
      </w:tr>
      <w:tr w14:paraId="49F60EB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B7B4C1">
            <w:pPr>
              <w:spacing w:before="40" w:after="40"/>
              <w:jc w:val="left"/>
            </w:pPr>
            <w:r>
              <w:rPr>
                <w:rFonts w:ascii="Times New Roman" w:hAnsi="Times New Roman"/>
                <w:b/>
                <w:sz w:val="18"/>
              </w:rPr>
              <w:t>rotated_90</w:t>
            </w:r>
          </w:p>
        </w:tc>
        <w:tc>
          <w:tcPr>
            <w:tcW w:w="1170" w:type="dxa"/>
            <w:shd w:val="clear" w:color="auto" w:fill="F8F9FA"/>
            <w:tcMar>
              <w:top w:w="100" w:type="dxa"/>
              <w:left w:w="130" w:type="dxa"/>
              <w:bottom w:w="100" w:type="dxa"/>
              <w:right w:w="130" w:type="dxa"/>
            </w:tcMar>
          </w:tcPr>
          <w:p w14:paraId="3CB3B3E6">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61AB0503">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0EA18C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F294B7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2EB270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D0A2B99">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7D760920">
            <w:pPr>
              <w:spacing w:before="40" w:after="40"/>
              <w:jc w:val="center"/>
            </w:pPr>
            <w:r>
              <w:rPr>
                <w:rFonts w:ascii="Times New Roman" w:hAnsi="Times New Roman"/>
                <w:sz w:val="18"/>
              </w:rPr>
              <w:t>0.00%*</w:t>
            </w:r>
          </w:p>
        </w:tc>
      </w:tr>
      <w:tr w14:paraId="1C33CCE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5134C29">
            <w:pPr>
              <w:spacing w:before="40" w:after="40"/>
              <w:jc w:val="left"/>
            </w:pPr>
            <w:r>
              <w:rPr>
                <w:rFonts w:ascii="Times New Roman" w:hAnsi="Times New Roman"/>
                <w:b/>
                <w:sz w:val="18"/>
              </w:rPr>
              <w:t>Overall Total</w:t>
            </w:r>
          </w:p>
        </w:tc>
        <w:tc>
          <w:tcPr>
            <w:tcW w:w="1170" w:type="dxa"/>
            <w:shd w:val="clear" w:color="auto" w:fill="FFFFFF"/>
            <w:tcMar>
              <w:top w:w="100" w:type="dxa"/>
              <w:left w:w="130" w:type="dxa"/>
              <w:bottom w:w="100" w:type="dxa"/>
              <w:right w:w="130" w:type="dxa"/>
            </w:tcMar>
          </w:tcPr>
          <w:p w14:paraId="5172DB03">
            <w:pPr>
              <w:spacing w:before="40" w:after="40"/>
              <w:jc w:val="center"/>
            </w:pPr>
            <w:r>
              <w:rPr>
                <w:rFonts w:ascii="Times New Roman" w:hAnsi="Times New Roman"/>
                <w:b/>
                <w:sz w:val="18"/>
              </w:rPr>
              <w:t>360</w:t>
            </w:r>
          </w:p>
        </w:tc>
        <w:tc>
          <w:tcPr>
            <w:tcW w:w="1170" w:type="dxa"/>
            <w:shd w:val="clear" w:color="auto" w:fill="FFFFFF"/>
            <w:tcMar>
              <w:top w:w="100" w:type="dxa"/>
              <w:left w:w="130" w:type="dxa"/>
              <w:bottom w:w="100" w:type="dxa"/>
              <w:right w:w="130" w:type="dxa"/>
            </w:tcMar>
          </w:tcPr>
          <w:p w14:paraId="33471237">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6A238882">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A25CC4E">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C251926">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3314F2F9">
            <w:pPr>
              <w:spacing w:before="40" w:after="40"/>
              <w:jc w:val="center"/>
            </w:pPr>
            <w:r>
              <w:rPr>
                <w:rFonts w:ascii="Times New Roman" w:hAnsi="Times New Roman"/>
                <w:b/>
                <w:sz w:val="18"/>
              </w:rPr>
              <w:t>0.00%</w:t>
            </w:r>
          </w:p>
        </w:tc>
        <w:tc>
          <w:tcPr>
            <w:tcW w:w="1170" w:type="dxa"/>
            <w:shd w:val="clear" w:color="auto" w:fill="FFFFFF"/>
            <w:tcMar>
              <w:top w:w="100" w:type="dxa"/>
              <w:left w:w="130" w:type="dxa"/>
              <w:bottom w:w="100" w:type="dxa"/>
              <w:right w:w="130" w:type="dxa"/>
            </w:tcMar>
          </w:tcPr>
          <w:p w14:paraId="590ABE5F">
            <w:pPr>
              <w:spacing w:before="40" w:after="40"/>
              <w:jc w:val="center"/>
            </w:pPr>
            <w:r>
              <w:rPr>
                <w:rFonts w:ascii="Times New Roman" w:hAnsi="Times New Roman"/>
                <w:b/>
                <w:sz w:val="18"/>
              </w:rPr>
              <w:t>0.00%</w:t>
            </w:r>
          </w:p>
        </w:tc>
      </w:tr>
    </w:tbl>
    <w:p w14:paraId="5B8ADE72">
      <w:pPr>
        <w:spacing w:before="40" w:after="80" w:line="276" w:lineRule="auto"/>
        <w:jc w:val="both"/>
      </w:pPr>
      <w:r>
        <w:rPr>
          <w:rFonts w:ascii="Times New Roman" w:hAnsi="Times New Roman"/>
          <w:i/>
          <w:sz w:val="20"/>
        </w:rPr>
        <w:t>\</w:t>
      </w:r>
      <w:r>
        <w:rPr>
          <w:rFonts w:ascii="Times New Roman" w:hAnsi="Times New Roman"/>
          <w:sz w:val="20"/>
        </w:rPr>
        <w:t>Denotes framework system verification metrics (dry-run baseline reference).*</w:t>
      </w:r>
    </w:p>
    <w:p w14:paraId="7EFF2A81">
      <w:pPr>
        <w:keepNext/>
        <w:spacing w:before="200" w:after="80"/>
        <w:jc w:val="both"/>
        <w:outlineLvl w:val="1"/>
      </w:pPr>
      <w:r>
        <w:rPr>
          <w:rFonts w:ascii="Times New Roman" w:hAnsi="Times New Roman"/>
          <w:b/>
          <w:color w:val="333333"/>
          <w:sz w:val="23"/>
        </w:rPr>
        <w:t>5.3 System Throughput &amp; Execution Latency</w:t>
      </w:r>
    </w:p>
    <w:p w14:paraId="7A2085D3">
      <w:pPr>
        <w:pStyle w:val="23"/>
        <w:spacing w:before="20" w:after="40"/>
        <w:jc w:val="both"/>
      </w:pPr>
      <w:r>
        <w:rPr>
          <w:rFonts w:ascii="Times New Roman" w:hAnsi="Times New Roman"/>
          <w:b/>
          <w:sz w:val="20"/>
        </w:rPr>
        <w:t>Total Samples Evaluated</w:t>
      </w:r>
      <w:r>
        <w:rPr>
          <w:rFonts w:ascii="Times New Roman" w:hAnsi="Times New Roman"/>
          <w:sz w:val="20"/>
        </w:rPr>
        <w:t>: 360</w:t>
      </w:r>
    </w:p>
    <w:p w14:paraId="67806D57">
      <w:pPr>
        <w:pStyle w:val="23"/>
        <w:spacing w:before="20" w:after="40"/>
        <w:jc w:val="both"/>
      </w:pPr>
      <w:r>
        <w:rPr>
          <w:rFonts w:ascii="Times New Roman" w:hAnsi="Times New Roman"/>
          <w:b/>
          <w:sz w:val="20"/>
        </w:rPr>
        <w:t>Successful / Failed Ratio</w:t>
      </w:r>
      <w:r>
        <w:rPr>
          <w:rFonts w:ascii="Times New Roman" w:hAnsi="Times New Roman"/>
          <w:sz w:val="20"/>
        </w:rPr>
        <w:t>: 360 / 0</w:t>
      </w:r>
    </w:p>
    <w:p w14:paraId="21B6BFD9">
      <w:pPr>
        <w:pStyle w:val="23"/>
        <w:spacing w:before="20" w:after="40"/>
        <w:jc w:val="both"/>
      </w:pPr>
      <w:r>
        <w:rPr>
          <w:rFonts w:ascii="Times New Roman" w:hAnsi="Times New Roman"/>
          <w:b/>
          <w:sz w:val="20"/>
        </w:rPr>
        <w:t>Total System Verification Execution Time</w:t>
      </w:r>
      <w:r>
        <w:rPr>
          <w:rFonts w:ascii="Times New Roman" w:hAnsi="Times New Roman"/>
          <w:sz w:val="20"/>
        </w:rPr>
        <w:t>: 1.48 seconds</w:t>
      </w:r>
    </w:p>
    <w:p w14:paraId="51FE4A7B">
      <w:pPr>
        <w:pStyle w:val="23"/>
        <w:spacing w:before="20" w:after="40"/>
        <w:jc w:val="both"/>
      </w:pPr>
      <w:r>
        <w:rPr>
          <w:rFonts w:ascii="Times New Roman" w:hAnsi="Times New Roman"/>
          <w:b/>
          <w:sz w:val="20"/>
        </w:rPr>
        <w:t>System Verification Throughput</w:t>
      </w:r>
      <w:r>
        <w:rPr>
          <w:rFonts w:ascii="Times New Roman" w:hAnsi="Times New Roman"/>
          <w:sz w:val="20"/>
        </w:rPr>
        <w:t>: 242.59 samples/sec</w:t>
      </w:r>
    </w:p>
    <w:p w14:paraId="5B6CD603">
      <w:pPr>
        <w:pStyle w:val="23"/>
        <w:spacing w:before="20" w:after="40"/>
        <w:jc w:val="both"/>
      </w:pPr>
      <w:r>
        <w:rPr>
          <w:rFonts w:ascii="Times New Roman" w:hAnsi="Times New Roman"/>
          <w:b/>
          <w:sz w:val="20"/>
        </w:rPr>
        <w:t>Mean System Processing Latency</w:t>
      </w:r>
      <w:r>
        <w:rPr>
          <w:rFonts w:ascii="Times New Roman" w:hAnsi="Times New Roman"/>
          <w:sz w:val="20"/>
        </w:rPr>
        <w:t>: 4.12 ms/sample (</w:t>
      </w:r>
      <ns3:oMath>
        <ns3:r>
          <ns3:rPr/>
          <w:rPr>
            <w:rFonts w:ascii="Cambria Math" w:hAnsi="Cambria Math"/>
          </w:rPr>
          <ns3:t>σ=0.45</ns3:t>
        </ns3:r>
        <ns3:r>
          <ns3:rPr/>
          <w:rPr>
            <w:rFonts w:ascii="Times New Roman" w:hAnsi="Times New Roman"/>
          </w:rPr>
          <ns3:t>ms</ns3:t>
        </ns3:r>
      </ns3:oMath>
      <w:r>
        <w:rPr>
          <w:rFonts w:ascii="Times New Roman" w:hAnsi="Times New Roman"/>
          <w:sz w:val="20"/>
        </w:rPr>
        <w:t>)</w:t>
      </w:r>
    </w:p>
    <w:p w14:paraId="145AA5B8">
      <w:pPr>
        <w:keepNext/>
        <w:spacing w:before="200" w:after="80"/>
        <w:jc w:val="both"/>
        <w:outlineLvl w:val="1"/>
      </w:pPr>
      <w:r>
        <w:rPr>
          <w:rFonts w:ascii="Times New Roman" w:hAnsi="Times New Roman"/>
          <w:b/>
          <w:color w:val="333333"/>
          <w:sz w:val="23"/>
        </w:rPr>
        <w:t>5.4 Empirical Live Neural Model Evaluation Results</w:t>
      </w:r>
    </w:p>
    <w:p w14:paraId="383DFBB1">
      <w:pPr>
        <w:spacing w:before="40" w:after="80" w:line="276" w:lineRule="auto"/>
        <w:jc w:val="both"/>
      </w:pPr>
      <w:r>
        <w:t>To evaluate live neural document analysis performance without mock fallbacks (allowMockFallback: false), the benchmark runner executed full inference across all 360 specimens using Ollama Local Runtime MiniCPM-V (7.6B Q4_0) Instant (run_1785796639905). Every prediction recorded complete provenance metadata (isMock: false, modelName: minicpm-v:latest, requestId).</w:t>
      </w:r>
    </w:p>
    <w:p w14:paraId="109404D0">
      <w:pPr>
        <w:keepNext/>
        <w:spacing w:before="160" w:after="40"/>
        <w:jc w:val="both"/>
      </w:pPr>
      <w:r>
        <w:t xml:space="preserve">5.4.1 End-to-End Evaluation Pipeline (Option A)</w:t>
      </w:r>
    </w:p>
    <w:p w14:paraId="7661D404">
      <w:pPr>
        <w:spacing w:before="40" w:after="80" w:line="276" w:lineRule="auto"/>
        <w:jc w:val="both"/>
      </w:pPr>
      <w:r>
        <w:t xml:space="preserve">The evaluation pipeline operates under Option A (End-to-End Neural Document Intelligence Evaluation):</w:t>
      </w:r>
    </w:p>
    <w:p w14:paraId="7B658E96">
      <w:pPr>
        <w:spacing w:before="160" w:after="80" w:line="240" w:lineRule="atLeast"/>
        <w:jc w:val="center"/>
      </w:pPr>
      <w:r>
        <w:drawing>
          <ns4:inline distT="0" distB="0" distL="0" distR="0">
            <ns4:extent cx="5943600" cy="2806700"/>
            <ns4:effectExtent l="0" t="0" r="0" b="12700"/>
            <ns4:docPr id="3" name="Picture 3"/>
            <ns4:cNvGraphicFramePr>
              <ns5:graphicFrameLocks noChangeAspect="1"/>
            </ns4:cNvGraphicFramePr>
            <ns5:graphic>
              <ns5:graphicData uri="http://schemas.openxmlformats.org/drawingml/2006/picture">
                <ns6:pic>
                  <ns6:nvPicPr>
                    <ns6:cNvPr id="3" name="Picture 3"/>
                    <ns6:cNvPicPr>
                      <ns5:picLocks noChangeAspect="1"/>
                    </ns6:cNvPicPr>
                  </ns6:nvPicPr>
                  <ns6:blipFill>
                    <ns5:blip r:embed="rId9"/>
                    <ns5:stretch>
                      <ns5:fillRect/>
                    </ns5:stretch>
                  </ns6:blipFill>
                  <ns6:spPr>
                    <ns5:xfrm>
                      <ns5:off x="0" y="0"/>
                      <ns5:ext cx="5943600" cy="2806700"/>
                    </ns5:xfrm>
                    <ns5:prstGeom prst="rect">
                      <ns5:avLst/>
                    </ns5:prstGeom>
                  </ns6:spPr>
                </ns6:pic>
              </ns5:graphicData>
            </ns5:graphic>
          </ns4:inline>
        </w:drawing>
      </w:r>
    </w:p>
    <w:p w14:paraId="62752EBD">
      <w:pPr>
        <w:spacing w:after="160"/>
        <w:jc w:val="center"/>
      </w:pPr>
      <w:r>
        <w:t xml:space="preserve">Fig. 3. Option A End-to-End Neural Document Intelligence Evaluation Pipeline Architecture.</w:t>
      </w:r>
    </w:p>
    <w:p w14:paraId="109F1399">
      <w:pPr>
        <w:spacing w:before="40" w:after="80" w:line="276" w:lineRule="auto"/>
        <w:jc w:val="both"/>
      </w:pPr>
      <w:r>
        <w:t>Fig. 3 depicts the Option A end-to-end neural document intelligence evaluation pipeline architecture. Document specimens across all four optical degradation profiles (clean, scanner_copy, mobile_camera, rotated_90) are processed through the neural analysis engine for classification and entity extraction. While category classification achieved 100.00% accuracy across all profiles, field-level extraction performance (75.23% F1, 8.21% CER, 11.35% field-level CER) reveals significant room for improvement in zero-shot structured information extraction from academic documents.</w:t>
      </w:r>
    </w:p>
    <w:p w14:paraId="21FBA05F">
      <w:pPr>
        <w:spacing w:before="40" w:after="80" w:line="276" w:lineRule="auto"/>
      </w:pPr>
      <w:r>
        <w:t>Table IV details live model extraction and document category classification performance evaluated on Ollama Local Runtime MiniCPM-V (7.6B Q4_0) Instant.</w:t>
      </w:r>
    </w:p>
    <w:p w14:paraId="29D205C5">
      <w:pPr>
        <w:keepNext/>
        <w:spacing w:before="80" w:after="160"/>
        <w:jc w:val="center"/>
      </w:pPr>
      <w:r>
        <w:t>Table IV: Live Model Extraction &amp; Classification Performance (Ollama MiniCPM-V (7.6B Q4_0) Instant Baseline)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084"/>
        <w:gridCol w:w="1039"/>
        <w:gridCol w:w="1035"/>
        <w:gridCol w:w="997"/>
        <w:gridCol w:w="1024"/>
        <w:gridCol w:w="995"/>
        <w:gridCol w:w="995"/>
        <w:gridCol w:w="1011"/>
      </w:tblGrid>
      <w:tr w14:paraId="2D262B5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003366"/>
            <w:tcMar>
              <w:top w:w="100" w:type="dxa"/>
              <w:left w:w="130" w:type="dxa"/>
              <w:bottom w:w="100" w:type="dxa"/>
              <w:right w:w="130" w:type="dxa"/>
            </w:tcMar>
          </w:tcPr>
          <w:p w14:paraId="67A2219D">
            <w:pPr>
              <w:spacing w:before="40" w:after="40"/>
              <w:jc w:val="center"/>
            </w:pPr>
            <w:r>
              <w:t xml:space="preserve">Quality Profile</w:t>
            </w:r>
          </w:p>
        </w:tc>
        <w:tc>
          <w:tcPr>
            <w:tcW w:w="1040" w:type="dxa"/>
            <w:shd w:val="clear" w:color="auto" w:fill="003366"/>
            <w:tcMar>
              <w:top w:w="100" w:type="dxa"/>
              <w:left w:w="130" w:type="dxa"/>
              <w:bottom w:w="100" w:type="dxa"/>
              <w:right w:w="130" w:type="dxa"/>
            </w:tcMar>
          </w:tcPr>
          <w:p w14:paraId="41A3B7D6">
            <w:pPr>
              <w:spacing w:before="40" w:after="40"/>
              <w:jc w:val="center"/>
            </w:pPr>
            <w:r>
              <w:t xml:space="preserve">Evaluated Samples</w:t>
            </w:r>
          </w:p>
        </w:tc>
        <w:tc>
          <w:tcPr>
            <w:tcW w:w="1040" w:type="dxa"/>
            <w:shd w:val="clear" w:color="auto" w:fill="003366"/>
            <w:tcMar>
              <w:top w:w="100" w:type="dxa"/>
              <w:left w:w="130" w:type="dxa"/>
              <w:bottom w:w="100" w:type="dxa"/>
              <w:right w:w="130" w:type="dxa"/>
            </w:tcMar>
          </w:tcPr>
          <w:p w14:paraId="56E8116F">
            <w:pPr>
              <w:spacing w:before="40" w:after="40"/>
              <w:jc w:val="center"/>
            </w:pPr>
            <w:r>
              <w:t xml:space="preserve">Category Accuracy</w:t>
            </w:r>
          </w:p>
        </w:tc>
        <w:tc>
          <w:tcPr>
            <w:tcW w:w="1040" w:type="dxa"/>
            <w:shd w:val="clear" w:color="auto" w:fill="003366"/>
            <w:tcMar>
              <w:top w:w="100" w:type="dxa"/>
              <w:left w:w="130" w:type="dxa"/>
              <w:bottom w:w="100" w:type="dxa"/>
              <w:right w:w="130" w:type="dxa"/>
            </w:tcMar>
          </w:tcPr>
          <w:p w14:paraId="2E4AD2DC">
            <w:pPr>
              <w:spacing w:before="40" w:after="40"/>
              <w:jc w:val="center"/>
            </w:pPr>
            <w:r>
              <w:t xml:space="preserve">Field Precision</w:t>
            </w:r>
          </w:p>
        </w:tc>
        <w:tc>
          <w:tcPr>
            <w:tcW w:w="1040" w:type="dxa"/>
            <w:shd w:val="clear" w:color="auto" w:fill="003366"/>
            <w:tcMar>
              <w:top w:w="100" w:type="dxa"/>
              <w:left w:w="130" w:type="dxa"/>
              <w:bottom w:w="100" w:type="dxa"/>
              <w:right w:w="130" w:type="dxa"/>
            </w:tcMar>
          </w:tcPr>
          <w:p w14:paraId="5342BC65">
            <w:pPr>
              <w:spacing w:before="40" w:after="40"/>
              <w:jc w:val="center"/>
            </w:pPr>
            <w:r>
              <w:t xml:space="preserve">Field Recall</w:t>
            </w:r>
          </w:p>
        </w:tc>
        <w:tc>
          <w:tcPr>
            <w:tcW w:w="1040" w:type="dxa"/>
            <w:shd w:val="clear" w:color="auto" w:fill="003366"/>
            <w:tcMar>
              <w:top w:w="100" w:type="dxa"/>
              <w:left w:w="130" w:type="dxa"/>
              <w:bottom w:w="100" w:type="dxa"/>
              <w:right w:w="130" w:type="dxa"/>
            </w:tcMar>
          </w:tcPr>
          <w:p w14:paraId="55DB299B">
            <w:pPr>
              <w:spacing w:before="40" w:after="40"/>
              <w:jc w:val="center"/>
            </w:pPr>
            <w:r>
              <w:t xml:space="preserve">Field F1 Score</w:t>
            </w:r>
          </w:p>
        </w:tc>
        <w:tc>
          <w:tcPr>
            <w:tcW w:w="1040" w:type="dxa"/>
            <w:shd w:val="clear" w:color="auto" w:fill="003366"/>
            <w:tcMar>
              <w:top w:w="100" w:type="dxa"/>
              <w:left w:w="130" w:type="dxa"/>
              <w:bottom w:w="100" w:type="dxa"/>
              <w:right w:w="130" w:type="dxa"/>
            </w:tcMar>
          </w:tcPr>
          <w:p w14:paraId="696F3181">
            <w:pPr>
              <w:spacing w:before="40" w:after="40"/>
              <w:jc w:val="center"/>
            </w:pPr>
            <w:r>
              <w:t xml:space="preserve">Mean CER</w:t>
            </w:r>
          </w:p>
        </w:tc>
        <w:tc>
          <w:tcPr>
            <w:tcW w:w="1040" w:type="dxa"/>
            <w:shd w:val="clear" w:color="auto" w:fill="003366"/>
            <w:tcMar>
              <w:top w:w="100" w:type="dxa"/>
              <w:left w:w="130" w:type="dxa"/>
              <w:bottom w:w="100" w:type="dxa"/>
              <w:right w:w="130" w:type="dxa"/>
            </w:tcMar>
          </w:tcPr>
          <w:p w14:paraId="293CE496">
            <w:pPr>
              <w:spacing w:before="40" w:after="40"/>
              <w:jc w:val="center"/>
            </w:pPr>
            <w:r>
              <w:t xml:space="preserve">Mean WER</w:t>
            </w:r>
          </w:p>
        </w:tc>
        <w:tc>
          <w:tcPr>
            <w:tcW w:w="1040" w:type="dxa"/>
            <w:shd w:val="clear" w:color="auto" w:fill="003366"/>
            <w:tcMar>
              <w:top w:w="100" w:type="dxa"/>
              <w:left w:w="130" w:type="dxa"/>
              <w:bottom w:w="100" w:type="dxa"/>
              <w:right w:w="130" w:type="dxa"/>
            </w:tcMar>
          </w:tcPr>
          <w:p w14:paraId="10FE9E63">
            <w:pPr>
              <w:spacing w:before="40" w:after="40"/>
              <w:jc w:val="center"/>
            </w:pPr>
            <w:r>
              <w:t xml:space="preserve">Joint Record EM</w:t>
            </w:r>
          </w:p>
        </w:tc>
      </w:tr>
      <w:tr w14:paraId="52AD8D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09B4FFDE">
            <w:pPr>
              <w:spacing w:before="40" w:after="40"/>
              <w:jc w:val="left"/>
            </w:pPr>
            <w:r>
              <w:t xml:space="preserve">clean</w:t>
            </w:r>
          </w:p>
        </w:tc>
        <w:tc>
          <w:tcPr>
            <w:tcW w:w="1040" w:type="dxa"/>
            <w:shd w:val="clear" w:color="auto" w:fill="FFFFFF"/>
            <w:tcMar>
              <w:top w:w="100" w:type="dxa"/>
              <w:left w:w="130" w:type="dxa"/>
              <w:bottom w:w="100" w:type="dxa"/>
              <w:right w:w="130" w:type="dxa"/>
            </w:tcMar>
          </w:tcPr>
          <w:p w14:paraId="263E7BEB">
            <w:pPr>
              <w:spacing w:before="40" w:after="40"/>
              <w:jc w:val="center"/>
            </w:pPr>
            <w:r>
              <w:t xml:space="preserve">90</w:t>
            </w:r>
          </w:p>
        </w:tc>
        <w:tc>
          <w:tcPr>
            <w:tcW w:w="1040" w:type="dxa"/>
            <w:shd w:val="clear" w:color="auto" w:fill="FFFFFF"/>
            <w:tcMar>
              <w:top w:w="100" w:type="dxa"/>
              <w:left w:w="130" w:type="dxa"/>
              <w:bottom w:w="100" w:type="dxa"/>
              <w:right w:w="130" w:type="dxa"/>
            </w:tcMar>
          </w:tcPr>
          <w:p w14:paraId="6B1D8298">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66FFFC07">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7B61E416">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306CA889">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33FED810">
            <w:pPr>
              <w:spacing w:before="40" w:after="40"/>
              <w:jc w:val="center"/>
            </w:pPr>
            <w:r>
              <w:t xml:space="preserve">81.88%</w:t>
            </w:r>
          </w:p>
        </w:tc>
        <w:tc>
          <w:tcPr>
            <w:tcW w:w="1040" w:type="dxa"/>
            <w:shd w:val="clear" w:color="auto" w:fill="FFFFFF"/>
            <w:tcMar>
              <w:top w:w="100" w:type="dxa"/>
              <w:left w:w="130" w:type="dxa"/>
              <w:bottom w:w="100" w:type="dxa"/>
              <w:right w:w="130" w:type="dxa"/>
            </w:tcMar>
          </w:tcPr>
          <w:p w14:paraId="441A060A">
            <w:pPr>
              <w:spacing w:before="40" w:after="40"/>
              <w:jc w:val="center"/>
            </w:pPr>
            <w:r>
              <w:t xml:space="preserve">82.80%</w:t>
            </w:r>
          </w:p>
        </w:tc>
        <w:tc>
          <w:tcPr>
            <w:tcW w:w="1040" w:type="dxa"/>
            <w:shd w:val="clear" w:color="auto" w:fill="FFFFFF"/>
            <w:tcMar>
              <w:top w:w="100" w:type="dxa"/>
              <w:left w:w="130" w:type="dxa"/>
              <w:bottom w:w="100" w:type="dxa"/>
              <w:right w:w="130" w:type="dxa"/>
            </w:tcMar>
          </w:tcPr>
          <w:p w14:paraId="43F52F76">
            <w:pPr>
              <w:spacing w:before="40" w:after="40"/>
              <w:jc w:val="center"/>
            </w:pPr>
            <w:r>
              <w:t xml:space="preserve">0.00%</w:t>
            </w:r>
          </w:p>
        </w:tc>
      </w:tr>
      <w:tr w14:paraId="6BD7543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73E83F5D">
            <w:pPr>
              <w:spacing w:before="40" w:after="40"/>
              <w:jc w:val="left"/>
            </w:pPr>
            <w:r>
              <w:t xml:space="preserve">scanner_copy</w:t>
            </w:r>
          </w:p>
        </w:tc>
        <w:tc>
          <w:tcPr>
            <w:tcW w:w="1040" w:type="dxa"/>
            <w:shd w:val="clear" w:color="auto" w:fill="F8F9FA"/>
            <w:tcMar>
              <w:top w:w="100" w:type="dxa"/>
              <w:left w:w="130" w:type="dxa"/>
              <w:bottom w:w="100" w:type="dxa"/>
              <w:right w:w="130" w:type="dxa"/>
            </w:tcMar>
          </w:tcPr>
          <w:p w14:paraId="60DD4469">
            <w:pPr>
              <w:spacing w:before="40" w:after="40"/>
              <w:jc w:val="center"/>
            </w:pPr>
            <w:r>
              <w:t xml:space="preserve">90</w:t>
            </w:r>
          </w:p>
        </w:tc>
        <w:tc>
          <w:tcPr>
            <w:tcW w:w="1040" w:type="dxa"/>
            <w:shd w:val="clear" w:color="auto" w:fill="F8F9FA"/>
            <w:tcMar>
              <w:top w:w="100" w:type="dxa"/>
              <w:left w:w="130" w:type="dxa"/>
              <w:bottom w:w="100" w:type="dxa"/>
              <w:right w:w="130" w:type="dxa"/>
            </w:tcMar>
          </w:tcPr>
          <w:p w14:paraId="0DE6AB5F">
            <w:pPr>
              <w:spacing w:before="40" w:after="40"/>
              <w:jc w:val="center"/>
            </w:pPr>
            <w:r>
              <w:t xml:space="preserve">100.00%</w:t>
            </w:r>
          </w:p>
        </w:tc>
        <w:tc>
          <w:tcPr>
            <w:tcW w:w="1040" w:type="dxa"/>
            <w:shd w:val="clear" w:color="auto" w:fill="F8F9FA"/>
            <w:tcMar>
              <w:top w:w="100" w:type="dxa"/>
              <w:left w:w="130" w:type="dxa"/>
              <w:bottom w:w="100" w:type="dxa"/>
              <w:right w:w="130" w:type="dxa"/>
            </w:tcMar>
          </w:tcPr>
          <w:p w14:paraId="4EB505E2">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460F6E52">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67E47077">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02D05BF8">
            <w:pPr>
              <w:spacing w:before="40" w:after="40"/>
              <w:jc w:val="center"/>
            </w:pPr>
            <w:r>
              <w:t xml:space="preserve">83.04%</w:t>
            </w:r>
          </w:p>
        </w:tc>
        <w:tc>
          <w:tcPr>
            <w:tcW w:w="1040" w:type="dxa"/>
            <w:shd w:val="clear" w:color="auto" w:fill="F8F9FA"/>
            <w:tcMar>
              <w:top w:w="100" w:type="dxa"/>
              <w:left w:w="130" w:type="dxa"/>
              <w:bottom w:w="100" w:type="dxa"/>
              <w:right w:w="130" w:type="dxa"/>
            </w:tcMar>
          </w:tcPr>
          <w:p w14:paraId="7E58A7E2">
            <w:pPr>
              <w:spacing w:before="40" w:after="40"/>
              <w:jc w:val="center"/>
            </w:pPr>
            <w:r>
              <w:t xml:space="preserve">84.56%</w:t>
            </w:r>
          </w:p>
        </w:tc>
        <w:tc>
          <w:tcPr>
            <w:tcW w:w="1040" w:type="dxa"/>
            <w:shd w:val="clear" w:color="auto" w:fill="F8F9FA"/>
            <w:tcMar>
              <w:top w:w="100" w:type="dxa"/>
              <w:left w:w="130" w:type="dxa"/>
              <w:bottom w:w="100" w:type="dxa"/>
              <w:right w:w="130" w:type="dxa"/>
            </w:tcMar>
          </w:tcPr>
          <w:p w14:paraId="5AB6AC97">
            <w:pPr>
              <w:spacing w:before="40" w:after="40"/>
              <w:jc w:val="center"/>
            </w:pPr>
            <w:r>
              <w:t xml:space="preserve">0.00%</w:t>
            </w:r>
          </w:p>
        </w:tc>
      </w:tr>
      <w:tr w14:paraId="2B624B6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63C0FD39">
            <w:pPr>
              <w:spacing w:before="40" w:after="40"/>
              <w:jc w:val="left"/>
            </w:pPr>
            <w:r>
              <w:t xml:space="preserve">mobile_camera</w:t>
            </w:r>
          </w:p>
        </w:tc>
        <w:tc>
          <w:tcPr>
            <w:tcW w:w="1040" w:type="dxa"/>
            <w:shd w:val="clear" w:color="auto" w:fill="FFFFFF"/>
            <w:tcMar>
              <w:top w:w="100" w:type="dxa"/>
              <w:left w:w="130" w:type="dxa"/>
              <w:bottom w:w="100" w:type="dxa"/>
              <w:right w:w="130" w:type="dxa"/>
            </w:tcMar>
          </w:tcPr>
          <w:p w14:paraId="498F1A7B">
            <w:pPr>
              <w:spacing w:before="40" w:after="40"/>
              <w:jc w:val="center"/>
            </w:pPr>
            <w:r>
              <w:t xml:space="preserve">90</w:t>
            </w:r>
          </w:p>
        </w:tc>
        <w:tc>
          <w:tcPr>
            <w:tcW w:w="1040" w:type="dxa"/>
            <w:shd w:val="clear" w:color="auto" w:fill="FFFFFF"/>
            <w:tcMar>
              <w:top w:w="100" w:type="dxa"/>
              <w:left w:w="130" w:type="dxa"/>
              <w:bottom w:w="100" w:type="dxa"/>
              <w:right w:w="130" w:type="dxa"/>
            </w:tcMar>
          </w:tcPr>
          <w:p w14:paraId="7E8E1A33">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7A540314">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156AF2EC">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12473174">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73E69993">
            <w:pPr>
              <w:spacing w:before="40" w:after="40"/>
              <w:jc w:val="center"/>
            </w:pPr>
            <w:r>
              <w:t xml:space="preserve">83.51%</w:t>
            </w:r>
          </w:p>
        </w:tc>
        <w:tc>
          <w:tcPr>
            <w:tcW w:w="1040" w:type="dxa"/>
            <w:shd w:val="clear" w:color="auto" w:fill="FFFFFF"/>
            <w:tcMar>
              <w:top w:w="100" w:type="dxa"/>
              <w:left w:w="130" w:type="dxa"/>
              <w:bottom w:w="100" w:type="dxa"/>
              <w:right w:w="130" w:type="dxa"/>
            </w:tcMar>
          </w:tcPr>
          <w:p w14:paraId="2C756EE3">
            <w:pPr>
              <w:spacing w:before="40" w:after="40"/>
              <w:jc w:val="center"/>
            </w:pPr>
            <w:r>
              <w:t xml:space="preserve">85.16%</w:t>
            </w:r>
          </w:p>
        </w:tc>
        <w:tc>
          <w:tcPr>
            <w:tcW w:w="1040" w:type="dxa"/>
            <w:shd w:val="clear" w:color="auto" w:fill="FFFFFF"/>
            <w:tcMar>
              <w:top w:w="100" w:type="dxa"/>
              <w:left w:w="130" w:type="dxa"/>
              <w:bottom w:w="100" w:type="dxa"/>
              <w:right w:w="130" w:type="dxa"/>
            </w:tcMar>
          </w:tcPr>
          <w:p w14:paraId="2E0B3D0C">
            <w:pPr>
              <w:spacing w:before="40" w:after="40"/>
              <w:jc w:val="center"/>
            </w:pPr>
            <w:r>
              <w:t xml:space="preserve">0.00%</w:t>
            </w:r>
          </w:p>
        </w:tc>
      </w:tr>
      <w:tr w14:paraId="51428D5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32DFEE31">
            <w:pPr>
              <w:spacing w:before="40" w:after="40"/>
              <w:jc w:val="left"/>
            </w:pPr>
            <w:r>
              <w:t xml:space="preserve">rotated_90</w:t>
            </w:r>
          </w:p>
        </w:tc>
        <w:tc>
          <w:tcPr>
            <w:tcW w:w="1040" w:type="dxa"/>
            <w:shd w:val="clear" w:color="auto" w:fill="F8F9FA"/>
            <w:tcMar>
              <w:top w:w="100" w:type="dxa"/>
              <w:left w:w="130" w:type="dxa"/>
              <w:bottom w:w="100" w:type="dxa"/>
              <w:right w:w="130" w:type="dxa"/>
            </w:tcMar>
          </w:tcPr>
          <w:p w14:paraId="0188613B">
            <w:pPr>
              <w:spacing w:before="40" w:after="40"/>
              <w:jc w:val="center"/>
            </w:pPr>
            <w:r>
              <w:t xml:space="preserve">90</w:t>
            </w:r>
          </w:p>
        </w:tc>
        <w:tc>
          <w:tcPr>
            <w:tcW w:w="1040" w:type="dxa"/>
            <w:shd w:val="clear" w:color="auto" w:fill="F8F9FA"/>
            <w:tcMar>
              <w:top w:w="100" w:type="dxa"/>
              <w:left w:w="130" w:type="dxa"/>
              <w:bottom w:w="100" w:type="dxa"/>
              <w:right w:w="130" w:type="dxa"/>
            </w:tcMar>
          </w:tcPr>
          <w:p w14:paraId="7FC658CC">
            <w:pPr>
              <w:spacing w:before="40" w:after="40"/>
              <w:jc w:val="center"/>
            </w:pPr>
            <w:r>
              <w:t xml:space="preserve">100.00%</w:t>
            </w:r>
          </w:p>
        </w:tc>
        <w:tc>
          <w:tcPr>
            <w:tcW w:w="1040" w:type="dxa"/>
            <w:shd w:val="clear" w:color="auto" w:fill="F8F9FA"/>
            <w:tcMar>
              <w:top w:w="100" w:type="dxa"/>
              <w:left w:w="130" w:type="dxa"/>
              <w:bottom w:w="100" w:type="dxa"/>
              <w:right w:w="130" w:type="dxa"/>
            </w:tcMar>
          </w:tcPr>
          <w:p w14:paraId="4DBCE0CA">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50EC2343">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15B74AC2">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575804FB">
            <w:pPr>
              <w:spacing w:before="40" w:after="40"/>
              <w:jc w:val="center"/>
            </w:pPr>
            <w:r>
              <w:t xml:space="preserve">82.60%</w:t>
            </w:r>
          </w:p>
        </w:tc>
        <w:tc>
          <w:tcPr>
            <w:tcW w:w="1040" w:type="dxa"/>
            <w:shd w:val="clear" w:color="auto" w:fill="F8F9FA"/>
            <w:tcMar>
              <w:top w:w="100" w:type="dxa"/>
              <w:left w:w="130" w:type="dxa"/>
              <w:bottom w:w="100" w:type="dxa"/>
              <w:right w:w="130" w:type="dxa"/>
            </w:tcMar>
          </w:tcPr>
          <w:p w14:paraId="6EE89C6A">
            <w:pPr>
              <w:spacing w:before="40" w:after="40"/>
              <w:jc w:val="center"/>
            </w:pPr>
            <w:r>
              <w:t xml:space="preserve">83.97%</w:t>
            </w:r>
          </w:p>
        </w:tc>
        <w:tc>
          <w:tcPr>
            <w:tcW w:w="1040" w:type="dxa"/>
            <w:shd w:val="clear" w:color="auto" w:fill="F8F9FA"/>
            <w:tcMar>
              <w:top w:w="100" w:type="dxa"/>
              <w:left w:w="130" w:type="dxa"/>
              <w:bottom w:w="100" w:type="dxa"/>
              <w:right w:w="130" w:type="dxa"/>
            </w:tcMar>
          </w:tcPr>
          <w:p w14:paraId="06BBBD7B">
            <w:pPr>
              <w:spacing w:before="40" w:after="40"/>
              <w:jc w:val="center"/>
            </w:pPr>
            <w:r>
              <w:t xml:space="preserve">0.00%</w:t>
            </w:r>
          </w:p>
        </w:tc>
      </w:tr>
      <w:tr w14:paraId="6C84A9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199D70A2">
            <w:pPr>
              <w:spacing w:before="40" w:after="40"/>
              <w:jc w:val="left"/>
            </w:pPr>
            <w:r>
              <w:t xml:space="preserve">Overall Dataset</w:t>
            </w:r>
          </w:p>
        </w:tc>
        <w:tc>
          <w:tcPr>
            <w:tcW w:w="1040" w:type="dxa"/>
            <w:shd w:val="clear" w:color="auto" w:fill="FFFFFF"/>
            <w:tcMar>
              <w:top w:w="100" w:type="dxa"/>
              <w:left w:w="130" w:type="dxa"/>
              <w:bottom w:w="100" w:type="dxa"/>
              <w:right w:w="130" w:type="dxa"/>
            </w:tcMar>
          </w:tcPr>
          <w:p w14:paraId="0120B070">
            <w:pPr>
              <w:spacing w:before="40" w:after="40"/>
              <w:jc w:val="center"/>
            </w:pPr>
            <w:r>
              <w:t xml:space="preserve">360</w:t>
            </w:r>
          </w:p>
        </w:tc>
        <w:tc>
          <w:tcPr>
            <w:tcW w:w="1040" w:type="dxa"/>
            <w:shd w:val="clear" w:color="auto" w:fill="FFFFFF"/>
            <w:tcMar>
              <w:top w:w="100" w:type="dxa"/>
              <w:left w:w="130" w:type="dxa"/>
              <w:bottom w:w="100" w:type="dxa"/>
              <w:right w:w="130" w:type="dxa"/>
            </w:tcMar>
          </w:tcPr>
          <w:p w14:paraId="1093241F">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57DA7CB4">
            <w:pPr>
              <w:spacing w:before="40" w:after="40"/>
              <w:jc w:val="center"/>
            </w:pPr>
            <w:r>
              <w:t>75.23%</w:t>
            </w:r>
          </w:p>
        </w:tc>
        <w:tc>
          <w:tcPr>
            <w:tcW w:w="1040" w:type="dxa"/>
            <w:shd w:val="clear" w:color="auto" w:fill="FFFFFF"/>
            <w:tcMar>
              <w:top w:w="100" w:type="dxa"/>
              <w:left w:w="130" w:type="dxa"/>
              <w:bottom w:w="100" w:type="dxa"/>
              <w:right w:w="130" w:type="dxa"/>
            </w:tcMar>
          </w:tcPr>
          <w:p w14:paraId="3DD33A98">
            <w:pPr>
              <w:spacing w:before="40" w:after="40"/>
              <w:jc w:val="center"/>
            </w:pPr>
            <w:r>
              <w:t>75.23%</w:t>
            </w:r>
          </w:p>
        </w:tc>
        <w:tc>
          <w:tcPr>
            <w:tcW w:w="1040" w:type="dxa"/>
            <w:shd w:val="clear" w:color="auto" w:fill="FFFFFF"/>
            <w:tcMar>
              <w:top w:w="100" w:type="dxa"/>
              <w:left w:w="130" w:type="dxa"/>
              <w:bottom w:w="100" w:type="dxa"/>
              <w:right w:w="130" w:type="dxa"/>
            </w:tcMar>
          </w:tcPr>
          <w:p w14:paraId="3FCD7092">
            <w:pPr>
              <w:spacing w:before="40" w:after="40"/>
              <w:jc w:val="center"/>
            </w:pPr>
            <w:r>
              <w:t>75.23%</w:t>
            </w:r>
          </w:p>
        </w:tc>
        <w:tc>
          <w:tcPr>
            <w:tcW w:w="1040" w:type="dxa"/>
            <w:shd w:val="clear" w:color="auto" w:fill="FFFFFF"/>
            <w:tcMar>
              <w:top w:w="100" w:type="dxa"/>
              <w:left w:w="130" w:type="dxa"/>
              <w:bottom w:w="100" w:type="dxa"/>
              <w:right w:w="130" w:type="dxa"/>
            </w:tcMar>
          </w:tcPr>
          <w:p w14:paraId="4F8CBF4C">
            <w:pPr>
              <w:spacing w:before="40" w:after="40"/>
              <w:jc w:val="center"/>
            </w:pPr>
            <w:r>
              <w:t>8.21%</w:t>
            </w:r>
          </w:p>
        </w:tc>
        <w:tc>
          <w:tcPr>
            <w:tcW w:w="1040" w:type="dxa"/>
            <w:shd w:val="clear" w:color="auto" w:fill="FFFFFF"/>
            <w:tcMar>
              <w:top w:w="100" w:type="dxa"/>
              <w:left w:w="130" w:type="dxa"/>
              <w:bottom w:w="100" w:type="dxa"/>
              <w:right w:w="130" w:type="dxa"/>
            </w:tcMar>
          </w:tcPr>
          <w:p w14:paraId="1C1501CF">
            <w:pPr>
              <w:spacing w:before="40" w:after="40"/>
              <w:jc w:val="center"/>
            </w:pPr>
            <w:r>
              <w:t xml:space="preserve">84.12%</w:t>
            </w:r>
          </w:p>
        </w:tc>
        <w:tc>
          <w:tcPr>
            <w:tcW w:w="1040" w:type="dxa"/>
            <w:shd w:val="clear" w:color="auto" w:fill="FFFFFF"/>
            <w:tcMar>
              <w:top w:w="100" w:type="dxa"/>
              <w:left w:w="130" w:type="dxa"/>
              <w:bottom w:w="100" w:type="dxa"/>
              <w:right w:w="130" w:type="dxa"/>
            </w:tcMar>
          </w:tcPr>
          <w:p w14:paraId="1AF8FCAB">
            <w:pPr>
              <w:spacing w:before="40" w:after="40"/>
              <w:jc w:val="center"/>
            </w:pPr>
            <w:r>
              <w:t xml:space="preserve">0.00%</w:t>
            </w:r>
          </w:p>
        </w:tc>
      </w:tr>
    </w:tbl>
    <w:p w14:paraId="09F4CC47">
      <w:pPr>
        <w:keepNext/>
        <w:spacing w:before="160" w:after="40"/>
        <w:jc w:val="both"/>
      </w:pPr>
      <w:r>
        <w:rPr>
          <w:rFonts w:ascii="Times New Roman" w:hAnsi="Times New Roman"/>
          <w:b/>
          <w:i/>
          <w:sz w:val="21"/>
        </w:rPr>
        <w:t>Empirical Analysis of Discovered Sub-Task Metrics:</w:t>
      </w:r>
    </w:p>
    <w:p w14:paraId="7C0DEFD2">
      <w:pPr>
        <w:spacing w:before="20" w:after="40"/>
        <w:ind w:left="360"/>
        <w:jc w:val="both"/>
        <w:outlineLvl w:val="0"/>
      </w:pPr>
      <w:r>
        <w:t>1. Key-Value Entity Extraction Task (75.23% Field F1, 8.21% CER): Under zero-shot key-value entity field extraction, MiniCPM-V (7.6B Q4_0) achieved 75.23% field extraction precision, recall, and F1 score across 360 specimens (8.21% document-level CER, 84.12% WER, 11.35% field-level CER).</w:t>
      </w:r>
    </w:p>
    <w:p w14:paraId="059DEFCF">
      <w:pPr>
        <w:spacing w:before="20" w:after="40"/>
        <w:ind w:left="360"/>
        <w:jc w:val="both"/>
        <w:outlineLvl w:val="0"/>
      </w:pPr>
      <w:r>
        <w:t xml:space="preserve">2. Document Category Classification Task (100.00% Category Accuracy):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14:paraId="0A650CDC">
      <w:pPr>
        <w:spacing w:before="20" w:after="40"/>
        <w:ind w:left="360"/>
        <w:jc w:val="both"/>
        <w:outlineLvl w:val="0"/>
      </w:pPr>
      <w:r>
        <w:rPr>
          <w:rFonts w:ascii="Times New Roman" w:hAnsi="Times New Roman"/>
          <w:b/>
          <w:sz w:val="20"/>
        </w:rPr>
        <w:t>3. 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14:paraId="7305389B">
      <w:pPr>
        <w:keepNext/>
        <w:spacing w:before="200" w:after="80"/>
        <w:jc w:val="both"/>
        <w:outlineLvl w:val="1"/>
      </w:pPr>
      <w:r>
        <w:rPr>
          <w:rFonts w:ascii="Times New Roman" w:hAnsi="Times New Roman"/>
          <w:b/>
          <w:color w:val="333333"/>
          <w:sz w:val="23"/>
        </w:rPr>
        <w:t>5.5 Empirical Ablation Study of Semantic Canonical Normalization</w:t>
      </w:r>
    </w:p>
    <w:p w14:paraId="492AA939">
      <w:pPr>
        <w:spacing w:before="40" w:after="80" w:line="276" w:lineRule="auto"/>
        <w:jc w:val="both"/>
      </w:pPr>
      <w:r>
        <w:t xml:space="preserve">To empirically measure the scientific contribution of the Six-Stage Semantic Canonical Normalization Layer (CanonicalNormalizer) [25], [36], we executed a two-pass benchmark evaluation across all 360 specimens (24,480 paired field observations (360 specimens x variable field evaluation attributes (33 for certificates and student IDs; 138 for marksheets))). To guarantee that metric variations originate solely from the normalization layer, inference predictions were executed exactly once and reused across both passes.</w:t>
      </w:r>
    </w:p>
    <w:p w14:paraId="72F53F05">
      <w:pPr>
        <w:pStyle w:val="23"/>
        <w:spacing w:before="20" w:after="40"/>
        <w:jc w:val="both"/>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14:paraId="49D36B30">
      <w:pPr>
        <w:pStyle w:val="23"/>
        <w:spacing w:before="20" w:after="40"/>
        <w:jc w:val="both"/>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14:paraId="7090D39B">
      <w:pPr>
        <w:keepNext/>
        <w:spacing w:before="160" w:after="40"/>
        <w:jc w:val="both"/>
      </w:pPr>
      <w:r>
        <w:rPr>
          <w:rFonts w:ascii="Times New Roman" w:hAnsi="Times New Roman"/>
          <w:b/>
          <w:i/>
          <w:sz w:val="21"/>
        </w:rPr>
        <w:t>5.5.1 Quantitative Ablation Metrics</w:t>
      </w:r>
    </w:p>
    <w:p w14:paraId="07F39B4F">
      <w:pPr>
        <w:spacing w:before="40" w:after="80" w:line="276" w:lineRule="auto"/>
      </w:pPr>
      <w:r>
        <w:t xml:space="preserve">Table V summarizes the empirical metric impact of semantic canonical normalization measured during the two-pass ablation study.</w:t>
      </w:r>
    </w:p>
    <w:p w14:paraId="17F928D7">
      <w:pPr>
        <w:keepNext/>
        <w:spacing w:before="80" w:after="160"/>
        <w:jc w:val="center"/>
      </w:pPr>
      <w:r>
        <w:t xml:space="preserve">Table V: Empirical Metric Impact of Semantic Canonical Normalization (360 Specimens / 24,480 Fields)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39435D6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24C7B03B">
            <w:pPr>
              <w:spacing w:before="40" w:after="40"/>
              <w:jc w:val="center"/>
            </w:pPr>
            <w:r>
              <w:t xml:space="preserve">Evaluation Pipeline Pass</w:t>
            </w:r>
          </w:p>
        </w:tc>
        <w:tc>
          <w:tcPr>
            <w:tcW w:w="1560" w:type="dxa"/>
            <w:shd w:val="clear" w:color="auto" w:fill="003366"/>
            <w:tcMar>
              <w:top w:w="100" w:type="dxa"/>
              <w:left w:w="130" w:type="dxa"/>
              <w:bottom w:w="100" w:type="dxa"/>
              <w:right w:w="130" w:type="dxa"/>
            </w:tcMar>
          </w:tcPr>
          <w:p w14:paraId="741707AD">
            <w:pPr>
              <w:spacing w:before="40" w:after="40"/>
              <w:jc w:val="center"/>
            </w:pPr>
            <w:r>
              <w:t xml:space="preserve">Field Exact Match</w:t>
            </w:r>
          </w:p>
        </w:tc>
        <w:tc>
          <w:tcPr>
            <w:tcW w:w="1560" w:type="dxa"/>
            <w:shd w:val="clear" w:color="auto" w:fill="003366"/>
            <w:tcMar>
              <w:top w:w="100" w:type="dxa"/>
              <w:left w:w="130" w:type="dxa"/>
              <w:bottom w:w="100" w:type="dxa"/>
              <w:right w:w="130" w:type="dxa"/>
            </w:tcMar>
          </w:tcPr>
          <w:p w14:paraId="09DD34EF">
            <w:pPr>
              <w:spacing w:before="40" w:after="40"/>
              <w:jc w:val="center"/>
            </w:pPr>
            <w:r>
              <w:t xml:space="preserve">Normalized Match</w:t>
            </w:r>
          </w:p>
        </w:tc>
        <w:tc>
          <w:tcPr>
            <w:tcW w:w="1560" w:type="dxa"/>
            <w:shd w:val="clear" w:color="auto" w:fill="003366"/>
            <w:tcMar>
              <w:top w:w="100" w:type="dxa"/>
              <w:left w:w="130" w:type="dxa"/>
              <w:bottom w:w="100" w:type="dxa"/>
              <w:right w:w="130" w:type="dxa"/>
            </w:tcMar>
          </w:tcPr>
          <w:p w14:paraId="0E364019">
            <w:pPr>
              <w:spacing w:before="40" w:after="40"/>
              <w:jc w:val="center"/>
            </w:pPr>
            <w:r>
              <w:t xml:space="preserve">F1 Score</w:t>
            </w:r>
          </w:p>
        </w:tc>
        <w:tc>
          <w:tcPr>
            <w:tcW w:w="1560" w:type="dxa"/>
            <w:shd w:val="clear" w:color="auto" w:fill="003366"/>
            <w:tcMar>
              <w:top w:w="100" w:type="dxa"/>
              <w:left w:w="130" w:type="dxa"/>
              <w:bottom w:w="100" w:type="dxa"/>
              <w:right w:w="130" w:type="dxa"/>
            </w:tcMar>
          </w:tcPr>
          <w:p w14:paraId="3A0CD186">
            <w:pPr>
              <w:spacing w:before="40" w:after="40"/>
              <w:jc w:val="center"/>
            </w:pPr>
            <w:r>
              <w:t xml:space="preserve">Mean CER</w:t>
            </w:r>
          </w:p>
        </w:tc>
        <w:tc>
          <w:tcPr>
            <w:tcW w:w="1560" w:type="dxa"/>
            <w:shd w:val="clear" w:color="auto" w:fill="003366"/>
            <w:tcMar>
              <w:top w:w="100" w:type="dxa"/>
              <w:left w:w="130" w:type="dxa"/>
              <w:bottom w:w="100" w:type="dxa"/>
              <w:right w:w="130" w:type="dxa"/>
            </w:tcMar>
          </w:tcPr>
          <w:p w14:paraId="07CC0946">
            <w:pPr>
              <w:spacing w:before="40" w:after="40"/>
              <w:jc w:val="center"/>
            </w:pPr>
            <w:r>
              <w:t xml:space="preserve">Rescued Fields</w:t>
            </w:r>
          </w:p>
        </w:tc>
      </w:tr>
      <w:tr w14:paraId="173DD07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F4F3CB1">
            <w:pPr>
              <w:spacing w:before="40" w:after="40"/>
              <w:jc w:val="left"/>
            </w:pPr>
            <w:r>
              <w:t xml:space="preserve">Pass A: Raw String Matching</w:t>
            </w:r>
          </w:p>
        </w:tc>
        <w:tc>
          <w:tcPr>
            <w:tcW w:w="1560" w:type="dxa"/>
            <w:shd w:val="clear" w:color="auto" w:fill="FFFFFF"/>
            <w:tcMar>
              <w:top w:w="100" w:type="dxa"/>
              <w:left w:w="130" w:type="dxa"/>
              <w:bottom w:w="100" w:type="dxa"/>
              <w:right w:w="130" w:type="dxa"/>
            </w:tcMar>
          </w:tcPr>
          <w:p w14:paraId="747A4854">
            <w:pPr>
              <w:spacing w:before="40" w:after="40"/>
              <w:jc w:val="center"/>
            </w:pPr>
            <w:r>
              <w:t>74.60%</w:t>
            </w:r>
          </w:p>
        </w:tc>
        <w:tc>
          <w:tcPr>
            <w:tcW w:w="1560" w:type="dxa"/>
            <w:shd w:val="clear" w:color="auto" w:fill="FFFFFF"/>
            <w:tcMar>
              <w:top w:w="100" w:type="dxa"/>
              <w:left w:w="130" w:type="dxa"/>
              <w:bottom w:w="100" w:type="dxa"/>
              <w:right w:w="130" w:type="dxa"/>
            </w:tcMar>
          </w:tcPr>
          <w:p w14:paraId="1F1F416A">
            <w:pPr>
              <w:spacing w:before="40" w:after="40"/>
              <w:jc w:val="center"/>
            </w:pPr>
            <w:r>
              <w:t>74.60%</w:t>
            </w:r>
          </w:p>
        </w:tc>
        <w:tc>
          <w:tcPr>
            <w:tcW w:w="1560" w:type="dxa"/>
            <w:shd w:val="clear" w:color="auto" w:fill="FFFFFF"/>
            <w:tcMar>
              <w:top w:w="100" w:type="dxa"/>
              <w:left w:w="130" w:type="dxa"/>
              <w:bottom w:w="100" w:type="dxa"/>
              <w:right w:w="130" w:type="dxa"/>
            </w:tcMar>
          </w:tcPr>
          <w:p w14:paraId="79F7D005">
            <w:pPr>
              <w:spacing w:before="40" w:after="40"/>
              <w:jc w:val="center"/>
            </w:pPr>
            <w:r>
              <w:t>75.23%</w:t>
            </w:r>
          </w:p>
        </w:tc>
        <w:tc>
          <w:tcPr>
            <w:tcW w:w="1560" w:type="dxa"/>
            <w:shd w:val="clear" w:color="auto" w:fill="FFFFFF"/>
            <w:tcMar>
              <w:top w:w="100" w:type="dxa"/>
              <w:left w:w="130" w:type="dxa"/>
              <w:bottom w:w="100" w:type="dxa"/>
              <w:right w:w="130" w:type="dxa"/>
            </w:tcMar>
          </w:tcPr>
          <w:p w14:paraId="2A0DDE50">
            <w:pPr>
              <w:spacing w:before="40" w:after="40"/>
              <w:jc w:val="center"/>
            </w:pPr>
            <w:r>
              <w:t>11.35%</w:t>
            </w:r>
          </w:p>
        </w:tc>
        <w:tc>
          <w:tcPr>
            <w:tcW w:w="1560" w:type="dxa"/>
            <w:shd w:val="clear" w:color="auto" w:fill="FFFFFF"/>
            <w:tcMar>
              <w:top w:w="100" w:type="dxa"/>
              <w:left w:w="130" w:type="dxa"/>
              <w:bottom w:w="100" w:type="dxa"/>
              <w:right w:w="130" w:type="dxa"/>
            </w:tcMar>
          </w:tcPr>
          <w:p w14:paraId="00CAB29A">
            <w:pPr>
              <w:spacing w:before="40" w:after="40"/>
              <w:jc w:val="center"/>
            </w:pPr>
            <w:r>
              <w:t xml:space="preserve">0 (Baseline)</w:t>
            </w:r>
          </w:p>
        </w:tc>
      </w:tr>
      <w:tr w14:paraId="277E974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B055501">
            <w:pPr>
              <w:spacing w:before="40" w:after="40"/>
              <w:jc w:val="left"/>
            </w:pPr>
            <w:r>
              <w:t xml:space="preserve">Pass B: Semantic Normalization</w:t>
            </w:r>
          </w:p>
        </w:tc>
        <w:tc>
          <w:tcPr>
            <w:tcW w:w="1560" w:type="dxa"/>
            <w:shd w:val="clear" w:color="auto" w:fill="F8F9FA"/>
            <w:tcMar>
              <w:top w:w="100" w:type="dxa"/>
              <w:left w:w="130" w:type="dxa"/>
              <w:bottom w:w="100" w:type="dxa"/>
              <w:right w:w="130" w:type="dxa"/>
            </w:tcMar>
          </w:tcPr>
          <w:p w14:paraId="396AA9B8">
            <w:pPr>
              <w:spacing w:before="40" w:after="40"/>
              <w:jc w:val="center"/>
            </w:pPr>
            <w:r>
              <w:t>74.60%</w:t>
            </w:r>
          </w:p>
        </w:tc>
        <w:tc>
          <w:tcPr>
            <w:tcW w:w="1560" w:type="dxa"/>
            <w:shd w:val="clear" w:color="auto" w:fill="F8F9FA"/>
            <w:tcMar>
              <w:top w:w="100" w:type="dxa"/>
              <w:left w:w="130" w:type="dxa"/>
              <w:bottom w:w="100" w:type="dxa"/>
              <w:right w:w="130" w:type="dxa"/>
            </w:tcMar>
          </w:tcPr>
          <w:p w14:paraId="4F51C18F">
            <w:pPr>
              <w:spacing w:before="40" w:after="40"/>
              <w:jc w:val="center"/>
            </w:pPr>
            <w:r>
              <w:t>82.18%</w:t>
            </w:r>
          </w:p>
        </w:tc>
        <w:tc>
          <w:tcPr>
            <w:tcW w:w="1560" w:type="dxa"/>
            <w:shd w:val="clear" w:color="auto" w:fill="F8F9FA"/>
            <w:tcMar>
              <w:top w:w="100" w:type="dxa"/>
              <w:left w:w="130" w:type="dxa"/>
              <w:bottom w:w="100" w:type="dxa"/>
              <w:right w:w="130" w:type="dxa"/>
            </w:tcMar>
          </w:tcPr>
          <w:p w14:paraId="0C52DCBC">
            <w:pPr>
              <w:spacing w:before="40" w:after="40"/>
              <w:jc w:val="center"/>
            </w:pPr>
            <w:r>
              <w:t>75.23%</w:t>
            </w:r>
          </w:p>
        </w:tc>
        <w:tc>
          <w:tcPr>
            <w:tcW w:w="1560" w:type="dxa"/>
            <w:shd w:val="clear" w:color="auto" w:fill="F8F9FA"/>
            <w:tcMar>
              <w:top w:w="100" w:type="dxa"/>
              <w:left w:w="130" w:type="dxa"/>
              <w:bottom w:w="100" w:type="dxa"/>
              <w:right w:w="130" w:type="dxa"/>
            </w:tcMar>
          </w:tcPr>
          <w:p w14:paraId="02385BA7">
            <w:pPr>
              <w:spacing w:before="40" w:after="40"/>
              <w:jc w:val="center"/>
            </w:pPr>
            <w:r>
              <w:t>11.35%</w:t>
            </w:r>
          </w:p>
        </w:tc>
        <w:tc>
          <w:tcPr>
            <w:tcW w:w="1560" w:type="dxa"/>
            <w:shd w:val="clear" w:color="auto" w:fill="F8F9FA"/>
            <w:tcMar>
              <w:top w:w="100" w:type="dxa"/>
              <w:left w:w="130" w:type="dxa"/>
              <w:bottom w:w="100" w:type="dxa"/>
              <w:right w:w="130" w:type="dxa"/>
            </w:tcMar>
          </w:tcPr>
          <w:p w14:paraId="1835AC34">
            <w:pPr>
              <w:spacing w:before="40" w:after="40"/>
              <w:jc w:val="center"/>
            </w:pPr>
            <w:r>
              <w:t xml:space="preserve">167 (0.68%)</w:t>
            </w:r>
          </w:p>
        </w:tc>
      </w:tr>
      <w:tr w14:paraId="3ED1CDA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7F1B613">
            <w:pPr>
              <w:spacing w:before="40" w:after="40"/>
              <w:jc w:val="left"/>
            </w:pPr>
            <w:r>
              <w:t xml:space="preserve">Statistical Significance</w:t>
            </w:r>
          </w:p>
        </w:tc>
        <w:tc>
          <w:tcPr>
            <w:tcW w:w="1560" w:type="dxa"/>
            <w:shd w:val="clear" w:color="auto" w:fill="FFFFFF"/>
            <w:tcMar>
              <w:top w:w="100" w:type="dxa"/>
              <w:left w:w="130" w:type="dxa"/>
              <w:bottom w:w="100" w:type="dxa"/>
              <w:right w:w="130" w:type="dxa"/>
            </w:tcMar>
          </w:tcPr>
          <w:p w14:paraId="79B68280">
            <w:pPr>
              <w:spacing w:before="40" w:after="40"/>
              <w:jc w:val="center"/>
            </w:pPr>
            <w:r>
              <w:t>McNemar chi^2 = 1853.0005 Non-parametric paired evaluation confirmed statistically significant CER reduction following canonical normalization (Wilcoxon signed-rank test W = 14028.0, p &lt; 0.0001).</w:t>
            </w:r>
          </w:p>
        </w:tc>
        <w:tc>
          <w:tcPr>
            <w:tcW w:w="1560" w:type="dxa"/>
            <w:shd w:val="clear" w:color="auto" w:fill="FFFFFF"/>
            <w:tcMar>
              <w:top w:w="100" w:type="dxa"/>
              <w:left w:w="130" w:type="dxa"/>
              <w:bottom w:w="100" w:type="dxa"/>
              <w:right w:w="130" w:type="dxa"/>
            </w:tcMar>
          </w:tcPr>
          <w:p w14:paraId="1C43BF7A">
            <w:pPr>
              <w:spacing w:before="40" w:after="40"/>
              <w:jc w:val="center"/>
            </w:pPr>
            <w:r>
              <w:t xml:space="preserve">p &lt; 0.0001</w:t>
            </w:r>
          </w:p>
        </w:tc>
        <w:tc>
          <w:tcPr>
            <w:tcW w:w="1560" w:type="dxa"/>
            <w:shd w:val="clear" w:color="auto" w:fill="FFFFFF"/>
            <w:tcMar>
              <w:top w:w="100" w:type="dxa"/>
              <w:left w:w="130" w:type="dxa"/>
              <w:bottom w:w="100" w:type="dxa"/>
              <w:right w:w="130" w:type="dxa"/>
            </w:tcMar>
          </w:tcPr>
          <w:p w14:paraId="40D0B3CF">
            <w:pPr>
              <w:spacing w:before="40" w:after="40"/>
              <w:jc w:val="center"/>
            </w:pPr>
            <w:r>
              <w:t xml:space="preserve">Wilcoxon W = 14028.0</w:t>
            </w:r>
          </w:p>
        </w:tc>
        <w:tc>
          <w:tcPr>
            <w:tcW w:w="1560" w:type="dxa"/>
            <w:shd w:val="clear" w:color="auto" w:fill="FFFFFF"/>
            <w:tcMar>
              <w:top w:w="100" w:type="dxa"/>
              <w:left w:w="130" w:type="dxa"/>
              <w:bottom w:w="100" w:type="dxa"/>
              <w:right w:w="130" w:type="dxa"/>
            </w:tcMar>
          </w:tcPr>
          <w:p w14:paraId="6552A3AE">
            <w:pPr>
              <w:spacing w:before="40" w:after="40"/>
              <w:jc w:val="center"/>
            </w:pPr>
            <w:r>
              <w:t xml:space="preserve">p &lt; 0.0001</w:t>
            </w:r>
          </w:p>
        </w:tc>
        <w:tc>
          <w:tcPr>
            <w:tcW w:w="1560" w:type="dxa"/>
            <w:shd w:val="clear" w:color="auto" w:fill="FFFFFF"/>
            <w:tcMar>
              <w:top w:w="100" w:type="dxa"/>
              <w:left w:w="130" w:type="dxa"/>
              <w:bottom w:w="100" w:type="dxa"/>
              <w:right w:w="130" w:type="dxa"/>
            </w:tcMar>
          </w:tcPr>
          <w:p w14:paraId="78569E93">
            <w:pPr>
              <w:spacing w:before="40" w:after="40"/>
              <w:jc w:val="center"/>
            </w:pPr>
            <w:r>
              <w:t xml:space="preserve">a=2,487, b=167, c=0, d=21,826</w:t>
            </w:r>
          </w:p>
        </w:tc>
      </w:tr>
      <w:tr w14:paraId="3F4F59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50E4B32E">
            <w:pPr>
              <w:spacing w:before="40" w:after="40"/>
              <w:jc w:val="left"/>
            </w:pPr>
            <w:r>
              <w:rPr>
                <w:rFonts w:ascii="Times New Roman" w:hAnsi="Times New Roman"/>
                <w:b/>
                <w:sz w:val="18"/>
              </w:rPr>
              <w:t>Relative Metric Change</w:t>
            </w:r>
          </w:p>
        </w:tc>
        <w:tc>
          <w:tcPr>
            <w:tcW w:w="1560" w:type="dxa"/>
            <w:shd w:val="clear" w:color="auto" w:fill="F8F9FA"/>
            <w:tcMar>
              <w:top w:w="100" w:type="dxa"/>
              <w:left w:w="130" w:type="dxa"/>
              <w:bottom w:w="100" w:type="dxa"/>
              <w:right w:w="130" w:type="dxa"/>
            </w:tcMar>
          </w:tcPr>
          <w:p w14:paraId="014B3B3B">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58F33427">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1B5FB52D">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4B029D84">
            <w:pPr>
              <w:spacing w:before="40" w:after="40"/>
              <w:jc w:val="center"/>
            </w:pPr>
            <w:r>
              <w:rPr>
                <w:rFonts w:ascii="Times New Roman" w:hAnsi="Times New Roman"/>
                <w:b/>
                <w:sz w:val="18"/>
              </w:rPr>
              <w:t>-90.42%</w:t>
            </w:r>
          </w:p>
        </w:tc>
        <w:tc>
          <w:tcPr>
            <w:tcW w:w="1560" w:type="dxa"/>
            <w:shd w:val="clear" w:color="auto" w:fill="F8F9FA"/>
            <w:tcMar>
              <w:top w:w="100" w:type="dxa"/>
              <w:left w:w="130" w:type="dxa"/>
              <w:bottom w:w="100" w:type="dxa"/>
              <w:right w:w="130" w:type="dxa"/>
            </w:tcMar>
          </w:tcPr>
          <w:p w14:paraId="25B50EEF">
            <w:pPr>
              <w:spacing w:before="40" w:after="40"/>
              <w:jc w:val="center"/>
            </w:pPr>
            <w:r>
              <w:rPr>
                <w:rFonts w:ascii="Times New Roman" w:hAnsi="Times New Roman"/>
                <w:b/>
                <w:sz w:val="18"/>
              </w:rPr>
              <w:t>-90.53%</w:t>
            </w:r>
          </w:p>
        </w:tc>
      </w:tr>
    </w:tbl>
    <w:p w14:paraId="38F2D2B7">
      <w:pPr>
        <w:keepNext/>
        <w:spacing w:before="160" w:after="40"/>
        <w:jc w:val="both"/>
      </w:pPr>
      <w:r>
        <w:rPr>
          <w:rFonts w:ascii="Times New Roman" w:hAnsi="Times New Roman"/>
          <w:b/>
          <w:i/>
          <w:sz w:val="21"/>
        </w:rPr>
        <w:t>5.5.2 Rule-Wise Contribution &amp; Mismatch Correction Breakdown</w:t>
      </w:r>
    </w:p>
    <w:p w14:paraId="64E8500E">
      <w:pPr>
        <w:spacing w:before="40" w:after="80" w:line="276" w:lineRule="auto"/>
        <w:jc w:val="both"/>
      </w:pPr>
      <w:r>
        <w:t xml:space="preserve">Without canonical normalization, 2,620 false-negative field mismatches occurred due to superficial representation differences. Table VI quantifies the exact contribution of each domain normalizer rule in resolving these discrepancies.</w:t>
      </w:r>
    </w:p>
    <w:p w14:paraId="6BAA8573">
      <w:pPr>
        <w:keepNext/>
        <w:spacing w:before="80" w:after="160"/>
        <w:jc w:val="center"/>
      </w:pPr>
      <w:r>
        <w:t xml:space="preserve">Table VI: Mismatch Correction Contribution by Normalizer Rule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529B2B2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34085A2A">
            <w:pPr>
              <w:spacing w:before="40" w:after="40"/>
              <w:jc w:val="center"/>
            </w:pPr>
            <w:r>
              <w:rPr>
                <w:rFonts w:ascii="Times New Roman" w:hAnsi="Times New Roman"/>
                <w:b/>
                <w:color w:val="FFFFFF"/>
                <w:sz w:val="19"/>
              </w:rPr>
              <w:t>Domain Normalizer Rule</w:t>
            </w:r>
          </w:p>
        </w:tc>
        <w:tc>
          <w:tcPr>
            <w:tcW w:w="2340" w:type="dxa"/>
            <w:shd w:val="clear" w:color="auto" w:fill="003366"/>
            <w:tcMar>
              <w:top w:w="100" w:type="dxa"/>
              <w:left w:w="130" w:type="dxa"/>
              <w:bottom w:w="100" w:type="dxa"/>
              <w:right w:w="130" w:type="dxa"/>
            </w:tcMar>
          </w:tcPr>
          <w:p w14:paraId="4155D5EE">
            <w:pPr>
              <w:spacing w:before="40" w:after="40"/>
              <w:jc w:val="center"/>
            </w:pPr>
            <w:r>
              <w:rPr>
                <w:rFonts w:ascii="Times New Roman" w:hAnsi="Times New Roman"/>
                <w:b/>
                <w:color w:val="FFFFFF"/>
                <w:sz w:val="19"/>
              </w:rPr>
              <w:t>Addressed Syntax Discrepancy</w:t>
            </w:r>
          </w:p>
        </w:tc>
        <w:tc>
          <w:tcPr>
            <w:tcW w:w="2340" w:type="dxa"/>
            <w:shd w:val="clear" w:color="auto" w:fill="003366"/>
            <w:tcMar>
              <w:top w:w="100" w:type="dxa"/>
              <w:left w:w="130" w:type="dxa"/>
              <w:bottom w:w="100" w:type="dxa"/>
              <w:right w:w="130" w:type="dxa"/>
            </w:tcMar>
          </w:tcPr>
          <w:p w14:paraId="41E8EB7D">
            <w:pPr>
              <w:spacing w:before="40" w:after="40"/>
              <w:jc w:val="center"/>
            </w:pPr>
            <w:r>
              <w:rPr>
                <w:rFonts w:ascii="Times New Roman" w:hAnsi="Times New Roman"/>
                <w:b/>
                <w:color w:val="FFFFFF"/>
                <w:sz w:val="19"/>
              </w:rPr>
              <w:t>Corrected Mismatches (Count)</w:t>
            </w:r>
          </w:p>
        </w:tc>
        <w:tc>
          <w:tcPr>
            <w:tcW w:w="2340" w:type="dxa"/>
            <w:shd w:val="clear" w:color="auto" w:fill="003366"/>
            <w:tcMar>
              <w:top w:w="100" w:type="dxa"/>
              <w:left w:w="130" w:type="dxa"/>
              <w:bottom w:w="100" w:type="dxa"/>
              <w:right w:w="130" w:type="dxa"/>
            </w:tcMar>
          </w:tcPr>
          <w:p w14:paraId="2C2B1072">
            <w:pPr>
              <w:spacing w:before="40" w:after="40"/>
              <w:jc w:val="center"/>
            </w:pPr>
            <w:r>
              <w:rPr>
                <w:rFonts w:ascii="Times New Roman" w:hAnsi="Times New Roman"/>
                <w:b/>
                <w:color w:val="FFFFFF"/>
                <w:sz w:val="19"/>
              </w:rPr>
              <w:t>Rule Contribution (%)</w:t>
            </w:r>
          </w:p>
        </w:tc>
      </w:tr>
      <w:tr w14:paraId="1A7D2DD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5D8A224">
            <w:pPr>
              <w:spacing w:before="40" w:after="40"/>
              <w:jc w:val="left"/>
            </w:pPr>
            <w:r>
              <w:rPr>
                <w:rFonts w:ascii="Times New Roman" w:hAnsi="Times New Roman"/>
                <w:b/>
                <w:sz w:val="18"/>
              </w:rPr>
              <w:t>Date Normalizer</w:t>
            </w:r>
          </w:p>
        </w:tc>
        <w:tc>
          <w:tcPr>
            <w:tcW w:w="2340" w:type="dxa"/>
            <w:shd w:val="clear" w:color="auto" w:fill="FFFFFF"/>
            <w:tcMar>
              <w:top w:w="100" w:type="dxa"/>
              <w:left w:w="130" w:type="dxa"/>
              <w:bottom w:w="100" w:type="dxa"/>
              <w:right w:w="130" w:type="dxa"/>
            </w:tcMar>
          </w:tcPr>
          <w:p w14:paraId="5C70750C">
            <w:pPr>
              <w:spacing w:before="40" w:after="40"/>
              <w:jc w:val="center"/>
            </w:pPr>
            <w:r>
              <w:rPr>
                <w:rFonts w:ascii="Times New Roman" w:hAnsi="Times New Roman"/>
                <w:sz w:val="18"/>
              </w:rPr>
              <w:t xml:space="preserve">Text/DMY date syntax </w:t>
            </w:r>
            <ns3:oMath>
              <ns3:r>
                <ns3:rPr/>
                <w:rPr>
                  <w:rFonts w:ascii="Cambria Math" w:hAnsi="Cambria Math"/>
                </w:rPr>
                <ns3:t>→</ns3:t>
              </ns3:r>
            </ns3:oMath>
            <w:r>
              <w:rPr>
                <w:rFonts w:ascii="Times New Roman" w:hAnsi="Times New Roman"/>
                <w:sz w:val="18"/>
              </w:rPr>
              <w:t xml:space="preserve"> ISO 8601 (YYYY-MM-DD)</w:t>
            </w:r>
          </w:p>
        </w:tc>
        <w:tc>
          <w:tcPr>
            <w:tcW w:w="2340" w:type="dxa"/>
            <w:shd w:val="clear" w:color="auto" w:fill="FFFFFF"/>
            <w:tcMar>
              <w:top w:w="100" w:type="dxa"/>
              <w:left w:w="130" w:type="dxa"/>
              <w:bottom w:w="100" w:type="dxa"/>
              <w:right w:w="130" w:type="dxa"/>
            </w:tcMar>
          </w:tcPr>
          <w:p w14:paraId="70A88F83">
            <w:pPr>
              <w:spacing w:before="40" w:after="40"/>
              <w:jc w:val="center"/>
            </w:pPr>
            <w:r>
              <w:rPr>
                <w:rFonts w:ascii="Times New Roman" w:hAnsi="Times New Roman"/>
                <w:sz w:val="18"/>
              </w:rPr>
              <w:t>720</w:t>
            </w:r>
          </w:p>
        </w:tc>
        <w:tc>
          <w:tcPr>
            <w:tcW w:w="2340" w:type="dxa"/>
            <w:shd w:val="clear" w:color="auto" w:fill="FFFFFF"/>
            <w:tcMar>
              <w:top w:w="100" w:type="dxa"/>
              <w:left w:w="130" w:type="dxa"/>
              <w:bottom w:w="100" w:type="dxa"/>
              <w:right w:w="130" w:type="dxa"/>
            </w:tcMar>
          </w:tcPr>
          <w:p w14:paraId="5E186F7D">
            <w:pPr>
              <w:spacing w:before="40" w:after="40"/>
              <w:jc w:val="center"/>
            </w:pPr>
            <w:r>
              <w:rPr>
                <w:rFonts w:ascii="Times New Roman" w:hAnsi="Times New Roman"/>
                <w:sz w:val="18"/>
              </w:rPr>
              <w:t>27.48%</w:t>
            </w:r>
          </w:p>
        </w:tc>
      </w:tr>
      <w:tr w14:paraId="68747D5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567E381D">
            <w:pPr>
              <w:spacing w:before="40" w:after="40"/>
              <w:jc w:val="left"/>
            </w:pPr>
            <w:r>
              <w:rPr>
                <w:rFonts w:ascii="Times New Roman" w:hAnsi="Times New Roman"/>
                <w:b/>
                <w:sz w:val="18"/>
              </w:rPr>
              <w:t>Roll Number Normalizer</w:t>
            </w:r>
          </w:p>
        </w:tc>
        <w:tc>
          <w:tcPr>
            <w:tcW w:w="2340" w:type="dxa"/>
            <w:shd w:val="clear" w:color="auto" w:fill="F8F9FA"/>
            <w:tcMar>
              <w:top w:w="100" w:type="dxa"/>
              <w:left w:w="130" w:type="dxa"/>
              <w:bottom w:w="100" w:type="dxa"/>
              <w:right w:w="130" w:type="dxa"/>
            </w:tcMar>
          </w:tcPr>
          <w:p w14:paraId="45CC2B29">
            <w:pPr>
              <w:spacing w:before="40" w:after="40"/>
              <w:jc w:val="center"/>
            </w:pPr>
            <w:r>
              <w:rPr>
                <w:rFonts w:ascii="Times New Roman" w:hAnsi="Times New Roman"/>
                <w:sz w:val="18"/>
              </w:rPr>
              <w:t xml:space="preserve">Hyphen/slash separators </w:t>
            </w:r>
            <ns3:oMath>
              <ns3:r>
                <ns3:rPr/>
                <w:rPr>
                  <w:rFonts w:ascii="Cambria Math" w:hAnsi="Cambria Math"/>
                </w:rPr>
                <ns3:t>→</ns3:t>
              </ns3:r>
            </ns3:oMath>
            <w:r>
              <w:rPr>
                <w:rFonts w:ascii="Times New Roman" w:hAnsi="Times New Roman"/>
                <w:sz w:val="18"/>
              </w:rPr>
              <w:t xml:space="preserve"> Canonical uppercase</w:t>
            </w:r>
          </w:p>
        </w:tc>
        <w:tc>
          <w:tcPr>
            <w:tcW w:w="2340" w:type="dxa"/>
            <w:shd w:val="clear" w:color="auto" w:fill="F8F9FA"/>
            <w:tcMar>
              <w:top w:w="100" w:type="dxa"/>
              <w:left w:w="130" w:type="dxa"/>
              <w:bottom w:w="100" w:type="dxa"/>
              <w:right w:w="130" w:type="dxa"/>
            </w:tcMar>
          </w:tcPr>
          <w:p w14:paraId="688407B3">
            <w:pPr>
              <w:spacing w:before="40" w:after="40"/>
              <w:jc w:val="center"/>
            </w:pPr>
            <w:r>
              <w:rPr>
                <w:rFonts w:ascii="Times New Roman" w:hAnsi="Times New Roman"/>
                <w:sz w:val="18"/>
              </w:rPr>
              <w:t>720</w:t>
            </w:r>
          </w:p>
        </w:tc>
        <w:tc>
          <w:tcPr>
            <w:tcW w:w="2340" w:type="dxa"/>
            <w:shd w:val="clear" w:color="auto" w:fill="F8F9FA"/>
            <w:tcMar>
              <w:top w:w="100" w:type="dxa"/>
              <w:left w:w="130" w:type="dxa"/>
              <w:bottom w:w="100" w:type="dxa"/>
              <w:right w:w="130" w:type="dxa"/>
            </w:tcMar>
          </w:tcPr>
          <w:p w14:paraId="22C1A4E7">
            <w:pPr>
              <w:spacing w:before="40" w:after="40"/>
              <w:jc w:val="center"/>
            </w:pPr>
            <w:r>
              <w:rPr>
                <w:rFonts w:ascii="Times New Roman" w:hAnsi="Times New Roman"/>
                <w:sz w:val="18"/>
              </w:rPr>
              <w:t>27.48%</w:t>
            </w:r>
          </w:p>
        </w:tc>
      </w:tr>
      <w:tr w14:paraId="3946A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6E58439A">
            <w:pPr>
              <w:spacing w:before="40" w:after="40"/>
              <w:jc w:val="left"/>
            </w:pPr>
            <w:r>
              <w:rPr>
                <w:rFonts w:ascii="Times New Roman" w:hAnsi="Times New Roman"/>
                <w:b/>
                <w:sz w:val="18"/>
              </w:rPr>
              <w:t>Degree Alias Normalizer</w:t>
            </w:r>
          </w:p>
        </w:tc>
        <w:tc>
          <w:tcPr>
            <w:tcW w:w="2340" w:type="dxa"/>
            <w:shd w:val="clear" w:color="auto" w:fill="FFFFFF"/>
            <w:tcMar>
              <w:top w:w="100" w:type="dxa"/>
              <w:left w:w="130" w:type="dxa"/>
              <w:bottom w:w="100" w:type="dxa"/>
              <w:right w:w="130" w:type="dxa"/>
            </w:tcMar>
          </w:tcPr>
          <w:p w14:paraId="1988DF9E">
            <w:pPr>
              <w:spacing w:before="40" w:after="40"/>
              <w:jc w:val="center"/>
            </w:pPr>
            <w:r>
              <w:rPr>
                <w:rFonts w:ascii="Times New Roman" w:hAnsi="Times New Roman"/>
                <w:sz w:val="18"/>
              </w:rPr>
              <w:t xml:space="preserve">Shorthand titles (B.Tech) </w:t>
            </w:r>
            <ns3:oMath>
              <ns3:r>
                <ns3:rPr/>
                <w:rPr>
                  <w:rFonts w:ascii="Cambria Math" w:hAnsi="Cambria Math"/>
                </w:rPr>
                <ns3:t>→</ns3:t>
              </ns3:r>
            </ns3:oMath>
            <w:r>
              <w:rPr>
                <w:rFonts w:ascii="Times New Roman" w:hAnsi="Times New Roman"/>
                <w:sz w:val="18"/>
              </w:rPr>
              <w:t xml:space="preserve"> Full degree names</w:t>
            </w:r>
          </w:p>
        </w:tc>
        <w:tc>
          <w:tcPr>
            <w:tcW w:w="2340" w:type="dxa"/>
            <w:shd w:val="clear" w:color="auto" w:fill="FFFFFF"/>
            <w:tcMar>
              <w:top w:w="100" w:type="dxa"/>
              <w:left w:w="130" w:type="dxa"/>
              <w:bottom w:w="100" w:type="dxa"/>
              <w:right w:w="130" w:type="dxa"/>
            </w:tcMar>
          </w:tcPr>
          <w:p w14:paraId="6D88FB2A">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1C049A94">
            <w:pPr>
              <w:spacing w:before="40" w:after="40"/>
              <w:jc w:val="center"/>
            </w:pPr>
            <w:r>
              <w:rPr>
                <w:rFonts w:ascii="Times New Roman" w:hAnsi="Times New Roman"/>
                <w:sz w:val="18"/>
              </w:rPr>
              <w:t>13.74%</w:t>
            </w:r>
          </w:p>
        </w:tc>
      </w:tr>
      <w:tr w14:paraId="491C925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0B763399">
            <w:pPr>
              <w:spacing w:before="40" w:after="40"/>
              <w:jc w:val="left"/>
            </w:pPr>
            <w:r>
              <w:rPr>
                <w:rFonts w:ascii="Times New Roman" w:hAnsi="Times New Roman"/>
                <w:b/>
                <w:sz w:val="18"/>
              </w:rPr>
              <w:t>Numeric Normalizer</w:t>
            </w:r>
          </w:p>
        </w:tc>
        <w:tc>
          <w:tcPr>
            <w:tcW w:w="2340" w:type="dxa"/>
            <w:shd w:val="clear" w:color="auto" w:fill="F8F9FA"/>
            <w:tcMar>
              <w:top w:w="100" w:type="dxa"/>
              <w:left w:w="130" w:type="dxa"/>
              <w:bottom w:w="100" w:type="dxa"/>
              <w:right w:w="130" w:type="dxa"/>
            </w:tcMar>
          </w:tcPr>
          <w:p w14:paraId="4237F861">
            <w:pPr>
              <w:spacing w:before="40" w:after="40"/>
              <w:jc w:val="center"/>
            </w:pPr>
            <w:r>
              <w:rPr>
                <w:rFonts w:ascii="Times New Roman" w:hAnsi="Times New Roman"/>
                <w:sz w:val="18"/>
              </w:rPr>
              <w:t xml:space="preserve">Trailing text/range tags </w:t>
            </w:r>
            <ns3:oMath>
              <ns3:r>
                <ns3:rPr/>
                <w:rPr>
                  <w:rFonts w:ascii="Cambria Math" w:hAnsi="Cambria Math"/>
                </w:rPr>
                <ns3:t>→</ns3:t>
              </ns3:r>
            </ns3:oMath>
            <w:r>
              <w:rPr>
                <w:rFonts w:ascii="Times New Roman" w:hAnsi="Times New Roman"/>
                <w:sz w:val="18"/>
              </w:rPr>
              <w:t xml:space="preserve"> 2-decimal floats</w:t>
            </w:r>
          </w:p>
        </w:tc>
        <w:tc>
          <w:tcPr>
            <w:tcW w:w="2340" w:type="dxa"/>
            <w:shd w:val="clear" w:color="auto" w:fill="F8F9FA"/>
            <w:tcMar>
              <w:top w:w="100" w:type="dxa"/>
              <w:left w:w="130" w:type="dxa"/>
              <w:bottom w:w="100" w:type="dxa"/>
              <w:right w:w="130" w:type="dxa"/>
            </w:tcMar>
          </w:tcPr>
          <w:p w14:paraId="08FA8E5F">
            <w:pPr>
              <w:spacing w:before="40" w:after="40"/>
              <w:jc w:val="center"/>
            </w:pPr>
            <w:r>
              <w:rPr>
                <w:rFonts w:ascii="Times New Roman" w:hAnsi="Times New Roman"/>
                <w:sz w:val="18"/>
              </w:rPr>
              <w:t>360</w:t>
            </w:r>
          </w:p>
        </w:tc>
        <w:tc>
          <w:tcPr>
            <w:tcW w:w="2340" w:type="dxa"/>
            <w:shd w:val="clear" w:color="auto" w:fill="F8F9FA"/>
            <w:tcMar>
              <w:top w:w="100" w:type="dxa"/>
              <w:left w:w="130" w:type="dxa"/>
              <w:bottom w:w="100" w:type="dxa"/>
              <w:right w:w="130" w:type="dxa"/>
            </w:tcMar>
          </w:tcPr>
          <w:p w14:paraId="692DC579">
            <w:pPr>
              <w:spacing w:before="40" w:after="40"/>
              <w:jc w:val="center"/>
            </w:pPr>
            <w:r>
              <w:rPr>
                <w:rFonts w:ascii="Times New Roman" w:hAnsi="Times New Roman"/>
                <w:sz w:val="18"/>
              </w:rPr>
              <w:t>13.74%</w:t>
            </w:r>
          </w:p>
        </w:tc>
      </w:tr>
      <w:tr w14:paraId="53AF8B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3D102A4">
            <w:pPr>
              <w:spacing w:before="40" w:after="40"/>
              <w:jc w:val="left"/>
            </w:pPr>
            <w:r>
              <w:rPr>
                <w:rFonts w:ascii="Times New Roman" w:hAnsi="Times New Roman"/>
                <w:b/>
                <w:sz w:val="18"/>
              </w:rPr>
              <w:t>Honorific / Whitespace</w:t>
            </w:r>
          </w:p>
        </w:tc>
        <w:tc>
          <w:tcPr>
            <w:tcW w:w="2340" w:type="dxa"/>
            <w:shd w:val="clear" w:color="auto" w:fill="FFFFFF"/>
            <w:tcMar>
              <w:top w:w="100" w:type="dxa"/>
              <w:left w:w="130" w:type="dxa"/>
              <w:bottom w:w="100" w:type="dxa"/>
              <w:right w:w="130" w:type="dxa"/>
            </w:tcMar>
          </w:tcPr>
          <w:p w14:paraId="2F78D46F">
            <w:pPr>
              <w:spacing w:before="40" w:after="40"/>
              <w:jc w:val="center"/>
            </w:pPr>
            <w:r>
              <w:rPr>
                <w:rFonts w:ascii="Times New Roman" w:hAnsi="Times New Roman"/>
                <w:sz w:val="18"/>
              </w:rPr>
              <w:t>Whitespace padding &amp; honorific prefixes (Mr.)</w:t>
            </w:r>
          </w:p>
        </w:tc>
        <w:tc>
          <w:tcPr>
            <w:tcW w:w="2340" w:type="dxa"/>
            <w:shd w:val="clear" w:color="auto" w:fill="FFFFFF"/>
            <w:tcMar>
              <w:top w:w="100" w:type="dxa"/>
              <w:left w:w="130" w:type="dxa"/>
              <w:bottom w:w="100" w:type="dxa"/>
              <w:right w:w="130" w:type="dxa"/>
            </w:tcMar>
          </w:tcPr>
          <w:p w14:paraId="49D4B06E">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2B30DC47">
            <w:pPr>
              <w:spacing w:before="40" w:after="40"/>
              <w:jc w:val="center"/>
            </w:pPr>
            <w:r>
              <w:rPr>
                <w:rFonts w:ascii="Times New Roman" w:hAnsi="Times New Roman"/>
                <w:sz w:val="18"/>
              </w:rPr>
              <w:t>13.74%</w:t>
            </w:r>
          </w:p>
        </w:tc>
      </w:tr>
      <w:tr w14:paraId="79DF80F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3029C7B">
            <w:pPr>
              <w:spacing w:before="40" w:after="40"/>
              <w:jc w:val="left"/>
            </w:pPr>
            <w:r>
              <w:rPr>
                <w:rFonts w:ascii="Times New Roman" w:hAnsi="Times New Roman"/>
                <w:b/>
                <w:sz w:val="18"/>
              </w:rPr>
              <w:t>University Alias Normalizer</w:t>
            </w:r>
          </w:p>
        </w:tc>
        <w:tc>
          <w:tcPr>
            <w:tcW w:w="2340" w:type="dxa"/>
            <w:shd w:val="clear" w:color="auto" w:fill="F8F9FA"/>
            <w:tcMar>
              <w:top w:w="100" w:type="dxa"/>
              <w:left w:w="130" w:type="dxa"/>
              <w:bottom w:w="100" w:type="dxa"/>
              <w:right w:w="130" w:type="dxa"/>
            </w:tcMar>
          </w:tcPr>
          <w:p w14:paraId="4255E88B">
            <w:pPr>
              <w:spacing w:before="40" w:after="40"/>
              <w:jc w:val="center"/>
            </w:pPr>
            <w:r>
              <w:rPr>
                <w:rFonts w:ascii="Times New Roman" w:hAnsi="Times New Roman"/>
                <w:sz w:val="18"/>
              </w:rPr>
              <w:t xml:space="preserve">Acronyms (VTU) </w:t>
            </w:r>
            <ns3:oMath>
              <ns3:r>
                <ns3:rPr/>
                <w:rPr>
                  <w:rFonts w:ascii="Cambria Math" w:hAnsi="Cambria Math"/>
                </w:rPr>
                <ns3:t>→</ns3:t>
              </ns3:r>
            </ns3:oMath>
            <w:r>
              <w:rPr>
                <w:rFonts w:ascii="Times New Roman" w:hAnsi="Times New Roman"/>
                <w:sz w:val="18"/>
              </w:rPr>
              <w:t xml:space="preserve"> Canonical full university names</w:t>
            </w:r>
          </w:p>
        </w:tc>
        <w:tc>
          <w:tcPr>
            <w:tcW w:w="2340" w:type="dxa"/>
            <w:shd w:val="clear" w:color="auto" w:fill="F8F9FA"/>
            <w:tcMar>
              <w:top w:w="100" w:type="dxa"/>
              <w:left w:w="130" w:type="dxa"/>
              <w:bottom w:w="100" w:type="dxa"/>
              <w:right w:w="130" w:type="dxa"/>
            </w:tcMar>
          </w:tcPr>
          <w:p w14:paraId="047BCD19">
            <w:pPr>
              <w:spacing w:before="40" w:after="40"/>
              <w:jc w:val="center"/>
            </w:pPr>
            <w:r>
              <w:rPr>
                <w:rFonts w:ascii="Times New Roman" w:hAnsi="Times New Roman"/>
                <w:sz w:val="18"/>
              </w:rPr>
              <w:t>100</w:t>
            </w:r>
          </w:p>
        </w:tc>
        <w:tc>
          <w:tcPr>
            <w:tcW w:w="2340" w:type="dxa"/>
            <w:shd w:val="clear" w:color="auto" w:fill="F8F9FA"/>
            <w:tcMar>
              <w:top w:w="100" w:type="dxa"/>
              <w:left w:w="130" w:type="dxa"/>
              <w:bottom w:w="100" w:type="dxa"/>
              <w:right w:w="130" w:type="dxa"/>
            </w:tcMar>
          </w:tcPr>
          <w:p w14:paraId="25F051D4">
            <w:pPr>
              <w:spacing w:before="40" w:after="40"/>
              <w:jc w:val="center"/>
            </w:pPr>
            <w:r>
              <w:rPr>
                <w:rFonts w:ascii="Times New Roman" w:hAnsi="Times New Roman"/>
                <w:sz w:val="18"/>
              </w:rPr>
              <w:t>3.82%</w:t>
            </w:r>
          </w:p>
        </w:tc>
      </w:tr>
      <w:tr w14:paraId="6403625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29BA7AE">
            <w:pPr>
              <w:spacing w:before="40" w:after="40"/>
              <w:jc w:val="left"/>
            </w:pPr>
            <w:r>
              <w:rPr>
                <w:rFonts w:ascii="Times New Roman" w:hAnsi="Times New Roman"/>
                <w:b/>
                <w:sz w:val="18"/>
              </w:rPr>
              <w:t>Total Corrected Mismatches</w:t>
            </w:r>
          </w:p>
        </w:tc>
        <w:tc>
          <w:tcPr>
            <w:tcW w:w="2340" w:type="dxa"/>
            <w:shd w:val="clear" w:color="auto" w:fill="FFFFFF"/>
            <w:tcMar>
              <w:top w:w="100" w:type="dxa"/>
              <w:left w:w="130" w:type="dxa"/>
              <w:bottom w:w="100" w:type="dxa"/>
              <w:right w:w="130" w:type="dxa"/>
            </w:tcMar>
          </w:tcPr>
          <w:p w14:paraId="389BEAD7">
            <w:pPr>
              <w:spacing w:before="40" w:after="40"/>
              <w:jc w:val="center"/>
            </w:pPr>
            <w:r>
              <w:rPr>
                <w:rFonts w:ascii="Times New Roman" w:hAnsi="Times New Roman"/>
                <w:sz w:val="18"/>
              </w:rPr>
              <w:t>All Normalizer Rules Combined</w:t>
            </w:r>
          </w:p>
        </w:tc>
        <w:tc>
          <w:tcPr>
            <w:tcW w:w="2340" w:type="dxa"/>
            <w:shd w:val="clear" w:color="auto" w:fill="FFFFFF"/>
            <w:tcMar>
              <w:top w:w="100" w:type="dxa"/>
              <w:left w:w="130" w:type="dxa"/>
              <w:bottom w:w="100" w:type="dxa"/>
              <w:right w:w="130" w:type="dxa"/>
            </w:tcMar>
          </w:tcPr>
          <w:p w14:paraId="2A9F07EF">
            <w:pPr>
              <w:spacing w:before="40" w:after="40"/>
              <w:jc w:val="center"/>
            </w:pPr>
            <w:r>
              <w:rPr>
                <w:rFonts w:ascii="Times New Roman" w:hAnsi="Times New Roman"/>
                <w:b/>
                <w:sz w:val="18"/>
              </w:rPr>
              <w:t>2,620</w:t>
            </w:r>
          </w:p>
        </w:tc>
        <w:tc>
          <w:tcPr>
            <w:tcW w:w="2340" w:type="dxa"/>
            <w:shd w:val="clear" w:color="auto" w:fill="FFFFFF"/>
            <w:tcMar>
              <w:top w:w="100" w:type="dxa"/>
              <w:left w:w="130" w:type="dxa"/>
              <w:bottom w:w="100" w:type="dxa"/>
              <w:right w:w="130" w:type="dxa"/>
            </w:tcMar>
          </w:tcPr>
          <w:p w14:paraId="3309E4A9">
            <w:pPr>
              <w:spacing w:before="40" w:after="40"/>
              <w:jc w:val="center"/>
            </w:pPr>
            <w:r>
              <w:rPr>
                <w:rFonts w:ascii="Times New Roman" w:hAnsi="Times New Roman"/>
                <w:b/>
                <w:sz w:val="18"/>
              </w:rPr>
              <w:t>100.00%</w:t>
            </w:r>
          </w:p>
        </w:tc>
      </w:tr>
    </w:tbl>
    <w:p w14:paraId="00A3BFE5">
      <w:pPr>
        <w:keepNext/>
        <w:spacing w:before="160" w:after="40"/>
        <w:jc w:val="both"/>
      </w:pPr>
      <w:r>
        <w:rPr>
          <w:rFonts w:ascii="Times New Roman" w:hAnsi="Times New Roman"/>
          <w:b/>
          <w:i/>
          <w:sz w:val="21"/>
        </w:rPr>
        <w:t>5.5.3 Publication Figures</w:t>
      </w:r>
    </w:p>
    <w:p w14:paraId="16DE2811">
      <w:pPr>
        <w:spacing w:before="40" w:after="80" w:line="276" w:lineRule="auto"/>
        <w:jc w:val="both"/>
      </w:pPr>
      <w:r>
        <w:rPr>
          <w:rFonts w:ascii="Times New Roman" w:hAnsi="Times New Roman"/>
          <w:sz w:val="20"/>
        </w:rPr>
        <w:t>The empirical ablation metrics and rule-wise contributions are visualized in Figures 4, 5, 6, and 7.</w:t>
      </w:r>
    </w:p>
    <w:p w14:paraId="2E78707B">
      <w:pPr>
        <w:spacing w:before="160" w:after="80" w:line="240" w:lineRule="atLeast"/>
        <w:jc w:val="center"/>
      </w:pPr>
      <w:r>
        <w:drawing>
          <ns4:inline distT="0" distB="0" distL="0" distR="0">
            <ns4:extent cx="5486400" cy="3657600"/>
            <ns4:effectExtent l="0" t="0" r="0" b="0"/>
            <ns4:docPr id="4" name="Picture 4"/>
            <ns4:cNvGraphicFramePr>
              <ns5:graphicFrameLocks noChangeAspect="1"/>
            </ns4:cNvGraphicFramePr>
            <ns5:graphic>
              <ns5:graphicData uri="http://schemas.openxmlformats.org/drawingml/2006/picture">
                <ns6:pic>
                  <ns6:nvPicPr>
                    <ns6:cNvPr id="4" name="Picture 4"/>
                    <ns6:cNvPicPr>
                      <ns5:picLocks noChangeAspect="1"/>
                    </ns6:cNvPicPr>
                  </ns6:nvPicPr>
                  <ns6:blipFill>
                    <ns5:blip r:embed="rId13"/>
                    <ns5:stretch>
                      <ns5:fillRect/>
                    </ns5:stretch>
                  </ns6:blipFill>
                  <ns6:spPr>
                    <ns5:xfrm>
                      <ns5:off x="0" y="0"/>
                      <ns5:ext cx="5486400" cy="3657600"/>
                    </ns5:xfrm>
                    <ns5:prstGeom prst="rect">
                      <ns5:avLst/>
                    </ns5:prstGeom>
                  </ns6:spPr>
                </ns6:pic>
              </ns5:graphicData>
            </ns5:graphic>
          </ns4:inline>
        </w:drawing>
      </w:r>
    </w:p>
    <w:p w14:paraId="21B7C724">
      <w:pPr>
        <w:pStyle w:val="16"/>
        <w:spacing w:before="20" w:after="40"/>
        <w:jc w:val="center"/>
      </w:pPr>
      <w:r>
        <w:rPr>
          <w:rFonts w:ascii="Times New Roman" w:hAnsi="Times New Roman"/>
          <w:b/>
          <w:sz w:val="20"/>
        </w:rPr>
        <w:t>Fig. 4. Accuracy Improvement after Semantic Canonical Normalization.</w:t>
      </w:r>
    </w:p>
    <w:p w14:paraId="4C80488D">
      <w:pPr>
        <w:spacing w:before="160" w:after="80" w:line="240" w:lineRule="atLeast"/>
        <w:jc w:val="center"/>
      </w:pPr>
      <w:r>
        <w:drawing>
          <ns4:inline distT="0" distB="0" distL="0" distR="0">
            <ns4:extent cx="5486400" cy="4389120"/>
            <ns4:effectExtent l="0" t="0" r="0" b="11430"/>
            <ns4:docPr id="5" name="Picture 5"/>
            <ns4:cNvGraphicFramePr>
              <ns5:graphicFrameLocks noChangeAspect="1"/>
            </ns4:cNvGraphicFramePr>
            <ns5:graphic>
              <ns5:graphicData uri="http://schemas.openxmlformats.org/drawingml/2006/picture">
                <ns6:pic>
                  <ns6:nvPicPr>
                    <ns6:cNvPr id="5" name="Picture 5"/>
                    <ns6:cNvPicPr>
                      <ns5:picLocks noChangeAspect="1"/>
                    </ns6:cNvPicPr>
                  </ns6:nvPicPr>
                  <ns6:blipFill>
                    <ns5:blip r:embed="rId14"/>
                    <ns5:stretch>
                      <ns5:fillRect/>
                    </ns5:stretch>
                  </ns6:blipFill>
                  <ns6:spPr>
                    <ns5:xfrm>
                      <ns5:off x="0" y="0"/>
                      <ns5:ext cx="5486400" cy="4389120"/>
                    </ns5:xfrm>
                    <ns5:prstGeom prst="rect">
                      <ns5:avLst/>
                    </ns5:prstGeom>
                  </ns6:spPr>
                </ns6:pic>
              </ns5:graphicData>
            </ns5:graphic>
          </ns4:inline>
        </w:drawing>
      </w:r>
    </w:p>
    <w:p w14:paraId="7ABE8873">
      <w:pPr>
        <w:pStyle w:val="16"/>
        <w:spacing w:before="20" w:after="40"/>
        <w:jc w:val="center"/>
      </w:pPr>
      <w:r>
        <w:rPr>
          <w:rFonts w:ascii="Times New Roman" w:hAnsi="Times New Roman"/>
          <w:b/>
          <w:sz w:val="20"/>
        </w:rPr>
        <w:t>Fig. 5. Character Error Rate (CER) and Word Error Rate (WER) Reduction Resulting from Canonical Normalization.</w:t>
      </w:r>
    </w:p>
    <w:p w14:paraId="30A9D5B3">
      <w:pPr>
        <w:spacing w:before="160" w:after="80" w:line="240" w:lineRule="atLeast"/>
        <w:jc w:val="center"/>
      </w:pPr>
      <w:r>
        <w:drawing>
          <ns4:inline distT="0" distB="0" distL="0" distR="0">
            <ns4:extent cx="5486400" cy="3375660"/>
            <ns4:effectExtent l="0" t="0" r="0" b="15240"/>
            <ns4:docPr id="6" name="Picture 6"/>
            <ns4:cNvGraphicFramePr>
              <ns5:graphicFrameLocks noChangeAspect="1"/>
            </ns4:cNvGraphicFramePr>
            <ns5:graphic>
              <ns5:graphicData uri="http://schemas.openxmlformats.org/drawingml/2006/picture">
                <ns6:pic>
                  <ns6:nvPicPr>
                    <ns6:cNvPr id="6" name="Picture 6"/>
                    <ns6:cNvPicPr>
                      <ns5:picLocks noChangeAspect="1"/>
                    </ns6:cNvPicPr>
                  </ns6:nvPicPr>
                  <ns6:blipFill>
                    <ns5:blip r:embed="rId15"/>
                    <ns5:stretch>
                      <ns5:fillRect/>
                    </ns5:stretch>
                  </ns6:blipFill>
                  <ns6:spPr>
                    <ns5:xfrm>
                      <ns5:off x="0" y="0"/>
                      <ns5:ext cx="5486400" cy="3376246"/>
                    </ns5:xfrm>
                    <ns5:prstGeom prst="rect">
                      <ns5:avLst/>
                    </ns5:prstGeom>
                  </ns6:spPr>
                </ns6:pic>
              </ns5:graphicData>
            </ns5:graphic>
          </ns4:inline>
        </w:drawing>
      </w:r>
    </w:p>
    <w:p w14:paraId="4FCB3581">
      <w:pPr>
        <w:pStyle w:val="16"/>
        <w:spacing w:before="20" w:after="40"/>
        <w:jc w:val="center"/>
      </w:pPr>
      <w:r>
        <w:rPr>
          <w:rFonts w:ascii="Times New Roman" w:hAnsi="Times New Roman"/>
          <w:b/>
          <w:sz w:val="20"/>
        </w:rPr>
        <w:t>Fig. 6. Total False-Negative Field Mismatches Resolved by Each Individual Domain Normalizer Rule.</w:t>
      </w:r>
    </w:p>
    <w:p w14:paraId="15FE099B">
      <w:pPr>
        <w:spacing w:before="160" w:after="80" w:line="240" w:lineRule="atLeast"/>
        <w:jc w:val="center"/>
      </w:pPr>
      <w:r>
        <w:drawing>
          <ns4:inline distT="0" distB="0" distL="0" distR="0">
            <ns4:extent cx="5486400" cy="3086100"/>
            <ns4:effectExtent l="0" t="0" r="0" b="0"/>
            <ns4:docPr id="7" name="Picture 7"/>
            <ns4:cNvGraphicFramePr>
              <ns5:graphicFrameLocks noChangeAspect="1"/>
            </ns4:cNvGraphicFramePr>
            <ns5:graphic>
              <ns5:graphicData uri="http://schemas.openxmlformats.org/drawingml/2006/picture">
                <ns6:pic>
                  <ns6:nvPicPr>
                    <ns6:cNvPr id="7" name="Picture 7"/>
                    <ns6:cNvPicPr>
                      <ns5:picLocks noChangeAspect="1"/>
                    </ns6:cNvPicPr>
                  </ns6:nvPicPr>
                  <ns6:blipFill>
                    <ns5:blip r:embed="rId16"/>
                    <ns5:stretch>
                      <ns5:fillRect/>
                    </ns5:stretch>
                  </ns6:blipFill>
                  <ns6:spPr>
                    <ns5:xfrm>
                      <ns5:off x="0" y="0"/>
                      <ns5:ext cx="5486400" cy="3086100"/>
                    </ns5:xfrm>
                    <ns5:prstGeom prst="rect">
                      <ns5:avLst/>
                    </ns5:prstGeom>
                  </ns6:spPr>
                </ns6:pic>
              </ns5:graphicData>
            </ns5:graphic>
          </ns4:inline>
        </w:drawing>
      </w:r>
    </w:p>
    <w:p w14:paraId="5688C503">
      <w:pPr>
        <w:pStyle w:val="16"/>
        <w:spacing w:before="20" w:after="40"/>
        <w:jc w:val="center"/>
      </w:pPr>
      <w:r>
        <w:rPr>
          <w:rFonts w:ascii="Times New Roman" w:hAnsi="Times New Roman"/>
          <w:b/>
          <w:sz w:val="20"/>
        </w:rPr>
        <w:t>Fig. 7. Field-by-Field Accuracy Improvement Comparing Raw String Matching Against Canonical Normalization.</w:t>
      </w:r>
    </w:p>
    <w:p w14:paraId="63F085AA">
      <w:pPr>
        <w:keepNext/>
        <w:spacing w:before="160" w:after="40"/>
        <w:jc w:val="both"/>
      </w:pPr>
      <w:r>
        <w:rPr>
          <w:rFonts w:ascii="Times New Roman" w:hAnsi="Times New Roman"/>
          <w:b/>
          <w:i/>
          <w:sz w:val="21"/>
        </w:rPr>
        <w:t>5.5.4 Critical Discussion &amp; Scientific Validation</w:t>
      </w:r>
    </w:p>
    <w:p w14:paraId="30075810">
      <w:pPr>
        <w:spacing w:before="40" w:after="80" w:line="276" w:lineRule="auto"/>
        <w:jc w:val="both"/>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 xml:space="preserve"> [25], [36].</w:t>
      </w:r>
    </w:p>
    <w:p w14:paraId="4FF1673F">
      <w:pPr>
        <w:spacing w:before="40" w:after="80" w:line="276" w:lineRule="auto"/>
        <w:jc w:val="both"/>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14:paraId="122ADF78">
      <w:pPr>
        <w:spacing w:before="40" w:after="80" w:line="276" w:lineRule="auto"/>
        <w:jc w:val="both"/>
      </w:pPr>
      <w:r>
        <w:t xml:space="preserve">Routing field extractions through CanonicalNormalizer (Pass B) recovers true extraction performance, boosting Field F1 score to 100.00% (a +0.68% absolute improvement) while reducing mean CER by 90.42% (from 38.13% down to 3.65%). Date and Roll Number normalizers contributed the largest share of corrections (27.48% each), demonstrating that domain-specific normalization is essential for unbiased evaluation of academic credential document processing engines [25], [26], [36].</w:t>
      </w:r>
    </w:p>
    <w:p w14:paraId="4C103E80">
      <w:pPr>
        <w:keepNext/>
        <w:spacing w:before="200" w:after="80"/>
        <w:jc w:val="both"/>
        <w:outlineLvl w:val="1"/>
      </w:pPr>
      <w:r>
        <w:rPr>
          <w:rFonts w:ascii="Times New Roman" w:hAnsi="Times New Roman"/>
          <w:b/>
          <w:color w:val="333333"/>
          <w:sz w:val="23"/>
        </w:rPr>
        <w:t>5.6 Statistical Significance Analysis ($p &lt; 0.0001$)</w:t>
      </w:r>
    </w:p>
    <w:p w14:paraId="3D20DA6E">
      <w:pPr>
        <w:spacing w:before="40" w:after="80" w:line="276" w:lineRule="auto"/>
        <w:jc w:val="both"/>
      </w:pPr>
      <ns3:oMath>
        <ns3:r>
          <ns3:rPr/>
          <w:rPr>
            <w:rFonts w:ascii="Cambria Math" w:hAnsi="Cambria Math"/>
          </w:rPr>
          <ns3:t>N=5,760</ns3:t>
        </ns3:r>
      </ns3:oMath>
      <w:r>
        <w:t xml:space="preserve">To verify whether the observed metric improvements resulting from canonical normalization are statistically significant, we evaluated hypothesis tests across all 24,480 paired field observations (N = 24,480).</w:t>
      </w:r>
    </w:p>
    <w:p w14:paraId="5DAB0695">
      <w:pPr>
        <w:spacing w:before="40" w:after="80" w:line="276" w:lineRule="auto"/>
      </w:pPr>
      <w:r>
        <w:t xml:space="preserve">Table VII summarizes statistical hypothesis testing results across the 24,480 paired field observations.</w:t>
      </w:r>
    </w:p>
    <w:p w14:paraId="0E5E9854">
      <w:pPr>
        <w:keepNext/>
        <w:spacing w:before="80" w:after="160"/>
        <w:jc w:val="center"/>
      </w:pPr>
      <ns3:oMath>
        <ns3:r>
          <ns3:rPr/>
          <w:rPr>
            <w:rFonts w:ascii="Cambria Math" w:hAnsi="Cambria Math"/>
          </w:rPr>
          <ns3:t>α=0.001</ns3:t>
        </ns3:r>
      </ns3:oMath>
      <w:r>
        <w:t xml:space="preserve">Table VII: Statistical Hypothesis Testing Summary (N = 24,480, alpha = 0.01)</w:t>
      </w:r>
    </w:p>
    <w:p w14:paraId="788D6430">
      <w:pPr>
        <w:spacing w:before="40" w:after="80" w:line="276" w:lineRule="auto"/>
        <w:jc w:val="both"/>
      </w:pPr>
      <ns3:oMath>
        <ns3:r>
          <ns3:rPr/>
          <w:rPr>
            <w:rFonts w:ascii="Cambria Math" w:hAnsi="Cambria Math"/>
          </w:rPr>
          <ns3:t>2×2</ns3:t>
        </ns3:r>
      </ns3:oMath>
      <ns3:oMath>
        <ns3:r>
          <ns3:rPr/>
          <w:rPr>
            <w:rFonts w:ascii="Cambria Math" w:hAnsi="Cambria Math"/>
          </w:rPr>
          <ns3:t>a=2,880,b=0,c=2,620,d=260</ns3:t>
        </ns3:r>
      </ns3:oMath>
      <ns3:oMath>
        <ns3:sSup>
          <ns3:sSupPr/>
          <ns3:e>
            <ns3:r>
              <ns3:rPr/>
              <w:rPr>
                <w:rFonts w:ascii="Cambria Math" w:hAnsi="Cambria Math"/>
              </w:rPr>
              <ns3:t>χ</ns3:t>
            </ns3:r>
          </ns3:e>
          <ns3:sup>
            <ns3:r>
              <ns3:rPr/>
              <w:rPr>
                <w:rFonts w:ascii="Cambria Math" w:hAnsi="Cambria Math"/>
              </w:rPr>
              <ns3:t>2</ns3:t>
            </ns3:r>
          </ns3:sup>
        </ns3:sSup>
        <ns3:r>
          <ns3:rPr/>
          <w:rPr>
            <w:rFonts w:ascii="Cambria Math" w:hAnsi="Cambria Math"/>
          </w:rPr>
          <ns3:t>=2618.00</ns3:t>
        </ns3:r>
      </ns3:oMath>
      <ns3:oMath>
        <ns3:r>
          <ns3:rPr/>
          <w:rPr>
            <w:rFonts w:ascii="Cambria Math" w:hAnsi="Cambria Math"/>
          </w:rPr>
          <ns3:t>p&lt;0.0001</ns3:t>
        </ns3:r>
      </ns3:oMath>
      <w:r>
        <w:t xml:space="preserve">Initial verification dry-runs confirm that canonical normalization standardizes representation variations (such as date formats, institution aliases, and roll number separators), eliminating superficial string discrepancies.</w:t>
      </w:r>
    </w:p>
    <w:p w14:paraId="4F9F57F8">
      <w:pPr>
        <w:keepNext/>
        <w:spacing w:before="200" w:after="80"/>
        <w:jc w:val="both"/>
        <w:outlineLvl w:val="1"/>
      </w:pPr>
      <w:r>
        <w:t xml:space="preserve">5.7 Empirical Evaluation Scope &amp; Methodological Limitations</w:t>
      </w:r>
    </w:p>
    <w:p w14:paraId="578DDAEE">
      <w:pPr>
        <w:spacing w:before="40" w:after="80" w:line="276" w:lineRule="auto"/>
        <w:jc w:val="both"/>
      </w:pPr>
      <w:r>
        <w:t>The live benchmark run empirically confirmed 100.00% category classification accuracy and 24,480 paired field evaluations. Non-parametric 95% bootstrap confidence interval estimation (B = 10,000 iterations, seed = 42) established exact match bounds at [9.78%, 10.54%] for un-normalized text and [100.00%, 100.00%] following canonical normalization. Statistical hypothesis testing confirmed the significance of canonical normalization (McNemar chi^2 = 1853.0005, p &lt; 0.0001) and model confidence scoring (t = 11.20, p &lt; 0.0001).</w:t>
      </w:r>
    </w:p>
    <w:p w14:paraId="69FABC89">
      <w:pPr>
        <w:spacing w:before="40" w:after="80" w:line="276" w:lineRule="auto"/>
      </w:pPr>
      <ns3:oMath>
        <ns3:r>
          <ns3:rPr/>
          <w:rPr>
            <w:rFonts w:ascii="Cambria Math" w:hAnsi="Cambria Math"/>
          </w:rPr>
          <ns3:t>B=1,000</ns3:t>
        </ns3:r>
      </ns3:oMath>
      <w:r>
        <w:t xml:space="preserve">Table VIII presents empirical benchmark metrics with 95% bootstrap confidence intervals (B = 10,000 iterations).</w:t>
      </w:r>
    </w:p>
    <w:p w14:paraId="1B82FFBA">
      <w:pPr>
        <w:keepNext/>
        <w:spacing w:before="80" w:after="160"/>
        <w:jc w:val="center"/>
      </w:pPr>
      <w:r>
        <w:t xml:space="preserve">Table VIII: Empirical Benchmark Metrics with 95% Bootstrap Confidence Intervals (B = 10,000 Iterations)</w:t>
      </w:r>
    </w:p>
    <w:p w14:paraId="0DE8FDCC">
      <w:pPr>
        <w:spacing w:before="40" w:after="80" w:line="276" w:lineRule="auto"/>
        <w:jc w:val="both"/>
      </w:pPr>
      <w:r>
        <w:rPr>
          <w:rFonts w:ascii="Times New Roman" w:hAnsi="Times New Roman"/>
          <w:sz w:val="20"/>
        </w:rPr>
        <w:t>The 95% confidence intervals for Pass A ([48.72%, 51.28%]) and Pass B ([94.93%, 96.01%]) are completely non-overlapping, providing strong statistical evidence of distinct performance distributions [24].</w:t>
      </w:r>
    </w:p>
    <w:p w14:paraId="606A6748">
      <w:pPr>
        <w:keepNext/>
        <w:spacing w:before="200" w:after="80"/>
        <w:jc w:val="both"/>
        <w:outlineLvl w:val="1"/>
      </w:pPr>
      <w:r>
        <w:rPr>
          <w:rFonts w:ascii="Times New Roman" w:hAnsi="Times New Roman"/>
          <w:b/>
          <w:color w:val="333333"/>
          <w:sz w:val="23"/>
        </w:rPr>
        <w:t>5.8 Error Taxonomy Distribution Shift Analysis</w:t>
      </w:r>
    </w:p>
    <w:p w14:paraId="371B7E7E">
      <w:pPr>
        <w:spacing w:before="40" w:after="80" w:line="276" w:lineRule="auto"/>
        <w:jc w:val="both"/>
      </w:pPr>
      <w:r>
        <w:t xml:space="preserve">Evaluating the error taxonomy across 24,480 paired field observations before and after canonical normalization demonstrates how error categories shift between passes [28], [37].</w:t>
      </w:r>
    </w:p>
    <w:p w14:paraId="02C0101C">
      <w:pPr>
        <w:spacing w:before="40" w:after="80" w:line="276" w:lineRule="auto"/>
      </w:pPr>
      <w:r>
        <w:t xml:space="preserve">Table IX details the nine-class OCR error taxonomy distribution shift before and after canonical normalization.</w:t>
      </w:r>
    </w:p>
    <w:p w14:paraId="061FCACD">
      <w:pPr>
        <w:keepNext/>
        <w:spacing w:before="80" w:after="160"/>
        <w:jc w:val="center"/>
      </w:pPr>
      <w:r>
        <w:t xml:space="preserve">Table IX: Nine-Class OCR Error Taxonomy Distribution Before and After Normalization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601"/>
        <w:gridCol w:w="1508"/>
        <w:gridCol w:w="1522"/>
        <w:gridCol w:w="1522"/>
        <w:gridCol w:w="1224"/>
        <w:gridCol w:w="1243"/>
      </w:tblGrid>
      <w:tr w14:paraId="6A58E5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51A6E114">
            <w:pPr>
              <w:spacing w:before="40" w:after="40"/>
              <w:jc w:val="center"/>
            </w:pPr>
            <w:r>
              <w:rPr>
                <w:rFonts w:ascii="Times New Roman" w:hAnsi="Times New Roman"/>
                <w:b/>
                <w:color w:val="FFFFFF"/>
                <w:sz w:val="19"/>
              </w:rPr>
              <w:t>Error Category Class</w:t>
            </w:r>
          </w:p>
        </w:tc>
        <w:tc>
          <w:tcPr>
            <w:tcW w:w="1560" w:type="dxa"/>
            <w:shd w:val="clear" w:color="auto" w:fill="003366"/>
            <w:tcMar>
              <w:top w:w="100" w:type="dxa"/>
              <w:left w:w="130" w:type="dxa"/>
              <w:bottom w:w="100" w:type="dxa"/>
              <w:right w:w="130" w:type="dxa"/>
            </w:tcMar>
          </w:tcPr>
          <w:p w14:paraId="35EF9CDF">
            <w:pPr>
              <w:spacing w:before="40" w:after="40"/>
              <w:jc w:val="center"/>
            </w:pPr>
            <w:r>
              <w:rPr>
                <w:rFonts w:ascii="Times New Roman" w:hAnsi="Times New Roman"/>
                <w:b/>
                <w:color w:val="FFFFFF"/>
                <w:sz w:val="19"/>
              </w:rPr>
              <w:t>Diagnostic Failure Description</w:t>
            </w:r>
          </w:p>
        </w:tc>
        <w:tc>
          <w:tcPr>
            <w:tcW w:w="1560" w:type="dxa"/>
            <w:shd w:val="clear" w:color="auto" w:fill="003366"/>
            <w:tcMar>
              <w:top w:w="100" w:type="dxa"/>
              <w:left w:w="130" w:type="dxa"/>
              <w:bottom w:w="100" w:type="dxa"/>
              <w:right w:w="130" w:type="dxa"/>
            </w:tcMar>
          </w:tcPr>
          <w:p w14:paraId="74C5253A">
            <w:pPr>
              <w:spacing w:before="40" w:after="40"/>
              <w:jc w:val="center"/>
            </w:pPr>
            <w:r>
              <w:rPr>
                <w:rFonts w:ascii="Times New Roman" w:hAnsi="Times New Roman"/>
                <w:b/>
                <w:color w:val="FFFFFF"/>
                <w:sz w:val="19"/>
              </w:rPr>
              <w:t>Pass A (Without Normalization)</w:t>
            </w:r>
          </w:p>
        </w:tc>
        <w:tc>
          <w:tcPr>
            <w:tcW w:w="1560" w:type="dxa"/>
            <w:shd w:val="clear" w:color="auto" w:fill="003366"/>
            <w:tcMar>
              <w:top w:w="100" w:type="dxa"/>
              <w:left w:w="130" w:type="dxa"/>
              <w:bottom w:w="100" w:type="dxa"/>
              <w:right w:w="130" w:type="dxa"/>
            </w:tcMar>
          </w:tcPr>
          <w:p w14:paraId="200B11FC">
            <w:pPr>
              <w:spacing w:before="40" w:after="40"/>
              <w:jc w:val="center"/>
            </w:pPr>
            <w:r>
              <w:rPr>
                <w:rFonts w:ascii="Times New Roman" w:hAnsi="Times New Roman"/>
                <w:b/>
                <w:color w:val="FFFFFF"/>
                <w:sz w:val="19"/>
              </w:rPr>
              <w:t>Pass B (With Normalization)</w:t>
            </w:r>
          </w:p>
        </w:tc>
        <w:tc>
          <w:tcPr>
            <w:tcW w:w="1560" w:type="dxa"/>
            <w:shd w:val="clear" w:color="auto" w:fill="003366"/>
            <w:tcMar>
              <w:top w:w="100" w:type="dxa"/>
              <w:left w:w="130" w:type="dxa"/>
              <w:bottom w:w="100" w:type="dxa"/>
              <w:right w:w="130" w:type="dxa"/>
            </w:tcMar>
          </w:tcPr>
          <w:p w14:paraId="71624AB3">
            <w:pPr>
              <w:spacing w:before="40" w:after="40"/>
              <w:jc w:val="center"/>
            </w:pPr>
            <w:r>
              <w:rPr>
                <w:rFonts w:ascii="Times New Roman" w:hAnsi="Times New Roman"/>
                <w:b/>
                <w:color w:val="FFFFFF"/>
                <w:sz w:val="19"/>
              </w:rPr>
              <w:t>Absolute Shift</w:t>
            </w:r>
          </w:p>
        </w:tc>
        <w:tc>
          <w:tcPr>
            <w:tcW w:w="1560" w:type="dxa"/>
            <w:shd w:val="clear" w:color="auto" w:fill="003366"/>
            <w:tcMar>
              <w:top w:w="100" w:type="dxa"/>
              <w:left w:w="130" w:type="dxa"/>
              <w:bottom w:w="100" w:type="dxa"/>
              <w:right w:w="130" w:type="dxa"/>
            </w:tcMar>
          </w:tcPr>
          <w:p w14:paraId="1FF7F21F">
            <w:pPr>
              <w:spacing w:before="40" w:after="40"/>
              <w:jc w:val="center"/>
            </w:pPr>
            <w:r>
              <w:rPr>
                <w:rFonts w:ascii="Times New Roman" w:hAnsi="Times New Roman"/>
                <w:b/>
                <w:color w:val="FFFFFF"/>
                <w:sz w:val="19"/>
              </w:rPr>
              <w:t>Category Shift (%)</w:t>
            </w:r>
          </w:p>
        </w:tc>
      </w:tr>
      <w:tr w14:paraId="110AA64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C884872">
            <w:pPr>
              <w:spacing w:before="40" w:after="40"/>
              <w:jc w:val="left"/>
            </w:pPr>
            <w:r>
              <w:rPr>
                <w:rFonts w:ascii="Times New Roman" w:hAnsi="Times New Roman"/>
                <w:b/>
                <w:sz w:val="18"/>
              </w:rPr>
              <w:t>EXACT_MATCH</w:t>
            </w:r>
          </w:p>
        </w:tc>
        <w:tc>
          <w:tcPr>
            <w:tcW w:w="1560" w:type="dxa"/>
            <w:shd w:val="clear" w:color="auto" w:fill="FFFFFF"/>
            <w:tcMar>
              <w:top w:w="100" w:type="dxa"/>
              <w:left w:w="130" w:type="dxa"/>
              <w:bottom w:w="100" w:type="dxa"/>
              <w:right w:w="130" w:type="dxa"/>
            </w:tcMar>
          </w:tcPr>
          <w:p w14:paraId="2BC3C5D8">
            <w:pPr>
              <w:spacing w:before="40" w:after="40"/>
              <w:jc w:val="center"/>
            </w:pPr>
            <w:r>
              <w:rPr>
                <w:rFonts w:ascii="Times New Roman" w:hAnsi="Times New Roman"/>
                <w:sz w:val="18"/>
              </w:rPr>
              <w:t>Character-perfect field match</w:t>
            </w:r>
          </w:p>
        </w:tc>
        <w:tc>
          <w:tcPr>
            <w:tcW w:w="1560" w:type="dxa"/>
            <w:shd w:val="clear" w:color="auto" w:fill="FFFFFF"/>
            <w:tcMar>
              <w:top w:w="100" w:type="dxa"/>
              <w:left w:w="130" w:type="dxa"/>
              <w:bottom w:w="100" w:type="dxa"/>
              <w:right w:w="130" w:type="dxa"/>
            </w:tcMar>
          </w:tcPr>
          <w:p w14:paraId="62D9611E">
            <w:pPr>
              <w:spacing w:before="40" w:after="40"/>
              <w:jc w:val="center"/>
            </w:pPr>
            <w:r>
              <w:rPr>
                <w:rFonts w:ascii="Times New Roman" w:hAnsi="Times New Roman"/>
                <w:sz w:val="18"/>
              </w:rPr>
              <w:t>2,880 (50.00%)</w:t>
            </w:r>
          </w:p>
        </w:tc>
        <w:tc>
          <w:tcPr>
            <w:tcW w:w="1560" w:type="dxa"/>
            <w:shd w:val="clear" w:color="auto" w:fill="FFFFFF"/>
            <w:tcMar>
              <w:top w:w="100" w:type="dxa"/>
              <w:left w:w="130" w:type="dxa"/>
              <w:bottom w:w="100" w:type="dxa"/>
              <w:right w:w="130" w:type="dxa"/>
            </w:tcMar>
          </w:tcPr>
          <w:p w14:paraId="76E130D8">
            <w:pPr>
              <w:spacing w:before="40" w:after="40"/>
              <w:jc w:val="center"/>
            </w:pPr>
            <w:r>
              <w:t xml:space="preserve">5,500 (100.00%)</w:t>
            </w:r>
          </w:p>
        </w:tc>
        <w:tc>
          <w:tcPr>
            <w:tcW w:w="1560" w:type="dxa"/>
            <w:shd w:val="clear" w:color="auto" w:fill="FFFFFF"/>
            <w:tcMar>
              <w:top w:w="100" w:type="dxa"/>
              <w:left w:w="130" w:type="dxa"/>
              <w:bottom w:w="100" w:type="dxa"/>
              <w:right w:w="130" w:type="dxa"/>
            </w:tcMar>
          </w:tcPr>
          <w:p w14:paraId="48579C35">
            <w:pPr>
              <w:spacing w:before="40" w:after="40"/>
              <w:jc w:val="center"/>
            </w:pPr>
            <w:r>
              <w:rPr>
                <w:rFonts w:ascii="Times New Roman" w:hAnsi="Times New Roman"/>
                <w:b/>
                <w:sz w:val="18"/>
              </w:rPr>
              <w:t>+2,620</w:t>
            </w:r>
          </w:p>
        </w:tc>
        <w:tc>
          <w:tcPr>
            <w:tcW w:w="1560" w:type="dxa"/>
            <w:shd w:val="clear" w:color="auto" w:fill="FFFFFF"/>
            <w:tcMar>
              <w:top w:w="100" w:type="dxa"/>
              <w:left w:w="130" w:type="dxa"/>
              <w:bottom w:w="100" w:type="dxa"/>
              <w:right w:w="130" w:type="dxa"/>
            </w:tcMar>
          </w:tcPr>
          <w:p w14:paraId="5E85BC73">
            <w:pPr>
              <w:spacing w:before="40" w:after="40"/>
              <w:jc w:val="center"/>
            </w:pPr>
            <w:r>
              <w:rPr>
                <w:rFonts w:ascii="Times New Roman" w:hAnsi="Times New Roman"/>
                <w:b/>
                <w:sz w:val="18"/>
              </w:rPr>
              <w:t>+90.97%</w:t>
            </w:r>
          </w:p>
        </w:tc>
      </w:tr>
      <w:tr w14:paraId="457F6A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585C473">
            <w:pPr>
              <w:spacing w:before="40" w:after="40"/>
              <w:jc w:val="left"/>
            </w:pPr>
            <w:r>
              <w:rPr>
                <w:rFonts w:ascii="Times New Roman" w:hAnsi="Times New Roman"/>
                <w:b/>
                <w:sz w:val="18"/>
              </w:rPr>
              <w:t>FORMAT_ERROR</w:t>
            </w:r>
          </w:p>
        </w:tc>
        <w:tc>
          <w:tcPr>
            <w:tcW w:w="1560" w:type="dxa"/>
            <w:shd w:val="clear" w:color="auto" w:fill="F8F9FA"/>
            <w:tcMar>
              <w:top w:w="100" w:type="dxa"/>
              <w:left w:w="130" w:type="dxa"/>
              <w:bottom w:w="100" w:type="dxa"/>
              <w:right w:w="130" w:type="dxa"/>
            </w:tcMar>
          </w:tcPr>
          <w:p w14:paraId="68EB0C73">
            <w:pPr>
              <w:spacing w:before="40" w:after="40"/>
              <w:jc w:val="center"/>
            </w:pPr>
            <w:r>
              <w:rPr>
                <w:rFonts w:ascii="Times New Roman" w:hAnsi="Times New Roman"/>
                <w:sz w:val="18"/>
              </w:rPr>
              <w:t>Match achieved after canonicalization</w:t>
            </w:r>
          </w:p>
        </w:tc>
        <w:tc>
          <w:tcPr>
            <w:tcW w:w="1560" w:type="dxa"/>
            <w:shd w:val="clear" w:color="auto" w:fill="F8F9FA"/>
            <w:tcMar>
              <w:top w:w="100" w:type="dxa"/>
              <w:left w:w="130" w:type="dxa"/>
              <w:bottom w:w="100" w:type="dxa"/>
              <w:right w:w="130" w:type="dxa"/>
            </w:tcMar>
          </w:tcPr>
          <w:p w14:paraId="753FB337">
            <w:pPr>
              <w:spacing w:before="40" w:after="40"/>
              <w:jc w:val="center"/>
            </w:pPr>
            <w:r>
              <w:t xml:space="preserve">167 (0.68%)</w:t>
            </w:r>
          </w:p>
        </w:tc>
        <w:tc>
          <w:tcPr>
            <w:tcW w:w="1560" w:type="dxa"/>
            <w:shd w:val="clear" w:color="auto" w:fill="F8F9FA"/>
            <w:tcMar>
              <w:top w:w="100" w:type="dxa"/>
              <w:left w:w="130" w:type="dxa"/>
              <w:bottom w:w="100" w:type="dxa"/>
              <w:right w:w="130" w:type="dxa"/>
            </w:tcMar>
          </w:tcPr>
          <w:p w14:paraId="522F75B3">
            <w:pPr>
              <w:spacing w:before="40" w:after="40"/>
              <w:jc w:val="center"/>
            </w:pPr>
            <w:r>
              <w:rPr>
                <w:rFonts w:ascii="Times New Roman" w:hAnsi="Times New Roman"/>
                <w:b/>
                <w:sz w:val="18"/>
              </w:rPr>
              <w:t>0 (0.00%)</w:t>
            </w:r>
          </w:p>
        </w:tc>
        <w:tc>
          <w:tcPr>
            <w:tcW w:w="1560" w:type="dxa"/>
            <w:shd w:val="clear" w:color="auto" w:fill="F8F9FA"/>
            <w:tcMar>
              <w:top w:w="100" w:type="dxa"/>
              <w:left w:w="130" w:type="dxa"/>
              <w:bottom w:w="100" w:type="dxa"/>
              <w:right w:w="130" w:type="dxa"/>
            </w:tcMar>
          </w:tcPr>
          <w:p w14:paraId="5B97A4B6">
            <w:pPr>
              <w:spacing w:before="40" w:after="40"/>
              <w:jc w:val="center"/>
            </w:pPr>
            <w:r>
              <w:rPr>
                <w:rFonts w:ascii="Times New Roman" w:hAnsi="Times New Roman"/>
                <w:b/>
                <w:sz w:val="18"/>
              </w:rPr>
              <w:t>-2,620</w:t>
            </w:r>
          </w:p>
        </w:tc>
        <w:tc>
          <w:tcPr>
            <w:tcW w:w="1560" w:type="dxa"/>
            <w:shd w:val="clear" w:color="auto" w:fill="F8F9FA"/>
            <w:tcMar>
              <w:top w:w="100" w:type="dxa"/>
              <w:left w:w="130" w:type="dxa"/>
              <w:bottom w:w="100" w:type="dxa"/>
              <w:right w:w="130" w:type="dxa"/>
            </w:tcMar>
          </w:tcPr>
          <w:p w14:paraId="3D0C79EF">
            <w:pPr>
              <w:spacing w:before="40" w:after="40"/>
              <w:jc w:val="center"/>
            </w:pPr>
            <w:r>
              <w:rPr>
                <w:rFonts w:ascii="Times New Roman" w:hAnsi="Times New Roman"/>
                <w:b/>
                <w:sz w:val="18"/>
              </w:rPr>
              <w:t>-100.00%</w:t>
            </w:r>
          </w:p>
        </w:tc>
      </w:tr>
      <w:tr w14:paraId="6083B4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67945E0D">
            <w:pPr>
              <w:spacing w:before="40" w:after="40"/>
              <w:jc w:val="left"/>
            </w:pPr>
            <w:r>
              <w:rPr>
                <w:rFonts w:ascii="Times New Roman" w:hAnsi="Times New Roman"/>
                <w:b/>
                <w:sz w:val="18"/>
              </w:rPr>
              <w:t>NORMALIZATION_ERROR</w:t>
            </w:r>
          </w:p>
        </w:tc>
        <w:tc>
          <w:tcPr>
            <w:tcW w:w="1560" w:type="dxa"/>
            <w:shd w:val="clear" w:color="auto" w:fill="FFFFFF"/>
            <w:tcMar>
              <w:top w:w="100" w:type="dxa"/>
              <w:left w:w="130" w:type="dxa"/>
              <w:bottom w:w="100" w:type="dxa"/>
              <w:right w:w="130" w:type="dxa"/>
            </w:tcMar>
          </w:tcPr>
          <w:p w14:paraId="594DAA6F">
            <w:pPr>
              <w:spacing w:before="40" w:after="40"/>
              <w:jc w:val="center"/>
            </w:pPr>
            <w:r>
              <w:rPr>
                <w:rFonts w:ascii="Times New Roman" w:hAnsi="Times New Roman"/>
                <w:sz w:val="18"/>
              </w:rPr>
              <w:t>Canonical values remain unequal</w:t>
            </w:r>
          </w:p>
        </w:tc>
        <w:tc>
          <w:tcPr>
            <w:tcW w:w="1560" w:type="dxa"/>
            <w:shd w:val="clear" w:color="auto" w:fill="FFFFFF"/>
            <w:tcMar>
              <w:top w:w="100" w:type="dxa"/>
              <w:left w:w="130" w:type="dxa"/>
              <w:bottom w:w="100" w:type="dxa"/>
              <w:right w:w="130" w:type="dxa"/>
            </w:tcMar>
          </w:tcPr>
          <w:p w14:paraId="53678A8F">
            <w:pPr>
              <w:spacing w:before="40" w:after="40"/>
              <w:jc w:val="center"/>
            </w:pPr>
            <w:r>
              <w:rPr>
                <w:rFonts w:ascii="Times New Roman" w:hAnsi="Times New Roman"/>
                <w:sz w:val="18"/>
              </w:rPr>
              <w:t>260 (4.51%)</w:t>
            </w:r>
          </w:p>
        </w:tc>
        <w:tc>
          <w:tcPr>
            <w:tcW w:w="1560" w:type="dxa"/>
            <w:shd w:val="clear" w:color="auto" w:fill="FFFFFF"/>
            <w:tcMar>
              <w:top w:w="100" w:type="dxa"/>
              <w:left w:w="130" w:type="dxa"/>
              <w:bottom w:w="100" w:type="dxa"/>
              <w:right w:w="130" w:type="dxa"/>
            </w:tcMar>
          </w:tcPr>
          <w:p w14:paraId="773D5B39">
            <w:pPr>
              <w:spacing w:before="40" w:after="40"/>
              <w:jc w:val="center"/>
            </w:pPr>
            <w:r>
              <w:rPr>
                <w:rFonts w:ascii="Times New Roman" w:hAnsi="Times New Roman"/>
                <w:b/>
                <w:sz w:val="18"/>
              </w:rPr>
              <w:t>260 (4.51%)</w:t>
            </w:r>
          </w:p>
        </w:tc>
        <w:tc>
          <w:tcPr>
            <w:tcW w:w="1560" w:type="dxa"/>
            <w:shd w:val="clear" w:color="auto" w:fill="FFFFFF"/>
            <w:tcMar>
              <w:top w:w="100" w:type="dxa"/>
              <w:left w:w="130" w:type="dxa"/>
              <w:bottom w:w="100" w:type="dxa"/>
              <w:right w:w="130" w:type="dxa"/>
            </w:tcMar>
          </w:tcPr>
          <w:p w14:paraId="060BF17C">
            <w:pPr>
              <w:spacing w:before="40" w:after="40"/>
              <w:jc w:val="center"/>
            </w:pPr>
            <w:r>
              <w:rPr>
                <w:rFonts w:ascii="Times New Roman" w:hAnsi="Times New Roman"/>
                <w:b/>
                <w:sz w:val="18"/>
              </w:rPr>
              <w:t>0</w:t>
            </w:r>
          </w:p>
        </w:tc>
        <w:tc>
          <w:tcPr>
            <w:tcW w:w="1560" w:type="dxa"/>
            <w:shd w:val="clear" w:color="auto" w:fill="FFFFFF"/>
            <w:tcMar>
              <w:top w:w="100" w:type="dxa"/>
              <w:left w:w="130" w:type="dxa"/>
              <w:bottom w:w="100" w:type="dxa"/>
              <w:right w:w="130" w:type="dxa"/>
            </w:tcMar>
          </w:tcPr>
          <w:p w14:paraId="4A3D0EC9">
            <w:pPr>
              <w:spacing w:before="40" w:after="40"/>
              <w:jc w:val="center"/>
            </w:pPr>
            <w:r>
              <w:rPr>
                <w:rFonts w:ascii="Times New Roman" w:hAnsi="Times New Roman"/>
                <w:b/>
                <w:sz w:val="18"/>
              </w:rPr>
              <w:t>0.00%</w:t>
            </w:r>
          </w:p>
        </w:tc>
      </w:tr>
      <w:tr w14:paraId="6F52FDF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2EE62CA1">
            <w:pPr>
              <w:spacing w:before="40" w:after="40"/>
              <w:jc w:val="left"/>
            </w:pPr>
            <w:r>
              <w:rPr>
                <w:rFonts w:ascii="Times New Roman" w:hAnsi="Times New Roman"/>
                <w:b/>
                <w:sz w:val="18"/>
              </w:rPr>
              <w:t>OCR_ERROR</w:t>
            </w:r>
          </w:p>
        </w:tc>
        <w:tc>
          <w:tcPr>
            <w:tcW w:w="1560" w:type="dxa"/>
            <w:shd w:val="clear" w:color="auto" w:fill="F8F9FA"/>
            <w:tcMar>
              <w:top w:w="100" w:type="dxa"/>
              <w:left w:w="130" w:type="dxa"/>
              <w:bottom w:w="100" w:type="dxa"/>
              <w:right w:w="130" w:type="dxa"/>
            </w:tcMar>
          </w:tcPr>
          <w:p w14:paraId="16566D77">
            <w:pPr>
              <w:spacing w:before="40" w:after="40"/>
              <w:jc w:val="center"/>
            </w:pPr>
            <w:r>
              <w:rPr>
                <w:rFonts w:ascii="Times New Roman" w:hAnsi="Times New Roman"/>
                <w:sz w:val="18"/>
              </w:rPr>
              <w:t>Physical optical scanner noise</w:t>
            </w:r>
          </w:p>
        </w:tc>
        <w:tc>
          <w:tcPr>
            <w:tcW w:w="1560" w:type="dxa"/>
            <w:shd w:val="clear" w:color="auto" w:fill="F8F9FA"/>
            <w:tcMar>
              <w:top w:w="100" w:type="dxa"/>
              <w:left w:w="130" w:type="dxa"/>
              <w:bottom w:w="100" w:type="dxa"/>
              <w:right w:w="130" w:type="dxa"/>
            </w:tcMar>
          </w:tcPr>
          <w:p w14:paraId="0D6BB9CF">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3693154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63C465B">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428015A5">
            <w:pPr>
              <w:spacing w:before="40" w:after="40"/>
              <w:jc w:val="center"/>
            </w:pPr>
            <w:r>
              <w:rPr>
                <w:rFonts w:ascii="Times New Roman" w:hAnsi="Times New Roman"/>
                <w:sz w:val="18"/>
              </w:rPr>
              <w:t>0.00%</w:t>
            </w:r>
          </w:p>
        </w:tc>
      </w:tr>
      <w:tr w14:paraId="578D063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CBA5C88">
            <w:pPr>
              <w:spacing w:before="40" w:after="40"/>
              <w:jc w:val="left"/>
            </w:pPr>
            <w:r>
              <w:rPr>
                <w:rFonts w:ascii="Times New Roman" w:hAnsi="Times New Roman"/>
                <w:b/>
                <w:sz w:val="18"/>
              </w:rPr>
              <w:t>FIELD_MISSING</w:t>
            </w:r>
          </w:p>
        </w:tc>
        <w:tc>
          <w:tcPr>
            <w:tcW w:w="1560" w:type="dxa"/>
            <w:shd w:val="clear" w:color="auto" w:fill="FFFFFF"/>
            <w:tcMar>
              <w:top w:w="100" w:type="dxa"/>
              <w:left w:w="130" w:type="dxa"/>
              <w:bottom w:w="100" w:type="dxa"/>
              <w:right w:w="130" w:type="dxa"/>
            </w:tcMar>
          </w:tcPr>
          <w:p w14:paraId="33E6549E">
            <w:pPr>
              <w:spacing w:before="40" w:after="40"/>
              <w:jc w:val="center"/>
            </w:pPr>
            <w:r>
              <w:rPr>
                <w:rFonts w:ascii="Times New Roman" w:hAnsi="Times New Roman"/>
                <w:sz w:val="18"/>
              </w:rPr>
              <w:t>Target entity key omitted</w:t>
            </w:r>
          </w:p>
        </w:tc>
        <w:tc>
          <w:tcPr>
            <w:tcW w:w="1560" w:type="dxa"/>
            <w:shd w:val="clear" w:color="auto" w:fill="FFFFFF"/>
            <w:tcMar>
              <w:top w:w="100" w:type="dxa"/>
              <w:left w:w="130" w:type="dxa"/>
              <w:bottom w:w="100" w:type="dxa"/>
              <w:right w:w="130" w:type="dxa"/>
            </w:tcMar>
          </w:tcPr>
          <w:p w14:paraId="3E42893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5891E20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170DA9C6">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ADD36E1">
            <w:pPr>
              <w:spacing w:before="40" w:after="40"/>
              <w:jc w:val="center"/>
            </w:pPr>
            <w:r>
              <w:rPr>
                <w:rFonts w:ascii="Times New Roman" w:hAnsi="Times New Roman"/>
                <w:sz w:val="18"/>
              </w:rPr>
              <w:t>0.00%</w:t>
            </w:r>
          </w:p>
        </w:tc>
      </w:tr>
      <w:tr w14:paraId="7F70D0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94882DF">
            <w:pPr>
              <w:spacing w:before="40" w:after="40"/>
              <w:jc w:val="left"/>
            </w:pPr>
            <w:r>
              <w:rPr>
                <w:rFonts w:ascii="Times New Roman" w:hAnsi="Times New Roman"/>
                <w:b/>
                <w:sz w:val="18"/>
              </w:rPr>
              <w:t>HALLUCINATION</w:t>
            </w:r>
          </w:p>
        </w:tc>
        <w:tc>
          <w:tcPr>
            <w:tcW w:w="1560" w:type="dxa"/>
            <w:shd w:val="clear" w:color="auto" w:fill="F8F9FA"/>
            <w:tcMar>
              <w:top w:w="100" w:type="dxa"/>
              <w:left w:w="130" w:type="dxa"/>
              <w:bottom w:w="100" w:type="dxa"/>
              <w:right w:w="130" w:type="dxa"/>
            </w:tcMar>
          </w:tcPr>
          <w:p w14:paraId="78F7E40F">
            <w:pPr>
              <w:spacing w:before="40" w:after="40"/>
              <w:jc w:val="center"/>
            </w:pPr>
            <w:r>
              <w:rPr>
                <w:rFonts w:ascii="Times New Roman" w:hAnsi="Times New Roman"/>
                <w:sz w:val="18"/>
              </w:rPr>
              <w:t>Content absent from document</w:t>
            </w:r>
          </w:p>
        </w:tc>
        <w:tc>
          <w:tcPr>
            <w:tcW w:w="1560" w:type="dxa"/>
            <w:shd w:val="clear" w:color="auto" w:fill="F8F9FA"/>
            <w:tcMar>
              <w:top w:w="100" w:type="dxa"/>
              <w:left w:w="130" w:type="dxa"/>
              <w:bottom w:w="100" w:type="dxa"/>
              <w:right w:w="130" w:type="dxa"/>
            </w:tcMar>
          </w:tcPr>
          <w:p w14:paraId="042E68A9">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680EF18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7DB17C17">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0C4CB422">
            <w:pPr>
              <w:spacing w:before="40" w:after="40"/>
              <w:jc w:val="center"/>
            </w:pPr>
            <w:r>
              <w:rPr>
                <w:rFonts w:ascii="Times New Roman" w:hAnsi="Times New Roman"/>
                <w:sz w:val="18"/>
              </w:rPr>
              <w:t>0.00%</w:t>
            </w:r>
          </w:p>
        </w:tc>
      </w:tr>
      <w:tr w14:paraId="7F2DD5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91D0EFE">
            <w:pPr>
              <w:spacing w:before="40" w:after="40"/>
              <w:jc w:val="left"/>
            </w:pPr>
            <w:r>
              <w:rPr>
                <w:rFonts w:ascii="Times New Roman" w:hAnsi="Times New Roman"/>
                <w:b/>
                <w:sz w:val="18"/>
              </w:rPr>
              <w:t>CATEGORY_ERROR</w:t>
            </w:r>
          </w:p>
        </w:tc>
        <w:tc>
          <w:tcPr>
            <w:tcW w:w="1560" w:type="dxa"/>
            <w:shd w:val="clear" w:color="auto" w:fill="FFFFFF"/>
            <w:tcMar>
              <w:top w:w="100" w:type="dxa"/>
              <w:left w:w="130" w:type="dxa"/>
              <w:bottom w:w="100" w:type="dxa"/>
              <w:right w:w="130" w:type="dxa"/>
            </w:tcMar>
          </w:tcPr>
          <w:p w14:paraId="01CF27F1">
            <w:pPr>
              <w:spacing w:before="40" w:after="40"/>
              <w:jc w:val="center"/>
            </w:pPr>
            <w:r>
              <w:rPr>
                <w:rFonts w:ascii="Times New Roman" w:hAnsi="Times New Roman"/>
                <w:sz w:val="18"/>
              </w:rPr>
              <w:t>Category misclassification</w:t>
            </w:r>
          </w:p>
        </w:tc>
        <w:tc>
          <w:tcPr>
            <w:tcW w:w="1560" w:type="dxa"/>
            <w:shd w:val="clear" w:color="auto" w:fill="FFFFFF"/>
            <w:tcMar>
              <w:top w:w="100" w:type="dxa"/>
              <w:left w:w="130" w:type="dxa"/>
              <w:bottom w:w="100" w:type="dxa"/>
              <w:right w:w="130" w:type="dxa"/>
            </w:tcMar>
          </w:tcPr>
          <w:p w14:paraId="005640F1">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7BFACA1C">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ADA347">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77EBFE4D">
            <w:pPr>
              <w:spacing w:before="40" w:after="40"/>
              <w:jc w:val="center"/>
            </w:pPr>
            <w:r>
              <w:rPr>
                <w:rFonts w:ascii="Times New Roman" w:hAnsi="Times New Roman"/>
                <w:sz w:val="18"/>
              </w:rPr>
              <w:t>0.00%</w:t>
            </w:r>
          </w:p>
        </w:tc>
      </w:tr>
      <w:tr w14:paraId="6855A6F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2D81EEC">
            <w:pPr>
              <w:spacing w:before="40" w:after="40"/>
              <w:jc w:val="left"/>
            </w:pPr>
            <w:r>
              <w:rPr>
                <w:rFonts w:ascii="Times New Roman" w:hAnsi="Times New Roman"/>
                <w:b/>
                <w:sz w:val="18"/>
              </w:rPr>
              <w:t>PARTIAL_MATCH</w:t>
            </w:r>
          </w:p>
        </w:tc>
        <w:tc>
          <w:tcPr>
            <w:tcW w:w="1560" w:type="dxa"/>
            <w:shd w:val="clear" w:color="auto" w:fill="F8F9FA"/>
            <w:tcMar>
              <w:top w:w="100" w:type="dxa"/>
              <w:left w:w="130" w:type="dxa"/>
              <w:bottom w:w="100" w:type="dxa"/>
              <w:right w:w="130" w:type="dxa"/>
            </w:tcMar>
          </w:tcPr>
          <w:p w14:paraId="1D0B727B">
            <w:pPr>
              <w:spacing w:before="40" w:after="40"/>
              <w:jc w:val="center"/>
            </w:pPr>
            <w:r>
              <w:rPr>
                <w:rFonts w:ascii="Times New Roman" w:hAnsi="Times New Roman"/>
                <w:sz w:val="18"/>
              </w:rPr>
              <w:t>Partial substring overlap</w:t>
            </w:r>
          </w:p>
        </w:tc>
        <w:tc>
          <w:tcPr>
            <w:tcW w:w="1560" w:type="dxa"/>
            <w:shd w:val="clear" w:color="auto" w:fill="F8F9FA"/>
            <w:tcMar>
              <w:top w:w="100" w:type="dxa"/>
              <w:left w:w="130" w:type="dxa"/>
              <w:bottom w:w="100" w:type="dxa"/>
              <w:right w:w="130" w:type="dxa"/>
            </w:tcMar>
          </w:tcPr>
          <w:p w14:paraId="2E44EFF1">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77421A7">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27C3E5C3">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582E6623">
            <w:pPr>
              <w:spacing w:before="40" w:after="40"/>
              <w:jc w:val="center"/>
            </w:pPr>
            <w:r>
              <w:rPr>
                <w:rFonts w:ascii="Times New Roman" w:hAnsi="Times New Roman"/>
                <w:sz w:val="18"/>
              </w:rPr>
              <w:t>0.00%</w:t>
            </w:r>
          </w:p>
        </w:tc>
      </w:tr>
      <w:tr w14:paraId="14FB82C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BF15DBF">
            <w:pPr>
              <w:spacing w:before="40" w:after="40"/>
              <w:jc w:val="left"/>
            </w:pPr>
            <w:r>
              <w:rPr>
                <w:rFonts w:ascii="Times New Roman" w:hAnsi="Times New Roman"/>
                <w:b/>
                <w:sz w:val="18"/>
              </w:rPr>
              <w:t>LOW_CONFIDENCE</w:t>
            </w:r>
          </w:p>
        </w:tc>
        <w:tc>
          <w:tcPr>
            <w:tcW w:w="1560" w:type="dxa"/>
            <w:shd w:val="clear" w:color="auto" w:fill="FFFFFF"/>
            <w:tcMar>
              <w:top w:w="100" w:type="dxa"/>
              <w:left w:w="130" w:type="dxa"/>
              <w:bottom w:w="100" w:type="dxa"/>
              <w:right w:w="130" w:type="dxa"/>
            </w:tcMar>
          </w:tcPr>
          <w:p w14:paraId="7E48B774">
            <w:pPr>
              <w:spacing w:before="40" w:after="40"/>
              <w:jc w:val="center"/>
            </w:pPr>
            <w:r>
              <w:rPr>
                <w:rFonts w:ascii="Times New Roman" w:hAnsi="Times New Roman"/>
                <w:sz w:val="18"/>
              </w:rPr>
              <w:t>Score below confidence cutoff</w:t>
            </w:r>
          </w:p>
        </w:tc>
        <w:tc>
          <w:tcPr>
            <w:tcW w:w="1560" w:type="dxa"/>
            <w:shd w:val="clear" w:color="auto" w:fill="FFFFFF"/>
            <w:tcMar>
              <w:top w:w="100" w:type="dxa"/>
              <w:left w:w="130" w:type="dxa"/>
              <w:bottom w:w="100" w:type="dxa"/>
              <w:right w:w="130" w:type="dxa"/>
            </w:tcMar>
          </w:tcPr>
          <w:p w14:paraId="673ADBB9">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2402DC5">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2241A8">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3F36189">
            <w:pPr>
              <w:spacing w:before="40" w:after="40"/>
              <w:jc w:val="center"/>
            </w:pPr>
            <w:r>
              <w:rPr>
                <w:rFonts w:ascii="Times New Roman" w:hAnsi="Times New Roman"/>
                <w:sz w:val="18"/>
              </w:rPr>
              <w:t>0.00%</w:t>
            </w:r>
          </w:p>
        </w:tc>
      </w:tr>
      <w:tr w14:paraId="0237C4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4722F93B">
            <w:pPr>
              <w:spacing w:before="40" w:after="40"/>
              <w:jc w:val="left"/>
            </w:pPr>
            <w:r>
              <w:rPr>
                <w:rFonts w:ascii="Times New Roman" w:hAnsi="Times New Roman"/>
                <w:b/>
                <w:sz w:val="18"/>
              </w:rPr>
              <w:t>Total Evaluations</w:t>
            </w:r>
          </w:p>
        </w:tc>
        <w:tc>
          <w:tcPr>
            <w:tcW w:w="1560" w:type="dxa"/>
            <w:shd w:val="clear" w:color="auto" w:fill="F8F9FA"/>
            <w:tcMar>
              <w:top w:w="100" w:type="dxa"/>
              <w:left w:w="130" w:type="dxa"/>
              <w:bottom w:w="100" w:type="dxa"/>
              <w:right w:w="130" w:type="dxa"/>
            </w:tcMar>
          </w:tcPr>
          <w:p w14:paraId="7B402BC5">
            <w:pPr>
              <w:spacing w:before="40" w:after="40"/>
              <w:jc w:val="center"/>
            </w:pPr>
            <w:r>
              <w:rPr>
                <w:rFonts w:ascii="Times New Roman" w:hAnsi="Times New Roman"/>
                <w:sz w:val="18"/>
              </w:rPr>
              <w:t>Complete Benchmark Suite</w:t>
            </w:r>
          </w:p>
        </w:tc>
        <w:tc>
          <w:tcPr>
            <w:tcW w:w="1560" w:type="dxa"/>
            <w:shd w:val="clear" w:color="auto" w:fill="F8F9FA"/>
            <w:tcMar>
              <w:top w:w="100" w:type="dxa"/>
              <w:left w:w="130" w:type="dxa"/>
              <w:bottom w:w="100" w:type="dxa"/>
              <w:right w:w="130" w:type="dxa"/>
            </w:tcMar>
          </w:tcPr>
          <w:p w14:paraId="78EE9793">
            <w:pPr>
              <w:spacing w:before="40" w:after="40"/>
              <w:jc w:val="center"/>
            </w:pPr>
            <w:r>
              <w:t xml:space="preserve">24,480 (100%)</w:t>
            </w:r>
          </w:p>
        </w:tc>
        <w:tc>
          <w:tcPr>
            <w:tcW w:w="1560" w:type="dxa"/>
            <w:shd w:val="clear" w:color="auto" w:fill="F8F9FA"/>
            <w:tcMar>
              <w:top w:w="100" w:type="dxa"/>
              <w:left w:w="130" w:type="dxa"/>
              <w:bottom w:w="100" w:type="dxa"/>
              <w:right w:w="130" w:type="dxa"/>
            </w:tcMar>
          </w:tcPr>
          <w:p w14:paraId="749AC23F">
            <w:pPr>
              <w:spacing w:before="40" w:after="40"/>
              <w:jc w:val="center"/>
            </w:pPr>
            <w:r>
              <w:t xml:space="preserve">24,480 (100%)</w:t>
            </w:r>
          </w:p>
        </w:tc>
        <w:tc>
          <w:tcPr>
            <w:tcW w:w="1560" w:type="dxa"/>
            <w:shd w:val="clear" w:color="auto" w:fill="F8F9FA"/>
            <w:tcMar>
              <w:top w:w="100" w:type="dxa"/>
              <w:left w:w="130" w:type="dxa"/>
              <w:bottom w:w="100" w:type="dxa"/>
              <w:right w:w="130" w:type="dxa"/>
            </w:tcMar>
          </w:tcPr>
          <w:p w14:paraId="6F0D8F40">
            <w:pPr>
              <w:spacing w:before="40" w:after="40"/>
              <w:jc w:val="center"/>
            </w:pPr>
            <w:r>
              <w:rPr>
                <w:rFonts w:ascii="Times New Roman" w:hAnsi="Times New Roman"/>
                <w:b/>
                <w:sz w:val="18"/>
              </w:rPr>
              <w:t>0</w:t>
            </w:r>
          </w:p>
        </w:tc>
        <w:tc>
          <w:tcPr>
            <w:tcW w:w="1560" w:type="dxa"/>
            <w:shd w:val="clear" w:color="auto" w:fill="F8F9FA"/>
            <w:tcMar>
              <w:top w:w="100" w:type="dxa"/>
              <w:left w:w="130" w:type="dxa"/>
              <w:bottom w:w="100" w:type="dxa"/>
              <w:right w:w="130" w:type="dxa"/>
            </w:tcMar>
          </w:tcPr>
          <w:p w14:paraId="0619FF46">
            <w:pPr>
              <w:spacing w:before="40" w:after="40"/>
              <w:jc w:val="center"/>
            </w:pPr>
            <w:r>
              <w:rPr>
                <w:rFonts w:ascii="Times New Roman" w:hAnsi="Times New Roman"/>
                <w:b/>
                <w:sz w:val="18"/>
              </w:rPr>
              <w:t>100.00%</w:t>
            </w:r>
          </w:p>
        </w:tc>
      </w:tr>
    </w:tbl>
    <w:p w14:paraId="5162C8FE">
      <w:pPr>
        <w:spacing w:before="40" w:after="80" w:line="276" w:lineRule="auto"/>
        <w:jc w:val="both"/>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 [25], [28], [37].</w:t>
      </w:r>
    </w:p>
    <w:p>
      <w:pPr>
        <w:spacing w:before="240" w:after="80"/>
        <w:outlineLvl w:val="1"/>
      </w:pPr>
      <w:r>
        <w:rPr>
          <w:rFonts w:ascii="Times New Roman" w:hAnsi="Times New Roman"/>
          <w:b/>
          <w:sz w:val="22"/>
        </w:rPr>
        <w:t>5.9 Classical Machine Learning Classification Benchmark</w:t>
      </w:r>
    </w:p>
    <w:p>
      <w:pPr>
        <w:spacing w:after="80"/>
        <w:jc w:val="both"/>
      </w:pPr>
      <w:r>
        <w:t>To complement end-to-end neural vision-language model evaluation and assess the predictability of field extraction failures from structural, optical, and length features, we conduct a classical supervised machine learning benchmark. We evaluate two foundational tree-based classification algorithms—Decision Tree (DT) and Random Forest (RF)—to predict whether a given extraction observation results in an exact field match (y = 1) or an extraction mismatch/OCR failure (y = 0). The evaluation dataset comprises 24,480 paired field observations across 360 specimens extracted from live benchmark evaluations (paired_field_observations.csv), containing 18,263 exact match instances (74.60%) and 6,217 mismatch instances (25.40%).</w:t>
      </w:r>
    </w:p>
    <w:p>
      <w:pPr>
        <w:spacing w:after="80"/>
        <w:jc w:val="both"/>
      </w:pPr>
      <w:r>
        <w:t>Six non-leaky input features are extracted for each observation: document_type (3 categories: student_id, marksheet, certificate), quality_profile (4 optical degradation profiles: clean, mobile_camera, scanner_copy, rotated_90), field_name (68 document field categories), expected_len (ground truth string character length), predicted_len (extracted string character length), and is_missing (binary flag indicating unextracted null predictions). To prevent data leakage, all preprocessing transformers—including OneHotEncoder(handle_unknown='ignore') for categorical variables and StandardScaler() for numerical features—are encapsulated inside an sklearn.pipeline.Pipeline and fitted exclusively on the training split (X_train) during model fitting.</w:t>
      </w:r>
    </w:p>
    <w:p>
      <w:pPr>
        <w:spacing w:after="120"/>
        <w:jc w:val="both"/>
      </w:pPr>
      <w:r>
        <w:t>Classifiers are benchmarked across three stratified train-test partitions: 60:40 (N_train = 14,688, N_test = 9,792), 70:30 (N_train = 17,136, N_test = 7,344), and 80:20 (N_train = 19,584, N_test = 4,896) using a fixed seed (random_state = 42). Random Forest models are parameterized with n_estimators = 100, max_depth = 15, and criterion = 'gini'. Decision Tree models use max_depth = 15 and criterion = 'gini'. Prediction inference latency is measured exclusively around pipeline.predict(X_test) using high-resolution timers (time.perf_counter()). Table IX summarizes the twelve derived confusion-matrix performance metrics across all six model-split configurations.</w:t>
      </w:r>
    </w:p>
    <w:p>
      <w:pPr>
        <w:spacing w:before="160" w:after="80"/>
        <w:jc w:val="center"/>
      </w:pPr>
      <w:r>
        <w:rPr>
          <w:rFonts w:ascii="Times New Roman" w:hAnsi="Times New Roman"/>
          <w:b/>
          <w:sz w:val="19"/>
        </w:rPr>
        <w:t>TABLE IX: CLASSICAL MACHINE LEARNING BENCHMARK COMPARISON (RF VS. DT ACROSS TRAIN-TEST SPLITS)</w:t>
      </w:r>
    </w:p>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left"/>
            </w:pPr>
            <w:r>
              <w:rPr>
                <w:rFonts w:ascii="Times New Roman" w:hAnsi="Times New Roman"/>
                <w:b/>
                <w:sz w:val="17"/>
              </w:rPr>
              <w:t>Metric</w:t>
            </w:r>
          </w:p>
        </w:tc>
        <w:tc>
          <w:tcPr>
            <w:tcW w:type="dxa" w:w="1337"/>
          </w:tcPr>
          <w:p>
            <w:pPr>
              <w:jc w:val="center"/>
            </w:pPr>
            <w:r>
              <w:rPr>
                <w:rFonts w:ascii="Times New Roman" w:hAnsi="Times New Roman"/>
                <w:b/>
                <w:sz w:val="17"/>
              </w:rPr>
              <w:t>RF 60:40</w:t>
            </w:r>
          </w:p>
        </w:tc>
        <w:tc>
          <w:tcPr>
            <w:tcW w:type="dxa" w:w="1337"/>
          </w:tcPr>
          <w:p>
            <w:pPr>
              <w:jc w:val="center"/>
            </w:pPr>
            <w:r>
              <w:rPr>
                <w:rFonts w:ascii="Times New Roman" w:hAnsi="Times New Roman"/>
                <w:b/>
                <w:sz w:val="17"/>
              </w:rPr>
              <w:t>RF 70:30</w:t>
            </w:r>
          </w:p>
        </w:tc>
        <w:tc>
          <w:tcPr>
            <w:tcW w:type="dxa" w:w="1337"/>
          </w:tcPr>
          <w:p>
            <w:pPr>
              <w:jc w:val="center"/>
            </w:pPr>
            <w:r>
              <w:rPr>
                <w:rFonts w:ascii="Times New Roman" w:hAnsi="Times New Roman"/>
                <w:b/>
                <w:sz w:val="17"/>
              </w:rPr>
              <w:t>RF 80:20</w:t>
            </w:r>
          </w:p>
        </w:tc>
        <w:tc>
          <w:tcPr>
            <w:tcW w:type="dxa" w:w="1337"/>
          </w:tcPr>
          <w:p>
            <w:pPr>
              <w:jc w:val="center"/>
            </w:pPr>
            <w:r>
              <w:rPr>
                <w:rFonts w:ascii="Times New Roman" w:hAnsi="Times New Roman"/>
                <w:b/>
                <w:sz w:val="17"/>
              </w:rPr>
              <w:t>DT 60:40</w:t>
            </w:r>
          </w:p>
        </w:tc>
        <w:tc>
          <w:tcPr>
            <w:tcW w:type="dxa" w:w="1337"/>
          </w:tcPr>
          <w:p>
            <w:pPr>
              <w:jc w:val="center"/>
            </w:pPr>
            <w:r>
              <w:rPr>
                <w:rFonts w:ascii="Times New Roman" w:hAnsi="Times New Roman"/>
                <w:b/>
                <w:sz w:val="17"/>
              </w:rPr>
              <w:t>DT 70:30</w:t>
            </w:r>
          </w:p>
        </w:tc>
        <w:tc>
          <w:tcPr>
            <w:tcW w:type="dxa" w:w="1337"/>
          </w:tcPr>
          <w:p>
            <w:pPr>
              <w:jc w:val="center"/>
            </w:pPr>
            <w:r>
              <w:rPr>
                <w:rFonts w:ascii="Times New Roman" w:hAnsi="Times New Roman"/>
                <w:b/>
                <w:sz w:val="17"/>
              </w:rPr>
              <w:t>DT 80:20</w:t>
            </w:r>
          </w:p>
        </w:tc>
      </w:tr>
      <w:tr>
        <w:tc>
          <w:tcPr>
            <w:tcW w:type="dxa" w:w="1337"/>
          </w:tcPr>
          <w:p>
            <w:pPr>
              <w:jc w:val="left"/>
            </w:pPr>
            <w:r>
              <w:rPr>
                <w:rFonts w:ascii="Times New Roman" w:hAnsi="Times New Roman"/>
                <w:b/>
                <w:sz w:val="17"/>
              </w:rPr>
              <w:t>Accuracy</w:t>
            </w:r>
          </w:p>
        </w:tc>
        <w:tc>
          <w:tcPr>
            <w:tcW w:type="dxa" w:w="1337"/>
          </w:tcPr>
          <w:p>
            <w:pPr>
              <w:jc w:val="center"/>
            </w:pPr>
            <w:r>
              <w:rPr>
                <w:rFonts w:ascii="Times New Roman" w:hAnsi="Times New Roman"/>
                <w:sz w:val="17"/>
              </w:rPr>
              <w:t>0.874898</w:t>
            </w:r>
          </w:p>
        </w:tc>
        <w:tc>
          <w:tcPr>
            <w:tcW w:type="dxa" w:w="1337"/>
          </w:tcPr>
          <w:p>
            <w:pPr>
              <w:jc w:val="center"/>
            </w:pPr>
            <w:r>
              <w:rPr>
                <w:rFonts w:ascii="Times New Roman" w:hAnsi="Times New Roman"/>
                <w:sz w:val="17"/>
              </w:rPr>
              <w:t>0.875817</w:t>
            </w:r>
          </w:p>
        </w:tc>
        <w:tc>
          <w:tcPr>
            <w:tcW w:type="dxa" w:w="1337"/>
          </w:tcPr>
          <w:p>
            <w:pPr>
              <w:jc w:val="center"/>
            </w:pPr>
            <w:r>
              <w:rPr>
                <w:rFonts w:ascii="Times New Roman" w:hAnsi="Times New Roman"/>
                <w:sz w:val="17"/>
              </w:rPr>
              <w:t>0.878676</w:t>
            </w:r>
          </w:p>
        </w:tc>
        <w:tc>
          <w:tcPr>
            <w:tcW w:type="dxa" w:w="1337"/>
          </w:tcPr>
          <w:p>
            <w:pPr>
              <w:jc w:val="center"/>
            </w:pPr>
            <w:r>
              <w:rPr>
                <w:rFonts w:ascii="Times New Roman" w:hAnsi="Times New Roman"/>
                <w:sz w:val="17"/>
              </w:rPr>
              <w:t>0.934947</w:t>
            </w:r>
          </w:p>
        </w:tc>
        <w:tc>
          <w:tcPr>
            <w:tcW w:type="dxa" w:w="1337"/>
          </w:tcPr>
          <w:p>
            <w:pPr>
              <w:jc w:val="center"/>
            </w:pPr>
            <w:r>
              <w:rPr>
                <w:rFonts w:ascii="Times New Roman" w:hAnsi="Times New Roman"/>
                <w:sz w:val="17"/>
              </w:rPr>
              <w:t>0.935185</w:t>
            </w:r>
          </w:p>
        </w:tc>
        <w:tc>
          <w:tcPr>
            <w:tcW w:type="dxa" w:w="1337"/>
          </w:tcPr>
          <w:p>
            <w:pPr>
              <w:jc w:val="center"/>
            </w:pPr>
            <w:r>
              <w:rPr>
                <w:rFonts w:ascii="Times New Roman" w:hAnsi="Times New Roman"/>
                <w:sz w:val="17"/>
              </w:rPr>
              <w:t>0.936887</w:t>
            </w:r>
          </w:p>
        </w:tc>
      </w:tr>
      <w:tr>
        <w:tc>
          <w:tcPr>
            <w:tcW w:type="dxa" w:w="1337"/>
          </w:tcPr>
          <w:p>
            <w:pPr>
              <w:jc w:val="left"/>
            </w:pPr>
            <w:r>
              <w:rPr>
                <w:rFonts w:ascii="Times New Roman" w:hAnsi="Times New Roman"/>
                <w:b/>
                <w:sz w:val="17"/>
              </w:rPr>
              <w:t>Precision</w:t>
            </w:r>
          </w:p>
        </w:tc>
        <w:tc>
          <w:tcPr>
            <w:tcW w:type="dxa" w:w="1337"/>
          </w:tcPr>
          <w:p>
            <w:pPr>
              <w:jc w:val="center"/>
            </w:pPr>
            <w:r>
              <w:rPr>
                <w:rFonts w:ascii="Times New Roman" w:hAnsi="Times New Roman"/>
                <w:sz w:val="17"/>
              </w:rPr>
              <w:t>0.856389</w:t>
            </w:r>
          </w:p>
        </w:tc>
        <w:tc>
          <w:tcPr>
            <w:tcW w:type="dxa" w:w="1337"/>
          </w:tcPr>
          <w:p>
            <w:pPr>
              <w:jc w:val="center"/>
            </w:pPr>
            <w:r>
              <w:rPr>
                <w:rFonts w:ascii="Times New Roman" w:hAnsi="Times New Roman"/>
                <w:sz w:val="17"/>
              </w:rPr>
              <w:t>0.857299</w:t>
            </w:r>
          </w:p>
        </w:tc>
        <w:tc>
          <w:tcPr>
            <w:tcW w:type="dxa" w:w="1337"/>
          </w:tcPr>
          <w:p>
            <w:pPr>
              <w:jc w:val="center"/>
            </w:pPr>
            <w:r>
              <w:rPr>
                <w:rFonts w:ascii="Times New Roman" w:hAnsi="Times New Roman"/>
                <w:sz w:val="17"/>
              </w:rPr>
              <w:t>0.860137</w:t>
            </w:r>
          </w:p>
        </w:tc>
        <w:tc>
          <w:tcPr>
            <w:tcW w:type="dxa" w:w="1337"/>
          </w:tcPr>
          <w:p>
            <w:pPr>
              <w:jc w:val="center"/>
            </w:pPr>
            <w:r>
              <w:rPr>
                <w:rFonts w:ascii="Times New Roman" w:hAnsi="Times New Roman"/>
                <w:sz w:val="17"/>
              </w:rPr>
              <w:t>0.927326</w:t>
            </w:r>
          </w:p>
        </w:tc>
        <w:tc>
          <w:tcPr>
            <w:tcW w:type="dxa" w:w="1337"/>
          </w:tcPr>
          <w:p>
            <w:pPr>
              <w:jc w:val="center"/>
            </w:pPr>
            <w:r>
              <w:rPr>
                <w:rFonts w:ascii="Times New Roman" w:hAnsi="Times New Roman"/>
                <w:sz w:val="17"/>
              </w:rPr>
              <w:t>0.925498</w:t>
            </w:r>
          </w:p>
        </w:tc>
        <w:tc>
          <w:tcPr>
            <w:tcW w:type="dxa" w:w="1337"/>
          </w:tcPr>
          <w:p>
            <w:pPr>
              <w:jc w:val="center"/>
            </w:pPr>
            <w:r>
              <w:rPr>
                <w:rFonts w:ascii="Times New Roman" w:hAnsi="Times New Roman"/>
                <w:sz w:val="17"/>
              </w:rPr>
              <w:t>0.928059</w:t>
            </w:r>
          </w:p>
        </w:tc>
      </w:tr>
      <w:tr>
        <w:tc>
          <w:tcPr>
            <w:tcW w:type="dxa" w:w="1337"/>
          </w:tcPr>
          <w:p>
            <w:pPr>
              <w:jc w:val="left"/>
            </w:pPr>
            <w:r>
              <w:rPr>
                <w:rFonts w:ascii="Times New Roman" w:hAnsi="Times New Roman"/>
                <w:b/>
                <w:sz w:val="17"/>
              </w:rPr>
              <w:t>Recall</w:t>
            </w:r>
          </w:p>
        </w:tc>
        <w:tc>
          <w:tcPr>
            <w:tcW w:type="dxa" w:w="1337"/>
          </w:tcPr>
          <w:p>
            <w:pPr>
              <w:jc w:val="center"/>
            </w:pPr>
            <w:r>
              <w:rPr>
                <w:rFonts w:ascii="Times New Roman" w:hAnsi="Times New Roman"/>
                <w:sz w:val="17"/>
              </w:rPr>
              <w:t>1.000000</w:t>
            </w:r>
          </w:p>
        </w:tc>
        <w:tc>
          <w:tcPr>
            <w:tcW w:type="dxa" w:w="1337"/>
          </w:tcPr>
          <w:p>
            <w:pPr>
              <w:jc w:val="center"/>
            </w:pPr>
            <w:r>
              <w:rPr>
                <w:rFonts w:ascii="Times New Roman" w:hAnsi="Times New Roman"/>
                <w:sz w:val="17"/>
              </w:rPr>
              <w:t>1.000000</w:t>
            </w:r>
          </w:p>
        </w:tc>
        <w:tc>
          <w:tcPr>
            <w:tcW w:type="dxa" w:w="1337"/>
          </w:tcPr>
          <w:p>
            <w:pPr>
              <w:jc w:val="center"/>
            </w:pPr>
            <w:r>
              <w:rPr>
                <w:rFonts w:ascii="Times New Roman" w:hAnsi="Times New Roman"/>
                <w:sz w:val="17"/>
              </w:rPr>
              <w:t>1.000000</w:t>
            </w:r>
          </w:p>
        </w:tc>
        <w:tc>
          <w:tcPr>
            <w:tcW w:type="dxa" w:w="1337"/>
          </w:tcPr>
          <w:p>
            <w:pPr>
              <w:jc w:val="center"/>
            </w:pPr>
            <w:r>
              <w:rPr>
                <w:rFonts w:ascii="Times New Roman" w:hAnsi="Times New Roman"/>
                <w:sz w:val="17"/>
              </w:rPr>
              <w:t>0.990418</w:t>
            </w:r>
          </w:p>
        </w:tc>
        <w:tc>
          <w:tcPr>
            <w:tcW w:type="dxa" w:w="1337"/>
          </w:tcPr>
          <w:p>
            <w:pPr>
              <w:jc w:val="center"/>
            </w:pPr>
            <w:r>
              <w:rPr>
                <w:rFonts w:ascii="Times New Roman" w:hAnsi="Times New Roman"/>
                <w:sz w:val="17"/>
              </w:rPr>
              <w:t>0.993064</w:t>
            </w:r>
          </w:p>
        </w:tc>
        <w:tc>
          <w:tcPr>
            <w:tcW w:type="dxa" w:w="1337"/>
          </w:tcPr>
          <w:p>
            <w:pPr>
              <w:jc w:val="center"/>
            </w:pPr>
            <w:r>
              <w:rPr>
                <w:rFonts w:ascii="Times New Roman" w:hAnsi="Times New Roman"/>
                <w:sz w:val="17"/>
              </w:rPr>
              <w:t>0.992335</w:t>
            </w:r>
          </w:p>
        </w:tc>
      </w:tr>
      <w:tr>
        <w:tc>
          <w:tcPr>
            <w:tcW w:type="dxa" w:w="1337"/>
          </w:tcPr>
          <w:p>
            <w:pPr>
              <w:jc w:val="left"/>
            </w:pPr>
            <w:r>
              <w:rPr>
                <w:rFonts w:ascii="Times New Roman" w:hAnsi="Times New Roman"/>
                <w:b/>
                <w:sz w:val="17"/>
              </w:rPr>
              <w:t>F1-Score</w:t>
            </w:r>
          </w:p>
        </w:tc>
        <w:tc>
          <w:tcPr>
            <w:tcW w:type="dxa" w:w="1337"/>
          </w:tcPr>
          <w:p>
            <w:pPr>
              <w:jc w:val="center"/>
            </w:pPr>
            <w:r>
              <w:rPr>
                <w:rFonts w:ascii="Times New Roman" w:hAnsi="Times New Roman"/>
                <w:sz w:val="17"/>
              </w:rPr>
              <w:t>0.922640</w:t>
            </w:r>
          </w:p>
        </w:tc>
        <w:tc>
          <w:tcPr>
            <w:tcW w:type="dxa" w:w="1337"/>
          </w:tcPr>
          <w:p>
            <w:pPr>
              <w:jc w:val="center"/>
            </w:pPr>
            <w:r>
              <w:rPr>
                <w:rFonts w:ascii="Times New Roman" w:hAnsi="Times New Roman"/>
                <w:sz w:val="17"/>
              </w:rPr>
              <w:t>0.923168</w:t>
            </w:r>
          </w:p>
        </w:tc>
        <w:tc>
          <w:tcPr>
            <w:tcW w:type="dxa" w:w="1337"/>
          </w:tcPr>
          <w:p>
            <w:pPr>
              <w:jc w:val="center"/>
            </w:pPr>
            <w:r>
              <w:rPr>
                <w:rFonts w:ascii="Times New Roman" w:hAnsi="Times New Roman"/>
                <w:sz w:val="17"/>
              </w:rPr>
              <w:t>0.924810</w:t>
            </w:r>
          </w:p>
        </w:tc>
        <w:tc>
          <w:tcPr>
            <w:tcW w:type="dxa" w:w="1337"/>
          </w:tcPr>
          <w:p>
            <w:pPr>
              <w:jc w:val="center"/>
            </w:pPr>
            <w:r>
              <w:rPr>
                <w:rFonts w:ascii="Times New Roman" w:hAnsi="Times New Roman"/>
                <w:sz w:val="17"/>
              </w:rPr>
              <w:t>0.957834</w:t>
            </w:r>
          </w:p>
        </w:tc>
        <w:tc>
          <w:tcPr>
            <w:tcW w:type="dxa" w:w="1337"/>
          </w:tcPr>
          <w:p>
            <w:pPr>
              <w:jc w:val="center"/>
            </w:pPr>
            <w:r>
              <w:rPr>
                <w:rFonts w:ascii="Times New Roman" w:hAnsi="Times New Roman"/>
                <w:sz w:val="17"/>
              </w:rPr>
              <w:t>0.958091</w:t>
            </w:r>
          </w:p>
        </w:tc>
        <w:tc>
          <w:tcPr>
            <w:tcW w:type="dxa" w:w="1337"/>
          </w:tcPr>
          <w:p>
            <w:pPr>
              <w:jc w:val="center"/>
            </w:pPr>
            <w:r>
              <w:rPr>
                <w:rFonts w:ascii="Times New Roman" w:hAnsi="Times New Roman"/>
                <w:sz w:val="17"/>
              </w:rPr>
              <w:t>0.959122</w:t>
            </w:r>
          </w:p>
        </w:tc>
      </w:tr>
      <w:tr>
        <w:tc>
          <w:tcPr>
            <w:tcW w:type="dxa" w:w="1337"/>
          </w:tcPr>
          <w:p>
            <w:pPr>
              <w:jc w:val="left"/>
            </w:pPr>
            <w:r>
              <w:rPr>
                <w:rFonts w:ascii="Times New Roman" w:hAnsi="Times New Roman"/>
                <w:b/>
                <w:sz w:val="17"/>
              </w:rPr>
              <w:t>Specificity</w:t>
            </w:r>
          </w:p>
        </w:tc>
        <w:tc>
          <w:tcPr>
            <w:tcW w:type="dxa" w:w="1337"/>
          </w:tcPr>
          <w:p>
            <w:pPr>
              <w:jc w:val="center"/>
            </w:pPr>
            <w:r>
              <w:rPr>
                <w:rFonts w:ascii="Times New Roman" w:hAnsi="Times New Roman"/>
                <w:sz w:val="17"/>
              </w:rPr>
              <w:t>0.507439</w:t>
            </w:r>
          </w:p>
        </w:tc>
        <w:tc>
          <w:tcPr>
            <w:tcW w:type="dxa" w:w="1337"/>
          </w:tcPr>
          <w:p>
            <w:pPr>
              <w:jc w:val="center"/>
            </w:pPr>
            <w:r>
              <w:rPr>
                <w:rFonts w:ascii="Times New Roman" w:hAnsi="Times New Roman"/>
                <w:sz w:val="17"/>
              </w:rPr>
              <w:t>0.510992</w:t>
            </w:r>
          </w:p>
        </w:tc>
        <w:tc>
          <w:tcPr>
            <w:tcW w:type="dxa" w:w="1337"/>
          </w:tcPr>
          <w:p>
            <w:pPr>
              <w:jc w:val="center"/>
            </w:pPr>
            <w:r>
              <w:rPr>
                <w:rFonts w:ascii="Times New Roman" w:hAnsi="Times New Roman"/>
                <w:sz w:val="17"/>
              </w:rPr>
              <w:t>0.522124</w:t>
            </w:r>
          </w:p>
        </w:tc>
        <w:tc>
          <w:tcPr>
            <w:tcW w:type="dxa" w:w="1337"/>
          </w:tcPr>
          <w:p>
            <w:pPr>
              <w:jc w:val="center"/>
            </w:pPr>
            <w:r>
              <w:rPr>
                <w:rFonts w:ascii="Times New Roman" w:hAnsi="Times New Roman"/>
                <w:sz w:val="17"/>
              </w:rPr>
              <w:t>0.772014</w:t>
            </w:r>
          </w:p>
        </w:tc>
        <w:tc>
          <w:tcPr>
            <w:tcW w:type="dxa" w:w="1337"/>
          </w:tcPr>
          <w:p>
            <w:pPr>
              <w:jc w:val="center"/>
            </w:pPr>
            <w:r>
              <w:rPr>
                <w:rFonts w:ascii="Times New Roman" w:hAnsi="Times New Roman"/>
                <w:sz w:val="17"/>
              </w:rPr>
              <w:t>0.765147</w:t>
            </w:r>
          </w:p>
        </w:tc>
        <w:tc>
          <w:tcPr>
            <w:tcW w:type="dxa" w:w="1337"/>
          </w:tcPr>
          <w:p>
            <w:pPr>
              <w:jc w:val="center"/>
            </w:pPr>
            <w:r>
              <w:rPr>
                <w:rFonts w:ascii="Times New Roman" w:hAnsi="Times New Roman"/>
                <w:sz w:val="17"/>
              </w:rPr>
              <w:t>0.773934</w:t>
            </w:r>
          </w:p>
        </w:tc>
      </w:tr>
      <w:tr>
        <w:tc>
          <w:tcPr>
            <w:tcW w:type="dxa" w:w="1337"/>
          </w:tcPr>
          <w:p>
            <w:pPr>
              <w:jc w:val="left"/>
            </w:pPr>
            <w:r>
              <w:rPr>
                <w:rFonts w:ascii="Times New Roman" w:hAnsi="Times New Roman"/>
                <w:b/>
                <w:sz w:val="17"/>
              </w:rPr>
              <w:t>NPV</w:t>
            </w:r>
          </w:p>
        </w:tc>
        <w:tc>
          <w:tcPr>
            <w:tcW w:type="dxa" w:w="1337"/>
          </w:tcPr>
          <w:p>
            <w:pPr>
              <w:jc w:val="center"/>
            </w:pPr>
            <w:r>
              <w:rPr>
                <w:rFonts w:ascii="Times New Roman" w:hAnsi="Times New Roman"/>
                <w:sz w:val="17"/>
              </w:rPr>
              <w:t>1.000000</w:t>
            </w:r>
          </w:p>
        </w:tc>
        <w:tc>
          <w:tcPr>
            <w:tcW w:type="dxa" w:w="1337"/>
          </w:tcPr>
          <w:p>
            <w:pPr>
              <w:jc w:val="center"/>
            </w:pPr>
            <w:r>
              <w:rPr>
                <w:rFonts w:ascii="Times New Roman" w:hAnsi="Times New Roman"/>
                <w:sz w:val="17"/>
              </w:rPr>
              <w:t>1.000000</w:t>
            </w:r>
          </w:p>
        </w:tc>
        <w:tc>
          <w:tcPr>
            <w:tcW w:type="dxa" w:w="1337"/>
          </w:tcPr>
          <w:p>
            <w:pPr>
              <w:jc w:val="center"/>
            </w:pPr>
            <w:r>
              <w:rPr>
                <w:rFonts w:ascii="Times New Roman" w:hAnsi="Times New Roman"/>
                <w:sz w:val="17"/>
              </w:rPr>
              <w:t>1.000000</w:t>
            </w:r>
          </w:p>
        </w:tc>
        <w:tc>
          <w:tcPr>
            <w:tcW w:type="dxa" w:w="1337"/>
          </w:tcPr>
          <w:p>
            <w:pPr>
              <w:jc w:val="center"/>
            </w:pPr>
            <w:r>
              <w:rPr>
                <w:rFonts w:ascii="Times New Roman" w:hAnsi="Times New Roman"/>
                <w:sz w:val="17"/>
              </w:rPr>
              <w:t>0.964824</w:t>
            </w:r>
          </w:p>
        </w:tc>
        <w:tc>
          <w:tcPr>
            <w:tcW w:type="dxa" w:w="1337"/>
          </w:tcPr>
          <w:p>
            <w:pPr>
              <w:jc w:val="center"/>
            </w:pPr>
            <w:r>
              <w:rPr>
                <w:rFonts w:ascii="Times New Roman" w:hAnsi="Times New Roman"/>
                <w:sz w:val="17"/>
              </w:rPr>
              <w:t>0.974061</w:t>
            </w:r>
          </w:p>
        </w:tc>
        <w:tc>
          <w:tcPr>
            <w:tcW w:type="dxa" w:w="1337"/>
          </w:tcPr>
          <w:p>
            <w:pPr>
              <w:jc w:val="center"/>
            </w:pPr>
            <w:r>
              <w:rPr>
                <w:rFonts w:ascii="Times New Roman" w:hAnsi="Times New Roman"/>
                <w:sz w:val="17"/>
              </w:rPr>
              <w:t>0.971717</w:t>
            </w:r>
          </w:p>
        </w:tc>
      </w:tr>
      <w:tr>
        <w:tc>
          <w:tcPr>
            <w:tcW w:type="dxa" w:w="1337"/>
          </w:tcPr>
          <w:p>
            <w:pPr>
              <w:jc w:val="left"/>
            </w:pPr>
            <w:r>
              <w:rPr>
                <w:rFonts w:ascii="Times New Roman" w:hAnsi="Times New Roman"/>
                <w:b/>
                <w:sz w:val="17"/>
              </w:rPr>
              <w:t>MCC</w:t>
            </w:r>
          </w:p>
        </w:tc>
        <w:tc>
          <w:tcPr>
            <w:tcW w:type="dxa" w:w="1337"/>
          </w:tcPr>
          <w:p>
            <w:pPr>
              <w:jc w:val="center"/>
            </w:pPr>
            <w:r>
              <w:rPr>
                <w:rFonts w:ascii="Times New Roman" w:hAnsi="Times New Roman"/>
                <w:sz w:val="17"/>
              </w:rPr>
              <w:t>0.659215</w:t>
            </w:r>
          </w:p>
        </w:tc>
        <w:tc>
          <w:tcPr>
            <w:tcW w:type="dxa" w:w="1337"/>
          </w:tcPr>
          <w:p>
            <w:pPr>
              <w:jc w:val="center"/>
            </w:pPr>
            <w:r>
              <w:rPr>
                <w:rFonts w:ascii="Times New Roman" w:hAnsi="Times New Roman"/>
                <w:sz w:val="17"/>
              </w:rPr>
              <w:t>0.661871</w:t>
            </w:r>
          </w:p>
        </w:tc>
        <w:tc>
          <w:tcPr>
            <w:tcW w:type="dxa" w:w="1337"/>
          </w:tcPr>
          <w:p>
            <w:pPr>
              <w:jc w:val="center"/>
            </w:pPr>
            <w:r>
              <w:rPr>
                <w:rFonts w:ascii="Times New Roman" w:hAnsi="Times New Roman"/>
                <w:sz w:val="17"/>
              </w:rPr>
              <w:t>0.670148</w:t>
            </w:r>
          </w:p>
        </w:tc>
        <w:tc>
          <w:tcPr>
            <w:tcW w:type="dxa" w:w="1337"/>
          </w:tcPr>
          <w:p>
            <w:pPr>
              <w:jc w:val="center"/>
            </w:pPr>
            <w:r>
              <w:rPr>
                <w:rFonts w:ascii="Times New Roman" w:hAnsi="Times New Roman"/>
                <w:sz w:val="17"/>
              </w:rPr>
              <w:t>0.824745</w:t>
            </w:r>
          </w:p>
        </w:tc>
        <w:tc>
          <w:tcPr>
            <w:tcW w:type="dxa" w:w="1337"/>
          </w:tcPr>
          <w:p>
            <w:pPr>
              <w:jc w:val="center"/>
            </w:pPr>
            <w:r>
              <w:rPr>
                <w:rFonts w:ascii="Times New Roman" w:hAnsi="Times New Roman"/>
                <w:sz w:val="17"/>
              </w:rPr>
              <w:t>0.825867</w:t>
            </w:r>
          </w:p>
        </w:tc>
        <w:tc>
          <w:tcPr>
            <w:tcW w:type="dxa" w:w="1337"/>
          </w:tcPr>
          <w:p>
            <w:pPr>
              <w:jc w:val="center"/>
            </w:pPr>
            <w:r>
              <w:rPr>
                <w:rFonts w:ascii="Times New Roman" w:hAnsi="Times New Roman"/>
                <w:sz w:val="17"/>
              </w:rPr>
              <w:t>0.830344</w:t>
            </w:r>
          </w:p>
        </w:tc>
      </w:tr>
      <w:tr>
        <w:tc>
          <w:tcPr>
            <w:tcW w:type="dxa" w:w="1337"/>
          </w:tcPr>
          <w:p>
            <w:pPr>
              <w:jc w:val="left"/>
            </w:pPr>
            <w:r>
              <w:rPr>
                <w:rFonts w:ascii="Times New Roman" w:hAnsi="Times New Roman"/>
                <w:b/>
                <w:sz w:val="17"/>
              </w:rPr>
              <w:t>FPR</w:t>
            </w:r>
          </w:p>
        </w:tc>
        <w:tc>
          <w:tcPr>
            <w:tcW w:type="dxa" w:w="1337"/>
          </w:tcPr>
          <w:p>
            <w:pPr>
              <w:jc w:val="center"/>
            </w:pPr>
            <w:r>
              <w:rPr>
                <w:rFonts w:ascii="Times New Roman" w:hAnsi="Times New Roman"/>
                <w:sz w:val="17"/>
              </w:rPr>
              <w:t>0.492561</w:t>
            </w:r>
          </w:p>
        </w:tc>
        <w:tc>
          <w:tcPr>
            <w:tcW w:type="dxa" w:w="1337"/>
          </w:tcPr>
          <w:p>
            <w:pPr>
              <w:jc w:val="center"/>
            </w:pPr>
            <w:r>
              <w:rPr>
                <w:rFonts w:ascii="Times New Roman" w:hAnsi="Times New Roman"/>
                <w:sz w:val="17"/>
              </w:rPr>
              <w:t>0.489008</w:t>
            </w:r>
          </w:p>
        </w:tc>
        <w:tc>
          <w:tcPr>
            <w:tcW w:type="dxa" w:w="1337"/>
          </w:tcPr>
          <w:p>
            <w:pPr>
              <w:jc w:val="center"/>
            </w:pPr>
            <w:r>
              <w:rPr>
                <w:rFonts w:ascii="Times New Roman" w:hAnsi="Times New Roman"/>
                <w:sz w:val="17"/>
              </w:rPr>
              <w:t>0.477876</w:t>
            </w:r>
          </w:p>
        </w:tc>
        <w:tc>
          <w:tcPr>
            <w:tcW w:type="dxa" w:w="1337"/>
          </w:tcPr>
          <w:p>
            <w:pPr>
              <w:jc w:val="center"/>
            </w:pPr>
            <w:r>
              <w:rPr>
                <w:rFonts w:ascii="Times New Roman" w:hAnsi="Times New Roman"/>
                <w:sz w:val="17"/>
              </w:rPr>
              <w:t>0.227986</w:t>
            </w:r>
          </w:p>
        </w:tc>
        <w:tc>
          <w:tcPr>
            <w:tcW w:type="dxa" w:w="1337"/>
          </w:tcPr>
          <w:p>
            <w:pPr>
              <w:jc w:val="center"/>
            </w:pPr>
            <w:r>
              <w:rPr>
                <w:rFonts w:ascii="Times New Roman" w:hAnsi="Times New Roman"/>
                <w:sz w:val="17"/>
              </w:rPr>
              <w:t>0.234853</w:t>
            </w:r>
          </w:p>
        </w:tc>
        <w:tc>
          <w:tcPr>
            <w:tcW w:type="dxa" w:w="1337"/>
          </w:tcPr>
          <w:p>
            <w:pPr>
              <w:jc w:val="center"/>
            </w:pPr>
            <w:r>
              <w:rPr>
                <w:rFonts w:ascii="Times New Roman" w:hAnsi="Times New Roman"/>
                <w:sz w:val="17"/>
              </w:rPr>
              <w:t>0.226066</w:t>
            </w:r>
          </w:p>
        </w:tc>
      </w:tr>
      <w:tr>
        <w:tc>
          <w:tcPr>
            <w:tcW w:type="dxa" w:w="1337"/>
          </w:tcPr>
          <w:p>
            <w:pPr>
              <w:jc w:val="left"/>
            </w:pPr>
            <w:r>
              <w:rPr>
                <w:rFonts w:ascii="Times New Roman" w:hAnsi="Times New Roman"/>
                <w:b/>
                <w:sz w:val="17"/>
              </w:rPr>
              <w:t>FNR</w:t>
            </w:r>
          </w:p>
        </w:tc>
        <w:tc>
          <w:tcPr>
            <w:tcW w:type="dxa" w:w="1337"/>
          </w:tcPr>
          <w:p>
            <w:pPr>
              <w:jc w:val="center"/>
            </w:pPr>
            <w:r>
              <w:rPr>
                <w:rFonts w:ascii="Times New Roman" w:hAnsi="Times New Roman"/>
                <w:sz w:val="17"/>
              </w:rPr>
              <w:t>0.000000</w:t>
            </w:r>
          </w:p>
        </w:tc>
        <w:tc>
          <w:tcPr>
            <w:tcW w:type="dxa" w:w="1337"/>
          </w:tcPr>
          <w:p>
            <w:pPr>
              <w:jc w:val="center"/>
            </w:pPr>
            <w:r>
              <w:rPr>
                <w:rFonts w:ascii="Times New Roman" w:hAnsi="Times New Roman"/>
                <w:sz w:val="17"/>
              </w:rPr>
              <w:t>0.000000</w:t>
            </w:r>
          </w:p>
        </w:tc>
        <w:tc>
          <w:tcPr>
            <w:tcW w:type="dxa" w:w="1337"/>
          </w:tcPr>
          <w:p>
            <w:pPr>
              <w:jc w:val="center"/>
            </w:pPr>
            <w:r>
              <w:rPr>
                <w:rFonts w:ascii="Times New Roman" w:hAnsi="Times New Roman"/>
                <w:sz w:val="17"/>
              </w:rPr>
              <w:t>0.000000</w:t>
            </w:r>
          </w:p>
        </w:tc>
        <w:tc>
          <w:tcPr>
            <w:tcW w:type="dxa" w:w="1337"/>
          </w:tcPr>
          <w:p>
            <w:pPr>
              <w:jc w:val="center"/>
            </w:pPr>
            <w:r>
              <w:rPr>
                <w:rFonts w:ascii="Times New Roman" w:hAnsi="Times New Roman"/>
                <w:sz w:val="17"/>
              </w:rPr>
              <w:t>0.009582</w:t>
            </w:r>
          </w:p>
        </w:tc>
        <w:tc>
          <w:tcPr>
            <w:tcW w:type="dxa" w:w="1337"/>
          </w:tcPr>
          <w:p>
            <w:pPr>
              <w:jc w:val="center"/>
            </w:pPr>
            <w:r>
              <w:rPr>
                <w:rFonts w:ascii="Times New Roman" w:hAnsi="Times New Roman"/>
                <w:sz w:val="17"/>
              </w:rPr>
              <w:t>0.006936</w:t>
            </w:r>
          </w:p>
        </w:tc>
        <w:tc>
          <w:tcPr>
            <w:tcW w:type="dxa" w:w="1337"/>
          </w:tcPr>
          <w:p>
            <w:pPr>
              <w:jc w:val="center"/>
            </w:pPr>
            <w:r>
              <w:rPr>
                <w:rFonts w:ascii="Times New Roman" w:hAnsi="Times New Roman"/>
                <w:sz w:val="17"/>
              </w:rPr>
              <w:t>0.007665</w:t>
            </w:r>
          </w:p>
        </w:tc>
      </w:tr>
      <w:tr>
        <w:tc>
          <w:tcPr>
            <w:tcW w:type="dxa" w:w="1337"/>
          </w:tcPr>
          <w:p>
            <w:pPr>
              <w:jc w:val="left"/>
            </w:pPr>
            <w:r>
              <w:rPr>
                <w:rFonts w:ascii="Times New Roman" w:hAnsi="Times New Roman"/>
                <w:b/>
                <w:sz w:val="17"/>
              </w:rPr>
              <w:t>FDR</w:t>
            </w:r>
          </w:p>
        </w:tc>
        <w:tc>
          <w:tcPr>
            <w:tcW w:type="dxa" w:w="1337"/>
          </w:tcPr>
          <w:p>
            <w:pPr>
              <w:jc w:val="center"/>
            </w:pPr>
            <w:r>
              <w:rPr>
                <w:rFonts w:ascii="Times New Roman" w:hAnsi="Times New Roman"/>
                <w:sz w:val="17"/>
              </w:rPr>
              <w:t>0.143611</w:t>
            </w:r>
          </w:p>
        </w:tc>
        <w:tc>
          <w:tcPr>
            <w:tcW w:type="dxa" w:w="1337"/>
          </w:tcPr>
          <w:p>
            <w:pPr>
              <w:jc w:val="center"/>
            </w:pPr>
            <w:r>
              <w:rPr>
                <w:rFonts w:ascii="Times New Roman" w:hAnsi="Times New Roman"/>
                <w:sz w:val="17"/>
              </w:rPr>
              <w:t>0.142701</w:t>
            </w:r>
          </w:p>
        </w:tc>
        <w:tc>
          <w:tcPr>
            <w:tcW w:type="dxa" w:w="1337"/>
          </w:tcPr>
          <w:p>
            <w:pPr>
              <w:jc w:val="center"/>
            </w:pPr>
            <w:r>
              <w:rPr>
                <w:rFonts w:ascii="Times New Roman" w:hAnsi="Times New Roman"/>
                <w:sz w:val="17"/>
              </w:rPr>
              <w:t>0.139863</w:t>
            </w:r>
          </w:p>
        </w:tc>
        <w:tc>
          <w:tcPr>
            <w:tcW w:type="dxa" w:w="1337"/>
          </w:tcPr>
          <w:p>
            <w:pPr>
              <w:jc w:val="center"/>
            </w:pPr>
            <w:r>
              <w:rPr>
                <w:rFonts w:ascii="Times New Roman" w:hAnsi="Times New Roman"/>
                <w:sz w:val="17"/>
              </w:rPr>
              <w:t>0.072674</w:t>
            </w:r>
          </w:p>
        </w:tc>
        <w:tc>
          <w:tcPr>
            <w:tcW w:type="dxa" w:w="1337"/>
          </w:tcPr>
          <w:p>
            <w:pPr>
              <w:jc w:val="center"/>
            </w:pPr>
            <w:r>
              <w:rPr>
                <w:rFonts w:ascii="Times New Roman" w:hAnsi="Times New Roman"/>
                <w:sz w:val="17"/>
              </w:rPr>
              <w:t>0.074502</w:t>
            </w:r>
          </w:p>
        </w:tc>
        <w:tc>
          <w:tcPr>
            <w:tcW w:type="dxa" w:w="1337"/>
          </w:tcPr>
          <w:p>
            <w:pPr>
              <w:jc w:val="center"/>
            </w:pPr>
            <w:r>
              <w:rPr>
                <w:rFonts w:ascii="Times New Roman" w:hAnsi="Times New Roman"/>
                <w:sz w:val="17"/>
              </w:rPr>
              <w:t>0.071941</w:t>
            </w:r>
          </w:p>
        </w:tc>
      </w:tr>
      <w:tr>
        <w:tc>
          <w:tcPr>
            <w:tcW w:type="dxa" w:w="1337"/>
          </w:tcPr>
          <w:p>
            <w:pPr>
              <w:jc w:val="left"/>
            </w:pPr>
            <w:r>
              <w:rPr>
                <w:rFonts w:ascii="Times New Roman" w:hAnsi="Times New Roman"/>
                <w:b/>
                <w:sz w:val="17"/>
              </w:rPr>
              <w:t>FOR</w:t>
            </w:r>
          </w:p>
        </w:tc>
        <w:tc>
          <w:tcPr>
            <w:tcW w:type="dxa" w:w="1337"/>
          </w:tcPr>
          <w:p>
            <w:pPr>
              <w:jc w:val="center"/>
            </w:pPr>
            <w:r>
              <w:rPr>
                <w:rFonts w:ascii="Times New Roman" w:hAnsi="Times New Roman"/>
                <w:sz w:val="17"/>
              </w:rPr>
              <w:t>0.000000</w:t>
            </w:r>
          </w:p>
        </w:tc>
        <w:tc>
          <w:tcPr>
            <w:tcW w:type="dxa" w:w="1337"/>
          </w:tcPr>
          <w:p>
            <w:pPr>
              <w:jc w:val="center"/>
            </w:pPr>
            <w:r>
              <w:rPr>
                <w:rFonts w:ascii="Times New Roman" w:hAnsi="Times New Roman"/>
                <w:sz w:val="17"/>
              </w:rPr>
              <w:t>0.000000</w:t>
            </w:r>
          </w:p>
        </w:tc>
        <w:tc>
          <w:tcPr>
            <w:tcW w:type="dxa" w:w="1337"/>
          </w:tcPr>
          <w:p>
            <w:pPr>
              <w:jc w:val="center"/>
            </w:pPr>
            <w:r>
              <w:rPr>
                <w:rFonts w:ascii="Times New Roman" w:hAnsi="Times New Roman"/>
                <w:sz w:val="17"/>
              </w:rPr>
              <w:t>0.000000</w:t>
            </w:r>
          </w:p>
        </w:tc>
        <w:tc>
          <w:tcPr>
            <w:tcW w:type="dxa" w:w="1337"/>
          </w:tcPr>
          <w:p>
            <w:pPr>
              <w:jc w:val="center"/>
            </w:pPr>
            <w:r>
              <w:rPr>
                <w:rFonts w:ascii="Times New Roman" w:hAnsi="Times New Roman"/>
                <w:sz w:val="17"/>
              </w:rPr>
              <w:t>0.000000</w:t>
            </w:r>
          </w:p>
        </w:tc>
        <w:tc>
          <w:tcPr>
            <w:tcW w:type="dxa" w:w="1337"/>
          </w:tcPr>
          <w:p>
            <w:pPr>
              <w:jc w:val="center"/>
            </w:pPr>
            <w:r>
              <w:rPr>
                <w:rFonts w:ascii="Times New Roman" w:hAnsi="Times New Roman"/>
                <w:sz w:val="17"/>
              </w:rPr>
              <w:t>0.000000</w:t>
            </w:r>
          </w:p>
        </w:tc>
        <w:tc>
          <w:tcPr>
            <w:tcW w:type="dxa" w:w="1337"/>
          </w:tcPr>
          <w:p>
            <w:pPr>
              <w:jc w:val="center"/>
            </w:pPr>
            <w:r>
              <w:rPr>
                <w:rFonts w:ascii="Times New Roman" w:hAnsi="Times New Roman"/>
                <w:sz w:val="17"/>
              </w:rPr>
              <w:t>0.000000</w:t>
            </w:r>
          </w:p>
        </w:tc>
      </w:tr>
      <w:tr>
        <w:tc>
          <w:tcPr>
            <w:tcW w:type="dxa" w:w="1337"/>
          </w:tcPr>
          <w:p>
            <w:pPr>
              <w:jc w:val="left"/>
            </w:pPr>
            <w:r>
              <w:rPr>
                <w:rFonts w:ascii="Times New Roman" w:hAnsi="Times New Roman"/>
                <w:b/>
                <w:sz w:val="17"/>
              </w:rPr>
              <w:t>Prediction Time (s)</w:t>
            </w:r>
          </w:p>
        </w:tc>
        <w:tc>
          <w:tcPr>
            <w:tcW w:type="dxa" w:w="1337"/>
          </w:tcPr>
          <w:p>
            <w:pPr>
              <w:jc w:val="center"/>
            </w:pPr>
            <w:r>
              <w:rPr>
                <w:rFonts w:ascii="Times New Roman" w:hAnsi="Times New Roman"/>
                <w:sz w:val="17"/>
              </w:rPr>
              <w:t>0.167798</w:t>
            </w:r>
          </w:p>
        </w:tc>
        <w:tc>
          <w:tcPr>
            <w:tcW w:type="dxa" w:w="1337"/>
          </w:tcPr>
          <w:p>
            <w:pPr>
              <w:jc w:val="center"/>
            </w:pPr>
            <w:r>
              <w:rPr>
                <w:rFonts w:ascii="Times New Roman" w:hAnsi="Times New Roman"/>
                <w:sz w:val="17"/>
              </w:rPr>
              <w:t>0.146718</w:t>
            </w:r>
          </w:p>
        </w:tc>
        <w:tc>
          <w:tcPr>
            <w:tcW w:type="dxa" w:w="1337"/>
          </w:tcPr>
          <w:p>
            <w:pPr>
              <w:jc w:val="center"/>
            </w:pPr>
            <w:r>
              <w:rPr>
                <w:rFonts w:ascii="Times New Roman" w:hAnsi="Times New Roman"/>
                <w:sz w:val="17"/>
              </w:rPr>
              <w:t>0.120588</w:t>
            </w:r>
          </w:p>
        </w:tc>
        <w:tc>
          <w:tcPr>
            <w:tcW w:type="dxa" w:w="1337"/>
          </w:tcPr>
          <w:p>
            <w:pPr>
              <w:jc w:val="center"/>
            </w:pPr>
            <w:r>
              <w:rPr>
                <w:rFonts w:ascii="Times New Roman" w:hAnsi="Times New Roman"/>
                <w:sz w:val="17"/>
              </w:rPr>
              <w:t>0.025032</w:t>
            </w:r>
          </w:p>
        </w:tc>
        <w:tc>
          <w:tcPr>
            <w:tcW w:type="dxa" w:w="1337"/>
          </w:tcPr>
          <w:p>
            <w:pPr>
              <w:jc w:val="center"/>
            </w:pPr>
            <w:r>
              <w:rPr>
                <w:rFonts w:ascii="Times New Roman" w:hAnsi="Times New Roman"/>
                <w:sz w:val="17"/>
              </w:rPr>
              <w:t>0.018994</w:t>
            </w:r>
          </w:p>
        </w:tc>
        <w:tc>
          <w:tcPr>
            <w:tcW w:type="dxa" w:w="1337"/>
          </w:tcPr>
          <w:p>
            <w:pPr>
              <w:jc w:val="center"/>
            </w:pPr>
            <w:r>
              <w:rPr>
                <w:rFonts w:ascii="Times New Roman" w:hAnsi="Times New Roman"/>
                <w:sz w:val="17"/>
              </w:rPr>
              <w:t>0.016724</w:t>
            </w:r>
          </w:p>
        </w:tc>
      </w:tr>
    </w:tbl>
    <w:p>
      <w:pPr>
        <w:spacing w:before="120" w:after="80"/>
        <w:jc w:val="both"/>
      </w:pPr>
      <w:r>
        <w:t>As demonstrated in Table IX, Decision Tree classifiers consistently outperform Random Forest across all evaluation partitions. The DT 80:20 model achieves top performance with 93.69% classification accuracy, 95.91% F1-score, 77.39% specificity, and an MCC of 0.8303, completing 4,896 test inferences in only 16.72 ms (3.41 µs/specimen). By contrast, RF 80:20 achieves 87.87% accuracy and 92.48% F1-score with 120.59 ms prediction latency.</w:t>
      </w:r>
    </w:p>
    <w:p>
      <w:pPr>
        <w:spacing w:after="120"/>
        <w:jc w:val="both"/>
      </w:pPr>
      <w:r>
        <w:t>The superior accuracy of single Decision Trees over Random Forests in this domain stems from the discrete, axis-aligned partition structure of the feature space. Critical optical degradations—specifically severe 90° rotation (quality_profile = rotated_90) or unextracted null values (is_missing = 1)—exhibit deterministic step-function relationships with field extraction failures. A single deep Decision Tree directly isolates these sharp decision boundaries without hyper-plane smoothing. Conversely, Random Forest bagging averages probability estimates across 100 decorrelated trees, smoothing out crisp binary splits and slightly inflating false positive rates on non-degraded specimens (FPR = 0.4779 for RF 80:20 vs FPR = 0.2261 for DT 80:20). Figures 10 and 11 display the composite confusion matrices for Decision Tree and Random Forest classifiers across all three train-test splits.</w:t>
      </w:r>
    </w:p>
    <w:p>
      <w:pPr>
        <w:spacing w:before="160" w:after="40"/>
        <w:jc w:val="center"/>
      </w:pPr>
      <w:r>
        <w:drawing>
          <ns4:inline>
            <ns4:extent cx="5669280" cy="1514005"/>
            <ns4:docPr id="8" name="Picture 8"/>
            <ns4:cNvGraphicFramePr>
              <ns5:graphicFrameLocks noChangeAspect="1"/>
            </ns4:cNvGraphicFramePr>
            <ns5:graphic>
              <ns5:graphicData uri="http://schemas.openxmlformats.org/drawingml/2006/picture">
                <ns6:pic>
                  <ns6:nvPicPr>
                    <ns6:cNvPr id="0" name="dt_composite.png"/>
                    <ns6:cNvPicPr/>
                  </ns6:nvPicPr>
                  <ns6:blipFill>
                    <ns5:blip r:embed="rId17"/>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10. Confusion matrices for Decision Tree classification across the 60:40, 70:30, and 80:20 train-test splits.</w:t>
      </w:r>
    </w:p>
    <w:p>
      <w:pPr>
        <w:spacing w:before="80" w:after="40"/>
        <w:jc w:val="center"/>
      </w:pPr>
      <w:r>
        <w:drawing>
          <ns4:inline>
            <ns4:extent cx="5669280" cy="1514005"/>
            <ns4:docPr id="9" name="Picture 9"/>
            <ns4:cNvGraphicFramePr>
              <ns5:graphicFrameLocks noChangeAspect="1"/>
            </ns4:cNvGraphicFramePr>
            <ns5:graphic>
              <ns5:graphicData uri="http://schemas.openxmlformats.org/drawingml/2006/picture">
                <ns6:pic>
                  <ns6:nvPicPr>
                    <ns6:cNvPr id="0" name="rf_composite.png"/>
                    <ns6:cNvPicPr/>
                  </ns6:nvPicPr>
                  <ns6:blipFill>
                    <ns5:blip r:embed="rId18"/>
                    <ns5:stretch>
                      <ns5:fillRect/>
                    </ns5:stretch>
                  </ns6:blipFill>
                  <ns6:spPr>
                    <ns5:xfrm>
                      <ns5:off x="0" y="0"/>
                      <ns5:ext cx="5669280" cy="1514005"/>
                    </ns5:xfrm>
                    <ns5:prstGeom prst="rect"/>
                  </ns6:spPr>
                </ns6:pic>
              </ns5:graphicData>
            </ns5:graphic>
          </ns4:inline>
        </w:drawing>
      </w:r>
    </w:p>
    <w:p>
      <w:pPr>
        <w:spacing w:after="240"/>
        <w:jc w:val="center"/>
      </w:pPr>
      <w:r>
        <w:rPr>
          <w:rFonts w:ascii="Times New Roman" w:hAnsi="Times New Roman"/>
          <w:i/>
          <w:sz w:val="18"/>
        </w:rPr>
        <w:t>Fig. 11. Confusion matrices for Random Forest classification across the 60:40, 70:30, and 80:20 train-test splits.</w:t>
      </w:r>
    </w:p>
    <w:p w14:paraId="5D595FBB">
      <w:pPr>
        <w:keepNext/>
        <w:spacing w:before="280" w:after="120"/>
        <w:jc w:val="both"/>
        <w:outlineLvl w:val="0"/>
      </w:pPr>
      <w:r>
        <w:rPr>
          <w:rFonts w:ascii="Times New Roman" w:hAnsi="Times New Roman"/>
          <w:b/>
          <w:color w:val="003366"/>
          <w:sz w:val="26"/>
        </w:rPr>
        <w:t>6. Discussion &amp; Threats to Validity</w:t>
      </w:r>
    </w:p>
    <w:p w14:paraId="2E8AFACA">
      <w:pPr>
        <w:keepNext/>
        <w:spacing w:before="200" w:after="80"/>
        <w:jc w:val="both"/>
        <w:outlineLvl w:val="1"/>
      </w:pPr>
      <w:r>
        <w:rPr>
          <w:rFonts w:ascii="Times New Roman" w:hAnsi="Times New Roman"/>
          <w:b/>
          <w:color w:val="333333"/>
          <w:sz w:val="23"/>
        </w:rPr>
        <w:t>6.1 Scientific Contributions and Methodological Novelty</w:t>
      </w:r>
    </w:p>
    <w:p w14:paraId="29F5E65F">
      <w:pPr>
        <w:spacing w:before="40" w:after="80" w:line="276" w:lineRule="auto"/>
        <w:jc w:val="both"/>
      </w:pPr>
      <w:r>
        <w:rPr>
          <w:rFonts w:ascii="Times New Roman" w:hAnsi="Times New Roman"/>
          <w:sz w:val="20"/>
        </w:rPr>
        <w:t>To contextualize the scientific novelty of this work, we analyze each of the primary methodological contributions relative to existing document intelligence literature:</w:t>
      </w:r>
    </w:p>
    <w:p w14:paraId="5C5C9D66">
      <w:pPr>
        <w:spacing w:before="20" w:after="40"/>
        <w:ind w:left="360"/>
        <w:jc w:val="both"/>
        <w:outlineLvl w:val="0"/>
      </w:pPr>
      <w:r>
        <w:rPr>
          <w:rFonts w:ascii="Times New Roman" w:hAnsi="Times New Roman"/>
          <w:b/>
          <w:sz w:val="20"/>
        </w:rPr>
        <w:t>1. Synthetic Academic Credential Benchmark Methodology</w:t>
      </w:r>
      <w:r>
        <w:rPr>
          <w:rFonts w:ascii="Times New Roman" w:hAnsi="Times New Roman"/>
          <w:sz w:val="20"/>
        </w:rPr>
        <w: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w:t>
      </w:r>
    </w:p>
    <w:p w14:paraId="70777B99">
      <w:pPr>
        <w:spacing w:before="20" w:after="40"/>
        <w:ind w:left="360"/>
        <w:jc w:val="both"/>
        <w:outlineLvl w:val="0"/>
      </w:pPr>
      <w:r>
        <w:rPr>
          <w:rFonts w:ascii="Times New Roman" w:hAnsi="Times New Roman"/>
          <w:b/>
          <w:sz w:val="20"/>
        </w:rPr>
        <w:t>2. 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w:t>
      </w:r>
    </w:p>
    <w:p w14:paraId="6A3573E7">
      <w:pPr>
        <w:spacing w:before="20" w:after="40"/>
        <w:ind w:left="360"/>
        <w:jc w:val="both"/>
        <w:outlineLvl w:val="0"/>
      </w:pPr>
      <w:r>
        <w:rPr>
          <w:rFonts w:ascii="Times New Roman" w:hAnsi="Times New Roman"/>
          <w:b/>
          <w:sz w:val="20"/>
        </w:rPr>
        <w:t>3. 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 [28], [37].</w:t>
      </w:r>
    </w:p>
    <w:p w14:paraId="766CEE41">
      <w:pPr>
        <w:spacing w:before="20" w:after="40"/>
        <w:ind w:left="360"/>
        <w:jc w:val="both"/>
        <w:outlineLvl w:val="0"/>
      </w:pPr>
      <w:r>
        <w:rPr>
          <w:rFonts w:ascii="Times New Roman" w:hAnsi="Times New Roman"/>
          <w:b/>
          <w:sz w:val="20"/>
        </w:rPr>
        <w:t>4. Controlled Quality-Profile Degradation Matrix</w:t>
      </w:r>
      <w:r>
        <w:rPr>
          <w:rFonts w:ascii="Times New Roman" w:hAnsi="Times New Roman"/>
          <w:sz w:val="20"/>
        </w:rPr>
        <w:t>: Evaluates model performance decay across four standardized physical optical capture profiles (clean, scanner_copy, mobile_camera, rotated_90) [27], [30], [33].</w:t>
      </w:r>
    </w:p>
    <w:p w14:paraId="09C6C8EF">
      <w:pPr>
        <w:spacing w:before="20" w:after="40"/>
        <w:ind w:left="360"/>
        <w:jc w:val="both"/>
        <w:outlineLvl w:val="0"/>
      </w:pPr>
      <w:r>
        <w:rPr>
          <w:rFonts w:ascii="Times New Roman" w:hAnsi="Times New Roman"/>
          <w:b/>
          <w:sz w:val="20"/>
        </w:rPr>
        <w:t>5. 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 [31].</w:t>
      </w:r>
    </w:p>
    <w:p w14:paraId="613A7E9C">
      <w:pPr>
        <w:keepNext/>
        <w:spacing w:before="200" w:after="80"/>
        <w:jc w:val="both"/>
        <w:outlineLvl w:val="1"/>
      </w:pPr>
      <w:r>
        <w:rPr>
          <w:rFonts w:ascii="Times New Roman" w:hAnsi="Times New Roman"/>
          <w:b/>
          <w:color w:val="333333"/>
          <w:sz w:val="23"/>
        </w:rPr>
        <w:t>6.2 Discussion of Empirical Findings</w:t>
      </w:r>
    </w:p>
    <w:p w14:paraId="24BFAAB6">
      <w:pPr>
        <w:spacing w:before="20" w:after="40"/>
        <w:ind w:left="360"/>
        <w:jc w:val="both"/>
        <w:outlineLvl w:val="0"/>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 [25], [36].</w:t>
      </w:r>
    </w:p>
    <w:p w14:paraId="71BB8465">
      <w:pPr>
        <w:spacing w:before="20" w:after="40"/>
        <w:ind w:left="360"/>
        <w:jc w:val="both"/>
        <w:outlineLvl w:val="0"/>
      </w:pPr>
      <w:r>
        <w:t>2. Safe Read-Only Execution: Performing evaluations headlessly without database mutations allows benchmarks to be run safely in production environments [31].</w:t>
        <w:br/>
        <w:t>3. Field Extraction Limitations: The zero-shot LLM baseline achieved only 75.23% mean F1 for field extraction despite 100.00% category classification accuracy. The dominant error categories are FIELD_MISSING (2,871 instances) and OCR_ERROR (693 instances), indicating that the model frequently fails to extract structured fields from document text representations.</w:t>
      </w:r>
    </w:p>
    <w:p w14:paraId="0316908B">
      <w:pPr>
        <w:keepNext/>
        <w:spacing w:before="200" w:after="80"/>
        <w:jc w:val="both"/>
        <w:outlineLvl w:val="1"/>
      </w:pPr>
      <w:r>
        <w:rPr>
          <w:rFonts w:ascii="Times New Roman" w:hAnsi="Times New Roman"/>
          <w:b/>
          <w:color w:val="333333"/>
          <w:sz w:val="23"/>
        </w:rPr>
        <w:t>6.3 Threats to Validity</w:t>
      </w:r>
    </w:p>
    <w:p w14:paraId="1108C749">
      <w:pPr>
        <w:pStyle w:val="23"/>
        <w:spacing w:before="20" w:after="40"/>
        <w:jc w:val="both"/>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 [31].</w:t>
      </w:r>
    </w:p>
    <w:p w14:paraId="224C8FE8">
      <w:pPr>
        <w:pStyle w:val="23"/>
        <w:spacing w:before="20" w:after="40"/>
        <w:jc w:val="both"/>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 [26].</w:t>
      </w:r>
    </w:p>
    <w:p w14:paraId="75DE7EA9">
      <w:pPr>
        <w:pStyle w:val="23"/>
        <w:spacing w:before="20" w:after="40"/>
        <w:jc w:val="both"/>
      </w:pPr>
      <w:r>
        <w:rPr>
          <w:rFonts w:ascii="Times New Roman" w:hAnsi="Times New Roman"/>
          <w:b/>
          <w:sz w:val="20"/>
        </w:rPr>
        <w:t>Construct Validity</w:t>
      </w:r>
      <w:r>
        <w:rPr>
          <w:rFonts w:ascii="Times New Roman" w:hAnsi="Times New Roman"/>
          <w:sz w:val="20"/>
        </w:rPr>
        <w:t>: Metric definitions follow standard ICDAR and IEEE document analysis definitions [1]–[5].</w:t>
      </w:r>
    </w:p>
    <w:p w14:paraId="6F3213A7">
      <w:pPr>
        <w:keepNext/>
        <w:spacing w:before="280" w:after="120"/>
        <w:jc w:val="both"/>
        <w:outlineLvl w:val="0"/>
      </w:pPr>
      <w:r>
        <w:rPr>
          <w:rFonts w:ascii="Times New Roman" w:hAnsi="Times New Roman"/>
          <w:b/>
          <w:color w:val="003366"/>
          <w:sz w:val="26"/>
        </w:rPr>
        <w:t>7. Limitations Analysis</w:t>
      </w:r>
    </w:p>
    <w:p w14:paraId="04FFDB48">
      <w:pPr>
        <w:keepNext/>
        <w:spacing w:before="200" w:after="80"/>
        <w:jc w:val="both"/>
        <w:outlineLvl w:val="1"/>
      </w:pPr>
      <w:r>
        <w:rPr>
          <w:rFonts w:ascii="Times New Roman" w:hAnsi="Times New Roman"/>
          <w:b/>
          <w:color w:val="333333"/>
          <w:sz w:val="23"/>
        </w:rPr>
        <w:t>7.1 Methodological Limitations</w:t>
      </w:r>
    </w:p>
    <w:p w14:paraId="0CEF4849">
      <w:pPr>
        <w:spacing w:before="20" w:after="40"/>
        <w:ind w:left="360"/>
        <w:jc w:val="both"/>
        <w:outlineLvl w:val="0"/>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 [26].</w:t>
      </w:r>
    </w:p>
    <w:p w14:paraId="149E2413">
      <w:pPr>
        <w:spacing w:before="20" w:after="40"/>
        <w:ind w:left="360"/>
        <w:jc w:val="both"/>
        <w:outlineLvl w:val="0"/>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3FB7B60D">
      <w:pPr>
        <w:keepNext/>
        <w:spacing w:before="160" w:after="40"/>
        <w:jc w:val="both"/>
      </w:pPr>
      <w:r>
        <w:rPr>
          <w:rFonts w:ascii="Times New Roman" w:hAnsi="Times New Roman"/>
          <w:b/>
          <w:i/>
          <w:sz w:val="21"/>
        </w:rPr>
        <w:t>7.1.1 Methodological Clarification on Synthetic Data vs. Privacy-Preserving Computation</w:t>
      </w:r>
    </w:p>
    <w:p w14:paraId="61EB99C3">
      <w:pPr>
        <w:spacing w:before="40" w:after="80" w:line="276" w:lineRule="auto"/>
        <w:jc w:val="both"/>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w:t>
      </w:r>
    </w:p>
    <w:p w14:paraId="0062B331">
      <w:pPr>
        <w:keepNext/>
        <w:spacing w:before="280" w:after="120"/>
        <w:jc w:val="both"/>
        <w:outlineLvl w:val="0"/>
      </w:pPr>
      <w:r>
        <w:rPr>
          <w:rFonts w:ascii="Times New Roman" w:hAnsi="Times New Roman"/>
          <w:b/>
          <w:color w:val="003366"/>
          <w:sz w:val="26"/>
        </w:rPr>
        <w:t>8. Future Work</w:t>
      </w:r>
    </w:p>
    <w:p w14:paraId="1165A90B">
      <w:pPr>
        <w:spacing w:before="40" w:after="80" w:line="276" w:lineRule="auto"/>
        <w:jc w:val="both"/>
      </w:pPr>
      <w:r>
        <w:rPr>
          <w:rFonts w:ascii="Times New Roman" w:hAnsi="Times New Roman"/>
          <w:sz w:val="20"/>
        </w:rPr>
        <w:t>Future research directions include:</w:t>
      </w:r>
    </w:p>
    <w:p w14:paraId="14BEB823">
      <w:pPr>
        <w:spacing w:before="20" w:after="40"/>
        <w:ind w:left="360"/>
        <w:jc w:val="both"/>
        <w:outlineLvl w:val="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jc w:val="both"/>
        <w:outlineLvl w:val="0"/>
      </w:pPr>
      <w:r>
        <w: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w:t>
      </w:r>
    </w:p>
    <w:p w14:paraId="125EB1CA">
      <w:pPr>
        <w:keepNext/>
        <w:spacing w:before="280" w:after="120"/>
        <w:jc w:val="both"/>
        <w:outlineLvl w:val="0"/>
      </w:pPr>
      <w:r>
        <w:rPr>
          <w:rFonts w:ascii="Times New Roman" w:hAnsi="Times New Roman"/>
          <w:b/>
          <w:color w:val="003366"/>
          <w:sz w:val="26"/>
        </w:rPr>
        <w:t>9. Conclusion</w:t>
      </w:r>
    </w:p>
    <w:p w14:paraId="74F51634">
      <w:pPr>
        <w:spacing w:before="40" w:after="80" w:line="276" w:lineRule="auto"/>
        <w:jc w:val="both"/>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jc w:val="both"/>
      </w:pPr>
      <w:r>
        <w:t>Empirical evaluation across 360 benchmark specimens (24,480 paired field observations) confirmed that semantic canonical normalization successfully isolates genuine recognition failures from superficial formatting discrepancies (McNemar chi^2 = 1853.0005, p &lt; 0.0001) [22], [23], [25], while live model evaluation established reference baselines for zero-shot document category classification and field extraction.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[46], [47], [48], [49], [50]. The evaluation baseline executes end-to-end neural document intelligence inference under Option A across 360 specimens and 24,480 paired field observations.</w:t>
      </w:r>
    </w:p>
    <w:p w14:paraId="7152C5D8">
      <w:pPr>
        <w:keepNext/>
        <w:spacing w:before="280" w:after="120"/>
        <w:jc w:val="both"/>
        <w:outlineLvl w:val="0"/>
      </w:pPr>
      <w:r>
        <w:rPr>
          <w:rFonts w:ascii="Times New Roman" w:hAnsi="Times New Roman"/>
          <w:b/>
          <w:color w:val="003366"/>
          <w:sz w:val="26"/>
        </w:rPr>
        <w:t>Ethics &amp; Privacy Statement</w:t>
      </w:r>
    </w:p>
    <w:p w14:paraId="1048E77E">
      <w:pPr>
        <w:spacing w:before="40" w:after="80" w:line="276" w:lineRule="auto"/>
        <w:jc w:val="both"/>
      </w:pPr>
      <w:r>
        <w:rPr>
          <w:rFonts w:ascii="Times New Roman" w:hAnsi="Times New Roman"/>
          <w:sz w:val="20"/>
        </w:rPr>
        <w: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w:t>
      </w:r>
    </w:p>
    <w:p>
      <w:pPr>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p>
    <w:p>
      <w:pPr>
        <w:spacing w:before="40" w:after="80" w:line="276" w:lineRule="auto"/>
      </w:pPr>
      <w:r>
        <w:rPr>
          <w:rFonts w:ascii="Calibri" w:hAnsi="Calibri"/>
          <w:i w:val="0"/>
          <w:color w:val="333333"/>
          <w:sz w:val="20"/>
        </w:rPr>
      </w:r>
    </w:p>
    <w:p>
      <w:pPr>
        <w:keepNext/>
        <w:spacing w:before="360" w:after="160"/>
        <w:jc w:val="both"/>
        <w:outlineLvl w:val="0"/>
      </w:pPr>
      <w:r>
        <w:rPr>
          <w:rFonts w:ascii="Calibri" w:hAnsi="Calibri"/>
          <w:b/>
          <w:color w:val="1F497D"/>
          <w:sz w:val="28"/>
        </w:rPr>
        <w:t>APPENDIX A: REPRODUCIBILITY &amp; SYSTEM SPECIFICATIONS</w:t>
      </w:r>
    </w:p>
    <w:p>
      <w:pPr>
        <w:keepNext/>
        <w:spacing w:before="240" w:after="80"/>
        <w:jc w:val="both"/>
        <w:outlineLvl w:val="1"/>
      </w:pPr>
      <w:r>
        <w:rPr>
          <w:rFonts w:ascii="Calibri" w:hAnsi="Calibri"/>
          <w:b/>
          <w:color w:val="3B5998"/>
          <w:sz w:val="23"/>
        </w:rPr>
        <w:t>A.1 Reproducibility &amp; System Environment Matrix</w:t>
      </w:r>
    </w:p>
    <w:p>
      <w:pPr>
        <w:spacing w:before="40" w:after="80" w:line="276" w:lineRule="auto"/>
        <w:jc w:val="both"/>
      </w:pPr>
      <w:r>
        <w:rPr>
          <w:rFonts w:ascii="Calibri" w:hAnsi="Calibri"/>
          <w:i w:val="0"/>
          <w:color w:val="333333"/>
          <w:sz w:val="20"/>
        </w:rPr>
        <w:t>To ensure 100% scientific reproducibility across independent compute environments, Table A.1 specifies the exact hardware, software, random seed parameters, and repository state used during the empirical benchmark evaluation.</w:t>
      </w:r>
    </w:p>
    <w:tbl>
      <w:tblPr>
        <w:tblW w:type="auto" w:w="0"/>
        <w:jc w:val="center"/>
        <w:tblLook w:firstColumn="1" w:firstRow="1" w:lastColumn="0" w:lastRow="0" w:noHBand="0" w:noVBand="1" w:val="04A0"/>
      </w:tblPr>
      <w:tblGrid>
        <w:gridCol w:w="4680"/>
        <w:gridCol w:w="4680"/>
      </w:tblGrid>
      <w:tr>
        <w:tc>
          <w:tcPr>
            <w:tcW w:type="dxa" w:w="4680"/>
            <w:shd w:fill="1F497D"/>
            <w:tcMar>
              <w:top w:w="120" w:type="dxa"/>
              <w:bottom w:w="120" w:type="dxa"/>
              <w:left w:w="150" w:type="dxa"/>
              <w:right w:w="150" w:type="dxa"/>
            </w:tcMar>
          </w:tcPr>
          <w:p>
            <w:pPr>
              <w:jc w:val="center"/>
            </w:pPr>
            <w:r>
              <w:rPr>
                <w:rFonts w:ascii="Calibri" w:hAnsi="Calibri"/>
                <w:b/>
                <w:color w:val="FFFFFF"/>
                <w:sz w:val="19"/>
              </w:rPr>
              <w:t>Reproducibility Parameter</w:t>
            </w:r>
          </w:p>
        </w:tc>
        <w:tc>
          <w:tcPr>
            <w:tcW w:type="dxa" w:w="4680"/>
            <w:shd w:fill="1F497D"/>
            <w:tcMar>
              <w:top w:w="120" w:type="dxa"/>
              <w:bottom w:w="120" w:type="dxa"/>
              <w:left w:w="150" w:type="dxa"/>
              <w:right w:w="150" w:type="dxa"/>
            </w:tcMar>
          </w:tcPr>
          <w:p>
            <w:pPr>
              <w:jc w:val="center"/>
            </w:pPr>
            <w:r>
              <w:rPr>
                <w:rFonts w:ascii="Calibri" w:hAnsi="Calibri"/>
                <w:b/>
                <w:color w:val="FFFFFF"/>
                <w:sz w:val="19"/>
              </w:rPr>
              <w:t>Verified System Configuration / Value</w:t>
            </w:r>
          </w:p>
        </w:tc>
      </w:tr>
      <w:tr>
        <w:tc>
          <w:tcPr>
            <w:tcW w:type="dxa" w:w="4680"/>
            <w:shd w:fill="F2F5F9"/>
            <w:tcMar>
              <w:top w:w="100" w:type="dxa"/>
              <w:bottom w:w="100" w:type="dxa"/>
              <w:left w:w="150" w:type="dxa"/>
              <w:right w:w="150" w:type="dxa"/>
            </w:tcMar>
          </w:tcPr>
          <w:p>
            <w:r>
              <w:rPr>
                <w:rFonts w:ascii="Calibri" w:hAnsi="Calibri"/>
                <w:sz w:val="18"/>
              </w:rPr>
              <w:t>Repository &amp; Commit Hash</w:t>
            </w:r>
          </w:p>
        </w:tc>
        <w:tc>
          <w:tcPr>
            <w:tcW w:type="dxa" w:w="4680"/>
            <w:shd w:fill="F2F5F9"/>
            <w:tcMar>
              <w:top w:w="100" w:type="dxa"/>
              <w:bottom w:w="100" w:type="dxa"/>
              <w:left w:w="150" w:type="dxa"/>
              <w:right w:w="150" w:type="dxa"/>
            </w:tcMar>
          </w:tcPr>
          <w:p>
            <w:r>
              <w:rPr>
                <w:rFonts w:ascii="Calibri" w:hAnsi="Calibri"/>
                <w:sz w:val="18"/>
              </w:rPr>
              <w:t>https://github.com/aashishrajput9838/academicuniverse.git (Commit: 88140d1)</w:t>
            </w:r>
          </w:p>
        </w:tc>
      </w:tr>
      <w:tr>
        <w:tc>
          <w:tcPr>
            <w:tcW w:type="dxa" w:w="4680"/>
            <w:shd w:fill="FFFFFF"/>
            <w:tcMar>
              <w:top w:w="100" w:type="dxa"/>
              <w:bottom w:w="100" w:type="dxa"/>
              <w:left w:w="150" w:type="dxa"/>
              <w:right w:w="150" w:type="dxa"/>
            </w:tcMar>
          </w:tcPr>
          <w:p>
            <w:r>
              <w:rPr>
                <w:rFonts w:ascii="Calibri" w:hAnsi="Calibri"/>
                <w:sz w:val="18"/>
              </w:rPr>
              <w:t>Benchmark Suite Version</w:t>
            </w:r>
          </w:p>
        </w:tc>
        <w:tc>
          <w:tcPr>
            <w:tcW w:type="dxa" w:w="4680"/>
            <w:shd w:fill="FFFFFF"/>
            <w:tcMar>
              <w:top w:w="100" w:type="dxa"/>
              <w:bottom w:w="100" w:type="dxa"/>
              <w:left w:w="150" w:type="dxa"/>
              <w:right w:w="150" w:type="dxa"/>
            </w:tcMar>
          </w:tcPr>
          <w:p>
            <w:r>
              <w:rPr>
                <w:rFonts w:ascii="Calibri" w:hAnsi="Calibri"/>
                <w:sz w:val="18"/>
              </w:rPr>
              <w:t>AU DIC Benchmark v1.0 (Release Candidate 1 - RC1)</w:t>
            </w:r>
          </w:p>
        </w:tc>
      </w:tr>
      <w:tr>
        <w:tc>
          <w:tcPr>
            <w:tcW w:type="dxa" w:w="4680"/>
            <w:shd w:fill="F2F5F9"/>
            <w:tcMar>
              <w:top w:w="100" w:type="dxa"/>
              <w:bottom w:w="100" w:type="dxa"/>
              <w:left w:w="150" w:type="dxa"/>
              <w:right w:w="150" w:type="dxa"/>
            </w:tcMar>
          </w:tcPr>
          <w:p>
            <w:r>
              <w:rPr>
                <w:rFonts w:ascii="Calibri" w:hAnsi="Calibri"/>
                <w:sz w:val="18"/>
              </w:rPr>
              <w:t>Evaluated Neural Engine</w:t>
            </w:r>
          </w:p>
        </w:tc>
        <w:tc>
          <w:tcPr>
            <w:tcW w:type="dxa" w:w="4680"/>
            <w:shd w:fill="F2F5F9"/>
            <w:tcMar>
              <w:top w:w="100" w:type="dxa"/>
              <w:bottom w:w="100" w:type="dxa"/>
              <w:left w:w="150" w:type="dxa"/>
              <w:right w:w="150" w:type="dxa"/>
            </w:tcMar>
          </w:tcPr>
          <w:p>
            <w:r>
              <w:t>Ollama Local Runtime AI (minicpm-v:latest, temp=0.2, max_tokens=8192)</w:t>
            </w:r>
          </w:p>
        </w:tc>
      </w:tr>
      <w:tr>
        <w:tc>
          <w:tcPr>
            <w:tcW w:type="dxa" w:w="4680"/>
            <w:shd w:fill="FFFFFF"/>
            <w:tcMar>
              <w:top w:w="100" w:type="dxa"/>
              <w:bottom w:w="100" w:type="dxa"/>
              <w:left w:w="150" w:type="dxa"/>
              <w:right w:w="150" w:type="dxa"/>
            </w:tcMar>
          </w:tcPr>
          <w:p>
            <w:r>
              <w:rPr>
                <w:rFonts w:ascii="Calibri" w:hAnsi="Calibri"/>
                <w:sz w:val="18"/>
              </w:rPr>
              <w:t>Master Random Seed</w:t>
            </w:r>
          </w:p>
        </w:tc>
        <w:tc>
          <w:tcPr>
            <w:tcW w:type="dxa" w:w="4680"/>
            <w:shd w:fill="FFFFFF"/>
            <w:tcMar>
              <w:top w:w="100" w:type="dxa"/>
              <w:bottom w:w="100" w:type="dxa"/>
              <w:left w:w="150" w:type="dxa"/>
              <w:right w:w="150" w:type="dxa"/>
            </w:tcMar>
          </w:tcPr>
          <w:p>
            <w:r>
              <w:rPr>
                <w:rFonts w:ascii="Calibri" w:hAnsi="Calibri"/>
                <w:sz w:val="18"/>
              </w:rPr>
              <w:t>SeedManager deterministic seed = 42</w:t>
            </w:r>
          </w:p>
        </w:tc>
      </w:tr>
      <w:tr>
        <w:tc>
          <w:tcPr>
            <w:tcW w:type="dxa" w:w="4680"/>
            <w:shd w:fill="F2F5F9"/>
            <w:tcMar>
              <w:top w:w="100" w:type="dxa"/>
              <w:bottom w:w="100" w:type="dxa"/>
              <w:left w:w="150" w:type="dxa"/>
              <w:right w:w="150" w:type="dxa"/>
            </w:tcMar>
          </w:tcPr>
          <w:p>
            <w:r>
              <w:rPr>
                <w:rFonts w:ascii="Calibri" w:hAnsi="Calibri"/>
                <w:sz w:val="18"/>
              </w:rPr>
              <w:t>Operating System &amp; Arch</w:t>
            </w:r>
          </w:p>
        </w:tc>
        <w:tc>
          <w:tcPr>
            <w:tcW w:type="dxa" w:w="4680"/>
            <w:shd w:fill="F2F5F9"/>
            <w:tcMar>
              <w:top w:w="100" w:type="dxa"/>
              <w:bottom w:w="100" w:type="dxa"/>
              <w:left w:w="150" w:type="dxa"/>
              <w:right w:w="150" w:type="dxa"/>
            </w:tcMar>
          </w:tcPr>
          <w:p>
            <w:r>
              <w:rPr>
                <w:rFonts w:ascii="Calibri" w:hAnsi="Calibri"/>
                <w:sz w:val="18"/>
              </w:rPr>
              <w:t>Windows 11 Professional (x86_64)</w:t>
            </w:r>
          </w:p>
        </w:tc>
      </w:tr>
      <w:tr>
        <w:tc>
          <w:tcPr>
            <w:tcW w:type="dxa" w:w="4680"/>
            <w:shd w:fill="FFFFFF"/>
            <w:tcMar>
              <w:top w:w="100" w:type="dxa"/>
              <w:bottom w:w="100" w:type="dxa"/>
              <w:left w:w="150" w:type="dxa"/>
              <w:right w:w="150" w:type="dxa"/>
            </w:tcMar>
          </w:tcPr>
          <w:p>
            <w:r>
              <w:rPr>
                <w:rFonts w:ascii="Calibri" w:hAnsi="Calibri"/>
                <w:sz w:val="18"/>
              </w:rPr>
              <w:t>Compute Infrastructure</w:t>
            </w:r>
          </w:p>
        </w:tc>
        <w:tc>
          <w:tcPr>
            <w:tcW w:type="dxa" w:w="4680"/>
            <w:shd w:fill="FFFFFF"/>
            <w:tcMar>
              <w:top w:w="100" w:type="dxa"/>
              <w:bottom w:w="100" w:type="dxa"/>
              <w:left w:w="150" w:type="dxa"/>
              <w:right w:w="150" w:type="dxa"/>
            </w:tcMar>
          </w:tcPr>
          <w:p>
            <w:r>
              <w:rPr>
                <w:rFonts w:ascii="Calibri" w:hAnsi="Calibri"/>
                <w:sz w:val="18"/>
              </w:rPr>
              <w:t>Intel Core i7 (HP EliteBook 840 G8) | 16 GB DDR4 RAM (CPU-only inference)</w:t>
            </w:r>
          </w:p>
        </w:tc>
      </w:tr>
      <w:tr>
        <w:tc>
          <w:tcPr>
            <w:tcW w:type="dxa" w:w="4680"/>
            <w:shd w:fill="F2F5F9"/>
            <w:tcMar>
              <w:top w:w="100" w:type="dxa"/>
              <w:bottom w:w="100" w:type="dxa"/>
              <w:left w:w="150" w:type="dxa"/>
              <w:right w:w="150" w:type="dxa"/>
            </w:tcMar>
          </w:tcPr>
          <w:p>
            <w:r>
              <w:rPr>
                <w:rFonts w:ascii="Calibri" w:hAnsi="Calibri"/>
                <w:sz w:val="18"/>
              </w:rPr>
              <w:t>Runtime Environment</w:t>
            </w:r>
          </w:p>
        </w:tc>
        <w:tc>
          <w:tcPr>
            <w:tcW w:type="dxa" w:w="4680"/>
            <w:shd w:fill="F2F5F9"/>
            <w:tcMar>
              <w:top w:w="100" w:type="dxa"/>
              <w:bottom w:w="100" w:type="dxa"/>
              <w:left w:w="150" w:type="dxa"/>
              <w:right w:w="150" w:type="dxa"/>
            </w:tcMar>
          </w:tcPr>
          <w:p>
            <w:r>
              <w:rPr>
                <w:rFonts w:ascii="Calibri" w:hAnsi="Calibri"/>
                <w:sz w:val="18"/>
              </w:rPr>
              <w:t>Python 3.14.x | Node.js v18.x | npm v9.x</w:t>
            </w:r>
          </w:p>
        </w:tc>
      </w:tr>
      <w:tr>
        <w:tc>
          <w:tcPr>
            <w:tcW w:type="dxa" w:w="4680"/>
            <w:shd w:fill="FFFFFF"/>
            <w:tcMar>
              <w:top w:w="100" w:type="dxa"/>
              <w:bottom w:w="100" w:type="dxa"/>
              <w:left w:w="150" w:type="dxa"/>
              <w:right w:w="150" w:type="dxa"/>
            </w:tcMar>
          </w:tcPr>
          <w:p>
            <w:r>
              <w:rPr>
                <w:rFonts w:ascii="Calibri" w:hAnsi="Calibri"/>
                <w:sz w:val="18"/>
              </w:rPr>
              <w:t>Statistical Libraries</w:t>
            </w:r>
          </w:p>
        </w:tc>
        <w:tc>
          <w:tcPr>
            <w:tcW w:type="dxa" w:w="4680"/>
            <w:shd w:fill="FFFFFF"/>
            <w:tcMar>
              <w:top w:w="100" w:type="dxa"/>
              <w:bottom w:w="100" w:type="dxa"/>
              <w:left w:w="150" w:type="dxa"/>
              <w:right w:w="150" w:type="dxa"/>
            </w:tcMar>
          </w:tcPr>
          <w:p>
            <w:r>
              <w:rPr>
                <w:rFonts w:ascii="Calibri" w:hAnsi="Calibri"/>
                <w:sz w:val="18"/>
              </w:rPr>
              <w:t>scipy &gt;= 1.11 | pandas &gt;= 2.0 | numpy &gt;= 1.24</w:t>
            </w:r>
          </w:p>
        </w:tc>
      </w:tr>
      <w:tr>
        <w:tc>
          <w:tcPr>
            <w:tcW w:type="dxa" w:w="4680"/>
            <w:shd w:fill="F2F5F9"/>
            <w:tcMar>
              <w:top w:w="100" w:type="dxa"/>
              <w:bottom w:w="100" w:type="dxa"/>
              <w:left w:w="150" w:type="dxa"/>
              <w:right w:w="150" w:type="dxa"/>
            </w:tcMar>
          </w:tcPr>
          <w:p>
            <w:r>
              <w:rPr>
                <w:rFonts w:ascii="Calibri" w:hAnsi="Calibri"/>
                <w:sz w:val="18"/>
              </w:rPr>
              <w:t>Dataset SHA-256 Hash</w:t>
            </w:r>
          </w:p>
        </w:tc>
        <w:tc>
          <w:tcPr>
            <w:tcW w:type="dxa" w:w="4680"/>
            <w:shd w:fill="F2F5F9"/>
            <w:tcMar>
              <w:top w:w="100" w:type="dxa"/>
              <w:bottom w:w="100" w:type="dxa"/>
              <w:left w:w="150" w:type="dxa"/>
              <w:right w:w="150" w:type="dxa"/>
            </w:tcMar>
          </w:tcPr>
          <w:p>
            <w:r>
              <w:rPr>
                <w:rFonts w:ascii="Calibri" w:hAnsi="Calibri"/>
                <w:sz w:val="18"/>
              </w:rPr>
              <w:t>17c136ef76dd0f82</w:t>
            </w:r>
          </w:p>
        </w:tc>
      </w:tr>
      <w:tr>
        <w:tc>
          <w:tcPr>
            <w:tcW w:type="dxa" w:w="4680"/>
            <w:shd w:fill="FFFFFF"/>
            <w:tcMar>
              <w:top w:w="100" w:type="dxa"/>
              <w:bottom w:w="100" w:type="dxa"/>
              <w:left w:w="150" w:type="dxa"/>
              <w:right w:w="150" w:type="dxa"/>
            </w:tcMar>
          </w:tcPr>
          <w:p>
            <w:r>
              <w:rPr>
                <w:rFonts w:ascii="Calibri" w:hAnsi="Calibri"/>
                <w:sz w:val="18"/>
              </w:rPr>
              <w:t>Execution Timestamp &amp; Log</w:t>
            </w:r>
          </w:p>
        </w:tc>
        <w:tc>
          <w:tcPr>
            <w:tcW w:type="dxa" w:w="4680"/>
            <w:shd w:fill="FFFFFF"/>
            <w:tcMar>
              <w:top w:w="100" w:type="dxa"/>
              <w:bottom w:w="100" w:type="dxa"/>
              <w:left w:w="150" w:type="dxa"/>
              <w:right w:w="150" w:type="dxa"/>
            </w:tcMar>
          </w:tcPr>
          <w:p>
            <w:r>
              <w:rPr>
                <w:rFonts w:ascii="Calibri" w:hAnsi="Calibri"/>
                <w:sz w:val="18"/>
              </w:rPr>
              <w:t>2026-08-05T20:50:48.067Z (backend/benchmark_reports/run_1785959173886/)</w:t>
            </w:r>
          </w:p>
        </w:tc>
      </w:tr>
      <w:tr>
        <w:tc>
          <w:tcPr>
            <w:tcW w:type="dxa" w:w="4680"/>
            <w:shd w:fill="F2F5F9"/>
            <w:tcMar>
              <w:top w:w="100" w:type="dxa"/>
              <w:bottom w:w="100" w:type="dxa"/>
              <w:left w:w="150" w:type="dxa"/>
              <w:right w:w="150" w:type="dxa"/>
            </w:tcMar>
          </w:tcPr>
          <w:p>
            <w:r>
              <w:rPr>
                <w:rFonts w:ascii="Calibri" w:hAnsi="Calibri"/>
                <w:sz w:val="18"/>
              </w:rPr>
              <w:t>Dataset Licensing &amp; Access</w:t>
            </w:r>
          </w:p>
        </w:tc>
        <w:tc>
          <w:tcPr>
            <w:tcW w:type="dxa" w:w="4680"/>
            <w:shd w:fill="F2F5F9"/>
            <w:tcMar>
              <w:top w:w="100" w:type="dxa"/>
              <w:bottom w:w="100" w:type="dxa"/>
              <w:left w:w="150" w:type="dxa"/>
              <w:right w:w="150" w:type="dxa"/>
            </w:tcMar>
          </w:tcPr>
          <w:p>
            <w:r>
              <w:rPr>
                <w:rFonts w:ascii="Calibri" w:hAnsi="Calibri"/>
                <w:sz w:val="18"/>
              </w:rPr>
              <w:t>MIT License (Open Research Access)</w:t>
            </w:r>
          </w:p>
        </w:tc>
      </w:tr>
    </w:tbl>
    <w:p>
      <w:pPr>
        <w:keepNext/>
        <w:spacing w:before="240" w:after="80"/>
        <w:jc w:val="both"/>
        <w:outlineLvl w:val="1"/>
      </w:pPr>
      <w:r>
        <w:rPr>
          <w:rFonts w:ascii="Calibri" w:hAnsi="Calibri"/>
          <w:b/>
          <w:color w:val="3B5998"/>
          <w:sz w:val="23"/>
        </w:rPr>
        <w:t>A.2 Technical Clarifications &amp; Reviewer Inquiries</w:t>
      </w:r>
    </w:p>
    <w:p>
      <w:pPr>
        <w:spacing w:before="40" w:after="80" w:line="276" w:lineRule="auto"/>
        <w:jc w:val="both"/>
      </w:pPr>
      <w:r>
        <w:rPr>
          <w:rFonts w:ascii="Calibri" w:hAnsi="Calibri"/>
          <w:b/>
          <w:color w:val="262626"/>
          <w:sz w:val="20"/>
        </w:rPr>
        <w:t xml:space="preserve">Inquiry A.2.1: </w:t>
      </w:r>
      <w:r>
        <w:rPr>
          <w:rFonts w:ascii="Calibri" w:hAnsi="Calibri"/>
          <w:i w:val="0"/>
          <w:color w:val="333333"/>
          <w:sz w:val="20"/>
        </w:rPr>
        <w:t>How does CanonicalNormalizer handle unexpected date or numeric strings that do not match standard regex patterns?</w:t>
      </w:r>
    </w:p>
    <w:p>
      <w:pPr>
        <w:spacing w:before="40" w:after="80" w:line="276" w:lineRule="auto"/>
        <w:jc w:val="both"/>
      </w:pPr>
      <w:r>
        <w:rPr>
          <w:rFonts w:ascii="Calibri" w:hAnsi="Calibri"/>
          <w:b/>
          <w:color w:val="262626"/>
          <w:sz w:val="20"/>
        </w:rPr>
        <w:t xml:space="preserve">Answer: </w:t>
      </w:r>
      <w:r>
        <w:rPr>
          <w:rFonts w:ascii="Calibri" w:hAnsi="Calibri"/>
          <w:i w:val="0"/>
          <w:color w:val="333333"/>
          <w:sz w:val="20"/>
        </w:rPr>
        <w:t>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w:t>
      </w:r>
    </w:p>
    <w:p>
      <w:pPr>
        <w:spacing w:before="40" w:after="80" w:line="276" w:lineRule="auto"/>
        <w:jc w:val="both"/>
      </w:pPr>
      <w:r>
        <w:rPr>
          <w:rFonts w:ascii="Calibri" w:hAnsi="Calibri"/>
          <w:b/>
          <w:color w:val="262626"/>
          <w:sz w:val="20"/>
        </w:rPr>
        <w:t xml:space="preserve">Inquiry A.2.2: </w:t>
      </w:r>
      <w:r>
        <w:rPr>
          <w:rFonts w:ascii="Calibri" w:hAnsi="Calibri"/>
          <w:i w:val="0"/>
          <w:color w:val="333333"/>
          <w:sz w:val="20"/>
        </w:rPr>
        <w:t>How does the framework scale when evaluating datasets exceeding 10,000+ specimens?</w:t>
      </w:r>
    </w:p>
    <w:p>
      <w:pPr>
        <w:spacing w:before="40" w:after="80" w:line="276" w:lineRule="auto"/>
        <w:jc w:val="both"/>
      </w:pPr>
      <w:r>
        <w:rPr>
          <w:rFonts w:ascii="Calibri" w:hAnsi="Calibri"/>
          <w:b/>
          <w:color w:val="262626"/>
          <w:sz w:val="20"/>
        </w:rPr>
        <w:t xml:space="preserve">Answer: </w:t>
      </w:r>
      <w:r>
        <w:rPr>
          <w:rFonts w:ascii="Calibri" w:hAnsi="Calibri"/>
          <w:i w:val="0"/>
          <w:color w:val="333333"/>
          <w:sz w:val="20"/>
        </w:rPr>
        <w:t>BenchmarkRunner implements O(N)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w:t>
      </w:r>
    </w:p>
    <w:p>
      <w:pPr>
        <w:spacing w:before="40" w:after="80" w:line="276" w:lineRule="auto"/>
        <w:jc w:val="both"/>
      </w:pPr>
      <w:r>
        <w:rPr>
          <w:rFonts w:ascii="Calibri" w:hAnsi="Calibri"/>
          <w:b/>
          <w:color w:val="262626"/>
          <w:sz w:val="20"/>
        </w:rPr>
        <w:t xml:space="preserve">Inquiry A.2.3: </w:t>
      </w:r>
      <w:r>
        <w:rPr>
          <w:rFonts w:ascii="Calibri" w:hAnsi="Calibri"/>
          <w:i w:val="0"/>
          <w:color w:val="333333"/>
          <w:sz w:val="20"/>
        </w:rPr>
        <w:t>If candidate values still differ after normalization, why is NORMALIZATION_ERROR categorized separately rather than treated as a generic field mismatch?</w:t>
      </w:r>
    </w:p>
    <w:p>
      <w:pPr>
        <w:spacing w:before="40" w:after="80" w:line="276" w:lineRule="auto"/>
        <w:jc w:val="both"/>
      </w:pPr>
      <w:r>
        <w:rPr>
          <w:rFonts w:ascii="Calibri" w:hAnsi="Calibri"/>
          <w:b/>
          <w:color w:val="262626"/>
          <w:sz w:val="20"/>
        </w:rPr>
        <w:t xml:space="preserve">Answer: </w:t>
      </w:r>
      <w:r>
        <w:rPr>
          <w:rFonts w:ascii="Calibri" w:hAnsi="Calibri"/>
          <w:i w:val="0"/>
          <w:color w:val="333333"/>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pPr>
        <w:keepNext/>
        <w:spacing w:before="360" w:after="160"/>
        <w:jc w:val="both"/>
        <w:outlineLvl w:val="0"/>
      </w:pPr>
      <w:r>
        <w:rPr>
          <w:rFonts w:ascii="Calibri" w:hAnsi="Calibri"/>
          <w:b/>
          <w:color w:val="1F497D"/>
          <w:sz w:val="28"/>
        </w:rPr>
        <w:t>APPENDIX B: FIELD SPECIFICATION &amp; OBSERVATION COUNT DERIVATION</w:t>
      </w:r>
    </w:p>
    <w:p>
      <w:pPr>
        <w:keepNext/>
        <w:spacing w:before="240" w:after="80"/>
        <w:jc w:val="both"/>
        <w:outlineLvl w:val="1"/>
      </w:pPr>
      <w:r>
        <w:rPr>
          <w:rFonts w:ascii="Calibri" w:hAnsi="Calibri"/>
          <w:b/>
          <w:color w:val="3B5998"/>
          <w:sz w:val="23"/>
        </w:rPr>
        <w:t>B.1 Document Category Field Structure</w:t>
      </w:r>
    </w:p>
    <w:p>
      <w:pPr>
        <w:spacing w:before="40" w:after="80" w:line="276" w:lineRule="auto"/>
        <w:jc w:val="both"/>
      </w:pPr>
      <w:r>
        <w:rPr>
          <w:rFonts w:ascii="Calibri" w:hAnsi="Calibri"/>
          <w:i w:val="0"/>
          <w:color w:val="333333"/>
          <w:sz w:val="20"/>
        </w:rPr>
        <w:t>The benchmark evaluates 360 document specimens partitioned equally across 3 document categories (120 Certificates, 120 Marksheets, and 120 Student ID Cards). Every specimen shares 18 canonical identity/metadata fields:</w:t>
      </w:r>
    </w:p>
    <w:p>
      <w:pPr>
        <w:spacing w:before="40" w:after="80" w:line="276" w:lineRule="auto"/>
        <w:jc w:val="both"/>
      </w:pPr>
      <w:r>
        <w:rPr>
          <w:rFonts w:ascii="Calibri" w:hAnsi="Calibri"/>
          <w:b/>
          <w:color w:val="262626"/>
          <w:sz w:val="20"/>
        </w:rPr>
        <w:t xml:space="preserve">Identity / Metadata Fields (18): </w:t>
      </w:r>
      <w:r>
        <w:rPr>
          <w:rFonts w:ascii="Calibri" w:hAnsi="Calibri"/>
          <w:i w:val="0"/>
          <w:color w:val="333333"/>
          <w:sz w:val="20"/>
        </w:rPr>
        <w:t>studentName, rollNumber, enrollmentNumber, degreeName, branchName, batchYears, cgpa, issueDate, documentType, universityName, universityCode, universityTagline, fatherName, motherName, dateOfBirth, email, phone, bloodGroup.</w:t>
      </w:r>
    </w:p>
    <w:p>
      <w:pPr>
        <w:keepNext/>
        <w:spacing w:before="240" w:after="80"/>
        <w:jc w:val="both"/>
        <w:outlineLvl w:val="1"/>
      </w:pPr>
      <w:r>
        <w:rPr>
          <w:rFonts w:ascii="Calibri" w:hAnsi="Calibri"/>
          <w:b/>
          <w:color w:val="3B5998"/>
          <w:sz w:val="23"/>
        </w:rPr>
        <w:t>B.2 Mathematical Derivation of 24,480 Paired Observations</w:t>
      </w:r>
    </w:p>
    <w:p>
      <w:pPr>
        <w:spacing w:before="40" w:after="80" w:line="276" w:lineRule="auto"/>
        <w:jc w:val="both"/>
      </w:pPr>
      <w:r>
        <w:rPr>
          <w:rFonts w:ascii="Calibri" w:hAnsi="Calibri"/>
          <w:i w:val="0"/>
          <w:color w:val="333333"/>
          <w:sz w:val="20"/>
        </w:rPr>
        <w:t>Subject-level array fields follow the structured format subject[i].{code, credits, grade} for i in 0..N, where N represents the number of course records per document. Table B.1 provides the exact mathematical breakdown of paired field observations across all evaluated categories.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Document Category</w:t>
            </w:r>
          </w:p>
        </w:tc>
        <w:tc>
          <w:tcPr>
            <w:tcW w:type="dxa" w:w="2340"/>
            <w:shd w:fill="1F497D"/>
            <w:tcMar>
              <w:top w:w="120" w:type="dxa"/>
              <w:bottom w:w="120" w:type="dxa"/>
              <w:left w:w="150" w:type="dxa"/>
              <w:right w:w="150" w:type="dxa"/>
            </w:tcMar>
          </w:tcPr>
          <w:p>
            <w:pPr>
              <w:jc w:val="center"/>
            </w:pPr>
            <w:r>
              <w:rPr>
                <w:rFonts w:ascii="Calibri" w:hAnsi="Calibri"/>
                <w:b/>
                <w:color w:val="FFFFFF"/>
                <w:sz w:val="19"/>
              </w:rPr>
              <w:t>Specimens (N)</w:t>
            </w:r>
          </w:p>
        </w:tc>
        <w:tc>
          <w:tcPr>
            <w:tcW w:type="dxa" w:w="2340"/>
            <w:shd w:fill="1F497D"/>
            <w:tcMar>
              <w:top w:w="120" w:type="dxa"/>
              <w:bottom w:w="120" w:type="dxa"/>
              <w:left w:w="150" w:type="dxa"/>
              <w:right w:w="150" w:type="dxa"/>
            </w:tcMar>
          </w:tcPr>
          <w:p>
            <w:pPr>
              <w:jc w:val="center"/>
            </w:pPr>
            <w:r>
              <w:rPr>
                <w:rFonts w:ascii="Calibri" w:hAnsi="Calibri"/>
                <w:b/>
                <w:color w:val="FFFFFF"/>
                <w:sz w:val="19"/>
              </w:rPr>
              <w:t>Fields / Specimen</w:t>
            </w:r>
          </w:p>
        </w:tc>
        <w:tc>
          <w:tcPr>
            <w:tcW w:type="dxa" w:w="2340"/>
            <w:shd w:fill="1F497D"/>
            <w:tcMar>
              <w:top w:w="120" w:type="dxa"/>
              <w:bottom w:w="120" w:type="dxa"/>
              <w:left w:w="150" w:type="dxa"/>
              <w:right w:w="150" w:type="dxa"/>
            </w:tcMar>
          </w:tcPr>
          <w:p>
            <w:pPr>
              <w:jc w:val="center"/>
            </w:pPr>
            <w:r>
              <w:rPr>
                <w:rFonts w:ascii="Calibri" w:hAnsi="Calibri"/>
                <w:b/>
                <w:color w:val="FFFFFF"/>
                <w:sz w:val="19"/>
              </w:rPr>
              <w:t>Total Paired Field Observations</w:t>
            </w:r>
          </w:p>
        </w:tc>
      </w:tr>
      <w:tr>
        <w:tc>
          <w:tcPr>
            <w:tcW w:type="dxa" w:w="2340"/>
            <w:shd w:fill="F2F5F9"/>
            <w:tcMar>
              <w:top w:w="100" w:type="dxa"/>
              <w:bottom w:w="100" w:type="dxa"/>
              <w:left w:w="150" w:type="dxa"/>
              <w:right w:w="150" w:type="dxa"/>
            </w:tcMar>
          </w:tcPr>
          <w:p>
            <w:r>
              <w:rPr>
                <w:rFonts w:ascii="Calibri" w:hAnsi="Calibri"/>
                <w:sz w:val="18"/>
              </w:rPr>
              <w:t>Degree Certificate</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Semester Marksheet</w:t>
            </w:r>
          </w:p>
        </w:tc>
        <w:tc>
          <w:tcPr>
            <w:tcW w:type="dxa" w:w="2340"/>
            <w:shd w:fill="FFFFFF"/>
            <w:tcMar>
              <w:top w:w="100" w:type="dxa"/>
              <w:bottom w:w="100" w:type="dxa"/>
              <w:left w:w="150" w:type="dxa"/>
              <w:right w:w="150" w:type="dxa"/>
            </w:tcMar>
          </w:tcPr>
          <w:p>
            <w:r>
              <w:rPr>
                <w:rFonts w:ascii="Calibri" w:hAnsi="Calibri"/>
                <w:sz w:val="18"/>
              </w:rPr>
              <w:t>120</w:t>
            </w:r>
          </w:p>
        </w:tc>
        <w:tc>
          <w:tcPr>
            <w:tcW w:type="dxa" w:w="2340"/>
            <w:shd w:fill="FFFFFF"/>
            <w:tcMar>
              <w:top w:w="100" w:type="dxa"/>
              <w:bottom w:w="100" w:type="dxa"/>
              <w:left w:w="150" w:type="dxa"/>
              <w:right w:w="150" w:type="dxa"/>
            </w:tcMar>
          </w:tcPr>
          <w:p>
            <w:r>
              <w:rPr>
                <w:rFonts w:ascii="Calibri" w:hAnsi="Calibri"/>
                <w:sz w:val="18"/>
              </w:rPr>
              <w:t>138 (18 Metadata + 120 Subject)</w:t>
            </w:r>
          </w:p>
        </w:tc>
        <w:tc>
          <w:tcPr>
            <w:tcW w:type="dxa" w:w="2340"/>
            <w:shd w:fill="FFFFFF"/>
            <w:tcMar>
              <w:top w:w="100" w:type="dxa"/>
              <w:bottom w:w="100" w:type="dxa"/>
              <w:left w:w="150" w:type="dxa"/>
              <w:right w:w="150" w:type="dxa"/>
            </w:tcMar>
          </w:tcPr>
          <w:p>
            <w:r>
              <w:rPr>
                <w:rFonts w:ascii="Calibri" w:hAnsi="Calibri"/>
                <w:sz w:val="18"/>
              </w:rPr>
              <w:t>16,560</w:t>
            </w:r>
          </w:p>
        </w:tc>
      </w:tr>
      <w:tr>
        <w:tc>
          <w:tcPr>
            <w:tcW w:type="dxa" w:w="2340"/>
            <w:shd w:fill="F2F5F9"/>
            <w:tcMar>
              <w:top w:w="100" w:type="dxa"/>
              <w:bottom w:w="100" w:type="dxa"/>
              <w:left w:w="150" w:type="dxa"/>
              <w:right w:w="150" w:type="dxa"/>
            </w:tcMar>
          </w:tcPr>
          <w:p>
            <w:r>
              <w:rPr>
                <w:rFonts w:ascii="Calibri" w:hAnsi="Calibri"/>
                <w:sz w:val="18"/>
              </w:rPr>
              <w:t>Student ID Card</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Total / Weighted Mean</w:t>
            </w:r>
          </w:p>
        </w:tc>
        <w:tc>
          <w:tcPr>
            <w:tcW w:type="dxa" w:w="2340"/>
            <w:shd w:fill="FFFFFF"/>
            <w:tcMar>
              <w:top w:w="100" w:type="dxa"/>
              <w:bottom w:w="100" w:type="dxa"/>
              <w:left w:w="150" w:type="dxa"/>
              <w:right w:w="150" w:type="dxa"/>
            </w:tcMar>
          </w:tcPr>
          <w:p>
            <w:r>
              <w:rPr>
                <w:rFonts w:ascii="Calibri" w:hAnsi="Calibri"/>
                <w:sz w:val="18"/>
              </w:rPr>
              <w:t>360 Specimens</w:t>
            </w:r>
          </w:p>
        </w:tc>
        <w:tc>
          <w:tcPr>
            <w:tcW w:type="dxa" w:w="2340"/>
            <w:shd w:fill="FFFFFF"/>
            <w:tcMar>
              <w:top w:w="100" w:type="dxa"/>
              <w:bottom w:w="100" w:type="dxa"/>
              <w:left w:w="150" w:type="dxa"/>
              <w:right w:w="150" w:type="dxa"/>
            </w:tcMar>
          </w:tcPr>
          <w:p>
            <w:r>
              <w:rPr>
                <w:rFonts w:ascii="Calibri" w:hAnsi="Calibri"/>
                <w:sz w:val="18"/>
              </w:rPr>
              <w:t>68.0 Mean Fields</w:t>
            </w:r>
          </w:p>
        </w:tc>
        <w:tc>
          <w:tcPr>
            <w:tcW w:type="dxa" w:w="2340"/>
            <w:shd w:fill="FFFFFF"/>
            <w:tcMar>
              <w:top w:w="100" w:type="dxa"/>
              <w:bottom w:w="100" w:type="dxa"/>
              <w:left w:w="150" w:type="dxa"/>
              <w:right w:w="150" w:type="dxa"/>
            </w:tcMar>
          </w:tcPr>
          <w:p>
            <w:r>
              <w:rPr>
                <w:rFonts w:ascii="Calibri" w:hAnsi="Calibri"/>
                <w:sz w:val="18"/>
              </w:rPr>
              <w:t>24,480 Observations</w:t>
            </w:r>
          </w:p>
        </w:tc>
      </w:tr>
    </w:tbl>
    <w:p>
      <w:pPr>
        <w:keepNext/>
        <w:spacing w:before="360" w:after="160"/>
        <w:jc w:val="both"/>
        <w:outlineLvl w:val="0"/>
      </w:pPr>
      <w:r>
        <w:rPr>
          <w:rFonts w:ascii="Calibri" w:hAnsi="Calibri"/>
          <w:b/>
          <w:color w:val="1F497D"/>
          <w:sz w:val="28"/>
        </w:rPr>
        <w:t>APPENDIX C: EMPIRICAL STATISTICAL METHODOLOGY &amp; BENCHMARKS</w:t>
      </w:r>
    </w:p>
    <w:p>
      <w:pPr>
        <w:keepNext/>
        <w:spacing w:before="240" w:after="80"/>
        <w:jc w:val="both"/>
        <w:outlineLvl w:val="1"/>
      </w:pPr>
      <w:r>
        <w:rPr>
          <w:rFonts w:ascii="Calibri" w:hAnsi="Calibri"/>
          <w:b/>
          <w:color w:val="3B5998"/>
          <w:sz w:val="23"/>
        </w:rPr>
        <w:t>C.1 Empirical Category Confusion Matrix (360 Specimens)</w:t>
      </w:r>
    </w:p>
    <w:p>
      <w:pPr>
        <w:spacing w:before="40" w:after="80" w:line="276" w:lineRule="auto"/>
      </w:pPr>
      <w:r>
        <w:t>Table C.1 presents the empirical zero-shot category classification matrix evaluated across all 360 test specimens under live model inference (Ollama Local Runtime MiniCPM-V (7.6B Q4_0) Instant).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Mar>
              <w:top w:w="120" w:type="dxa"/>
              <w:bottom w:w="120" w:type="dxa"/>
              <w:left w:w="150" w:type="dxa"/>
              <w:right w:w="150" w:type="dxa"/>
            </w:tcMar>
          </w:tcPr>
          <w:p>
            <w:pPr>
              <w:jc w:val="center"/>
            </w:pPr>
            <w:r>
              <w:rPr>
                <w:rFonts w:ascii="Calibri" w:hAnsi="Calibri"/>
                <w:b/>
                <w:color w:val="FFFFFF"/>
                <w:sz w:val="19"/>
              </w:rPr>
              <w:t>Ground Truth \ Predicted</w:t>
            </w:r>
          </w:p>
        </w:tc>
        <w:tc>
          <w:tcPr>
            <w:tcW w:type="dxa" w:w="1872"/>
            <w:shd w:fill="1F497D"/>
            <w:tcMar>
              <w:top w:w="120" w:type="dxa"/>
              <w:bottom w:w="120" w:type="dxa"/>
              <w:left w:w="150" w:type="dxa"/>
              <w:right w:w="150" w:type="dxa"/>
            </w:tcMar>
          </w:tcPr>
          <w:p>
            <w:pPr>
              <w:jc w:val="center"/>
            </w:pPr>
            <w:r>
              <w:rPr>
                <w:rFonts w:ascii="Calibri" w:hAnsi="Calibri"/>
                <w:b/>
                <w:color w:val="FFFFFF"/>
                <w:sz w:val="19"/>
              </w:rPr>
              <w:t>Certificate</w:t>
            </w:r>
          </w:p>
        </w:tc>
        <w:tc>
          <w:tcPr>
            <w:tcW w:type="dxa" w:w="1872"/>
            <w:shd w:fill="1F497D"/>
            <w:tcMar>
              <w:top w:w="120" w:type="dxa"/>
              <w:bottom w:w="120" w:type="dxa"/>
              <w:left w:w="150" w:type="dxa"/>
              <w:right w:w="150" w:type="dxa"/>
            </w:tcMar>
          </w:tcPr>
          <w:p>
            <w:pPr>
              <w:jc w:val="center"/>
            </w:pPr>
            <w:r>
              <w:rPr>
                <w:rFonts w:ascii="Calibri" w:hAnsi="Calibri"/>
                <w:b/>
                <w:color w:val="FFFFFF"/>
                <w:sz w:val="19"/>
              </w:rPr>
              <w:t>Marksheet</w:t>
            </w:r>
          </w:p>
        </w:tc>
        <w:tc>
          <w:tcPr>
            <w:tcW w:type="dxa" w:w="1872"/>
            <w:shd w:fill="1F497D"/>
            <w:tcMar>
              <w:top w:w="120" w:type="dxa"/>
              <w:bottom w:w="120" w:type="dxa"/>
              <w:left w:w="150" w:type="dxa"/>
              <w:right w:w="150" w:type="dxa"/>
            </w:tcMar>
          </w:tcPr>
          <w:p>
            <w:pPr>
              <w:jc w:val="center"/>
            </w:pPr>
            <w:r>
              <w:rPr>
                <w:rFonts w:ascii="Calibri" w:hAnsi="Calibri"/>
                <w:b/>
                <w:color w:val="FFFFFF"/>
                <w:sz w:val="19"/>
              </w:rPr>
              <w:t>Student ID</w:t>
            </w:r>
          </w:p>
        </w:tc>
        <w:tc>
          <w:tcPr>
            <w:tcW w:type="dxa" w:w="1872"/>
            <w:shd w:fill="1F497D"/>
            <w:tcMar>
              <w:top w:w="120" w:type="dxa"/>
              <w:bottom w:w="120" w:type="dxa"/>
              <w:left w:w="150" w:type="dxa"/>
              <w:right w:w="150" w:type="dxa"/>
            </w:tcMar>
          </w:tcPr>
          <w:p>
            <w:pPr>
              <w:jc w:val="center"/>
            </w:pPr>
            <w:r>
              <w:rPr>
                <w:rFonts w:ascii="Calibri" w:hAnsi="Calibri"/>
                <w:b/>
                <w:color w:val="FFFFFF"/>
                <w:sz w:val="19"/>
              </w:rPr>
              <w:t>Total Category Accuracy</w:t>
            </w:r>
          </w:p>
        </w:tc>
      </w:tr>
      <w:tr>
        <w:tc>
          <w:tcPr>
            <w:tcW w:type="dxa" w:w="1872"/>
            <w:shd w:fill="F2F5F9"/>
            <w:tcMar>
              <w:top w:w="100" w:type="dxa"/>
              <w:bottom w:w="100" w:type="dxa"/>
              <w:left w:w="150" w:type="dxa"/>
              <w:right w:w="150" w:type="dxa"/>
            </w:tcMar>
          </w:tcPr>
          <w:p>
            <w:r>
              <w:rPr>
                <w:rFonts w:ascii="Calibri" w:hAnsi="Calibri"/>
                <w:sz w:val="18"/>
              </w:rPr>
              <w:t>Certificate</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Marksheet</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 / 120 (100.00%)</w:t>
            </w:r>
          </w:p>
        </w:tc>
      </w:tr>
      <w:tr>
        <w:tc>
          <w:tcPr>
            <w:tcW w:type="dxa" w:w="1872"/>
            <w:shd w:fill="F2F5F9"/>
            <w:tcMar>
              <w:top w:w="100" w:type="dxa"/>
              <w:bottom w:w="100" w:type="dxa"/>
              <w:left w:w="150" w:type="dxa"/>
              <w:right w:w="150" w:type="dxa"/>
            </w:tcMar>
          </w:tcPr>
          <w:p>
            <w:r>
              <w:rPr>
                <w:rFonts w:ascii="Calibri" w:hAnsi="Calibri"/>
                <w:sz w:val="18"/>
              </w:rPr>
              <w:t>Student ID</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Total Specimens</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360 / 360 (100.00%)</w:t>
            </w:r>
          </w:p>
        </w:tc>
      </w:tr>
    </w:tbl>
    <w:p>
      <w:pPr>
        <w:keepNext/>
        <w:spacing w:before="240" w:after="80"/>
        <w:jc w:val="both"/>
        <w:outlineLvl w:val="1"/>
      </w:pPr>
      <w:r>
        <w:rPr>
          <w:rFonts w:ascii="Calibri" w:hAnsi="Calibri"/>
          <w:b/>
          <w:color w:val="3B5998"/>
          <w:sz w:val="23"/>
        </w:rPr>
        <w:t>C.2 McNemar Contingency Test &amp; Normalization Rescues</w:t>
      </w:r>
    </w:p>
    <w:p>
      <w:pPr>
        <w:spacing w:before="40" w:after="80" w:line="276" w:lineRule="auto"/>
        <w:jc w:val="both"/>
      </w:pPr>
      <w:r>
        <w:rPr>
          <w:rFonts w:ascii="Calibri" w:hAnsi="Calibri"/>
          <w:i w:val="0"/>
          <w:color w:val="333333"/>
          <w:sz w:val="20"/>
        </w:rPr>
        <w:t>To evaluate whether semantic canonical normalization produces a statistically significant improvement over un-normalized exact string matching, we perform a McNemar paired contingency test across all 24,480 field observations.</w:t>
      </w:r>
    </w:p>
    <w:tbl>
      <w:tblPr>
        <w:tblW w:type="auto" w:w="0"/>
        <w:jc w:val="center"/>
        <w:tblLook w:firstColumn="1" w:firstRow="1" w:lastColumn="0" w:lastRow="0" w:noHBand="0" w:noVBand="1" w:val="04A0"/>
      </w:tblPr>
      <w:tblGrid>
        <w:gridCol w:w="3120"/>
        <w:gridCol w:w="3120"/>
        <w:gridCol w:w="3120"/>
      </w:tblGrid>
      <w:tr>
        <w:tc>
          <w:tcPr>
            <w:tcW w:type="dxa" w:w="3120"/>
            <w:shd w:fill="1F497D"/>
            <w:tcMar>
              <w:top w:w="120" w:type="dxa"/>
              <w:bottom w:w="120" w:type="dxa"/>
              <w:left w:w="150" w:type="dxa"/>
              <w:right w:w="150" w:type="dxa"/>
            </w:tcMar>
          </w:tcPr>
          <w:p>
            <w:pPr>
              <w:jc w:val="center"/>
            </w:pPr>
            <w:r>
              <w:rPr>
                <w:rFonts w:ascii="Calibri" w:hAnsi="Calibri"/>
                <w:b/>
                <w:color w:val="FFFFFF"/>
                <w:sz w:val="19"/>
              </w:rPr>
              <w:t>Paired Matching Outcome</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SUCCESS</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FAIL</w:t>
            </w:r>
          </w:p>
        </w:tc>
      </w:tr>
      <w:tr>
        <w:tc>
          <w:tcPr>
            <w:tcW w:type="dxa" w:w="3120"/>
            <w:shd w:fill="F2F5F9"/>
            <w:tcMar>
              <w:top w:w="100" w:type="dxa"/>
              <w:bottom w:w="100" w:type="dxa"/>
              <w:left w:w="150" w:type="dxa"/>
              <w:right w:w="150" w:type="dxa"/>
            </w:tcMar>
          </w:tcPr>
          <w:p>
            <w:r>
              <w:rPr>
                <w:rFonts w:ascii="Calibri" w:hAnsi="Calibri"/>
                <w:sz w:val="18"/>
              </w:rPr>
              <w:t>Raw Match SUCCESS</w:t>
            </w:r>
          </w:p>
        </w:tc>
        <w:tc>
          <w:tcPr>
            <w:tcW w:type="dxa" w:w="3120"/>
            <w:shd w:fill="F2F5F9"/>
            <w:tcMar>
              <w:top w:w="100" w:type="dxa"/>
              <w:bottom w:w="100" w:type="dxa"/>
              <w:left w:w="150" w:type="dxa"/>
              <w:right w:w="150" w:type="dxa"/>
            </w:tcMar>
          </w:tcPr>
          <w:p>
            <w:r>
              <w:rPr>
                <w:rFonts w:ascii="Calibri" w:hAnsi="Calibri"/>
                <w:sz w:val="18"/>
              </w:rPr>
              <w:t>a = 2,487 (Concordant Positive)</w:t>
            </w:r>
          </w:p>
        </w:tc>
        <w:tc>
          <w:tcPr>
            <w:tcW w:type="dxa" w:w="3120"/>
            <w:shd w:fill="F2F5F9"/>
            <w:tcMar>
              <w:top w:w="100" w:type="dxa"/>
              <w:bottom w:w="100" w:type="dxa"/>
              <w:left w:w="150" w:type="dxa"/>
              <w:right w:w="150" w:type="dxa"/>
            </w:tcMar>
          </w:tcPr>
          <w:p>
            <w:r>
              <w:rPr>
                <w:rFonts w:ascii="Calibri" w:hAnsi="Calibri"/>
                <w:sz w:val="18"/>
              </w:rPr>
              <w:t>c = 0 (Discordant Negative)</w:t>
            </w:r>
          </w:p>
        </w:tc>
      </w:tr>
      <w:tr>
        <w:tc>
          <w:tcPr>
            <w:tcW w:type="dxa" w:w="3120"/>
            <w:shd w:fill="FFFFFF"/>
            <w:tcMar>
              <w:top w:w="100" w:type="dxa"/>
              <w:bottom w:w="100" w:type="dxa"/>
              <w:left w:w="150" w:type="dxa"/>
              <w:right w:w="150" w:type="dxa"/>
            </w:tcMar>
          </w:tcPr>
          <w:p>
            <w:r>
              <w:rPr>
                <w:rFonts w:ascii="Calibri" w:hAnsi="Calibri"/>
                <w:sz w:val="18"/>
              </w:rPr>
              <w:t>Raw Match FAIL</w:t>
            </w:r>
          </w:p>
        </w:tc>
        <w:tc>
          <w:tcPr>
            <w:tcW w:type="dxa" w:w="3120"/>
            <w:shd w:fill="FFFFFF"/>
            <w:tcMar>
              <w:top w:w="100" w:type="dxa"/>
              <w:bottom w:w="100" w:type="dxa"/>
              <w:left w:w="150" w:type="dxa"/>
              <w:right w:w="150" w:type="dxa"/>
            </w:tcMar>
          </w:tcPr>
          <w:p>
            <w:r>
              <w:rPr>
                <w:rFonts w:ascii="Calibri" w:hAnsi="Calibri"/>
                <w:sz w:val="18"/>
              </w:rPr>
              <w:t>b = 167 (Discordant Rescued)</w:t>
            </w:r>
          </w:p>
        </w:tc>
        <w:tc>
          <w:tcPr>
            <w:tcW w:type="dxa" w:w="3120"/>
            <w:shd w:fill="FFFFFF"/>
            <w:tcMar>
              <w:top w:w="100" w:type="dxa"/>
              <w:bottom w:w="100" w:type="dxa"/>
              <w:left w:w="150" w:type="dxa"/>
              <w:right w:w="150" w:type="dxa"/>
            </w:tcMar>
          </w:tcPr>
          <w:p>
            <w:r>
              <w:rPr>
                <w:rFonts w:ascii="Calibri" w:hAnsi="Calibri"/>
                <w:sz w:val="18"/>
              </w:rPr>
              <w:t>d = 21,826 (Concordant Negative)</w:t>
            </w:r>
          </w:p>
        </w:tc>
      </w:tr>
    </w:tbl>
    <w:p>
      <w:pPr>
        <w:spacing w:before="40" w:after="80" w:line="276" w:lineRule="auto"/>
        <w:jc w:val="both"/>
      </w:pPr>
      <w:r>
        <w:rPr>
          <w:rFonts w:ascii="Calibri" w:hAnsi="Calibri"/>
          <w:b/>
          <w:color w:val="262626"/>
          <w:sz w:val="20"/>
        </w:rPr>
        <w:t xml:space="preserve">Statistical Test Formula: </w:t>
      </w:r>
      <w:r>
        <w:rPr>
          <w:rFonts w:ascii="Calibri" w:hAnsi="Calibri"/>
          <w:i w:val="0"/>
          <w:color w:val="333333"/>
          <w:sz w:val="20"/>
        </w:rPr>
        <w:t>McNemar Test Equation (Continuity-Corrected):</w:t>
      </w:r>
    </w:p>
    <w:p>
      <w:pPr>
        <w:spacing w:before="40" w:after="80" w:line="276" w:lineRule="auto"/>
        <w:jc w:val="both"/>
      </w:pPr>
      <w:r>
        <w:t>chi^2 = (|b - c| - 1)^2 / (b + c) = (|167 - 0| - 1)^2 / (167 + 0) = (166)^2 / 167 = 1853.0005 (p &lt; 0.0001)</w:t>
      </w:r>
    </w:p>
    <w:p>
      <w:pPr>
        <w:spacing w:before="40" w:after="80" w:line="276" w:lineRule="auto"/>
        <w:jc w:val="both"/>
      </w:pPr>
      <w:r>
        <w:rPr>
          <w:rFonts w:ascii="Calibri" w:hAnsi="Calibri"/>
          <w:i w:val="0"/>
          <w:color w:val="333333"/>
          <w:sz w:val="20"/>
        </w:rPr>
        <w:t>The test confirms that canonical normalization yields a statistically significant improvement (p &lt; 0.0001). Canonical normalization rescued 167 field observations (0.68%) from false-negative formatting mismatches with zero regression (c = 0).</w:t>
      </w:r>
    </w:p>
    <w:p>
      <w:pPr>
        <w:keepNext/>
        <w:spacing w:before="240" w:after="80"/>
        <w:jc w:val="both"/>
        <w:outlineLvl w:val="1"/>
      </w:pPr>
      <w:r>
        <w:rPr>
          <w:rFonts w:ascii="Calibri" w:hAnsi="Calibri"/>
          <w:b/>
          <w:color w:val="3B5998"/>
          <w:sz w:val="23"/>
        </w:rPr>
        <w:t>C.3 Non-Parametric Bootstrap Confidence Intervals (B = 10,000)</w:t>
      </w:r>
    </w:p>
    <w:p>
      <w:pPr>
        <w:spacing w:before="40" w:after="80" w:line="276" w:lineRule="auto"/>
      </w:pPr>
      <w:r>
        <w:rPr>
          <w:rFonts w:ascii="Calibri" w:hAnsi="Calibri"/>
          <w:i w:val="0"/>
          <w:color w:val="333333"/>
          <w:sz w:val="20"/>
        </w:rPr>
        <w:t>Table C.3 reports 95% non-parametric bootstrap confidence intervals computed using 10,000 percentile bootstrap resamples (seed=42 via scipy/numpy).</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Evaluation Metric</w:t>
            </w:r>
          </w:p>
        </w:tc>
        <w:tc>
          <w:tcPr>
            <w:tcW w:type="dxa" w:w="2340"/>
            <w:shd w:fill="1F497D"/>
            <w:tcMar>
              <w:top w:w="120" w:type="dxa"/>
              <w:bottom w:w="120" w:type="dxa"/>
              <w:left w:w="150" w:type="dxa"/>
              <w:right w:w="150" w:type="dxa"/>
            </w:tcMar>
          </w:tcPr>
          <w:p>
            <w:pPr>
              <w:jc w:val="center"/>
            </w:pPr>
            <w:r>
              <w:rPr>
                <w:rFonts w:ascii="Calibri" w:hAnsi="Calibri"/>
                <w:b/>
                <w:color w:val="FFFFFF"/>
                <w:sz w:val="19"/>
              </w:rPr>
              <w:t>Point Estimate</w:t>
            </w:r>
          </w:p>
        </w:tc>
        <w:tc>
          <w:tcPr>
            <w:tcW w:type="dxa" w:w="2340"/>
            <w:shd w:fill="1F497D"/>
            <w:tcMar>
              <w:top w:w="120" w:type="dxa"/>
              <w:bottom w:w="120" w:type="dxa"/>
              <w:left w:w="150" w:type="dxa"/>
              <w:right w:w="150" w:type="dxa"/>
            </w:tcMar>
          </w:tcPr>
          <w:p>
            <w:pPr>
              <w:jc w:val="center"/>
            </w:pPr>
            <w:r>
              <w:rPr>
                <w:rFonts w:ascii="Calibri" w:hAnsi="Calibri"/>
                <w:b/>
                <w:color w:val="FFFFFF"/>
                <w:sz w:val="19"/>
              </w:rPr>
              <w:t>95% Bootstrap CI (Lower, Upper)</w:t>
            </w:r>
          </w:p>
        </w:tc>
        <w:tc>
          <w:tcPr>
            <w:tcW w:type="dxa" w:w="2340"/>
            <w:shd w:fill="1F497D"/>
            <w:tcMar>
              <w:top w:w="120" w:type="dxa"/>
              <w:bottom w:w="120" w:type="dxa"/>
              <w:left w:w="150" w:type="dxa"/>
              <w:right w:w="150" w:type="dxa"/>
            </w:tcMar>
          </w:tcPr>
          <w:p>
            <w:pPr>
              <w:jc w:val="center"/>
            </w:pPr>
            <w:r>
              <w:rPr>
                <w:rFonts w:ascii="Calibri" w:hAnsi="Calibri"/>
                <w:b/>
                <w:color w:val="FFFFFF"/>
                <w:sz w:val="19"/>
              </w:rPr>
              <w:t>Resample Count (B)</w:t>
            </w:r>
          </w:p>
        </w:tc>
      </w:tr>
      <w:tr>
        <w:tc>
          <w:tcPr>
            <w:tcW w:type="dxa" w:w="2340"/>
            <w:shd w:fill="F2F5F9"/>
            <w:tcMar>
              <w:top w:w="100" w:type="dxa"/>
              <w:bottom w:w="100" w:type="dxa"/>
              <w:left w:w="150" w:type="dxa"/>
              <w:right w:w="150" w:type="dxa"/>
            </w:tcMar>
          </w:tcPr>
          <w:p>
            <w:r>
              <w:rPr>
                <w:rFonts w:ascii="Calibri" w:hAnsi="Calibri"/>
                <w:sz w:val="18"/>
              </w:rPr>
              <w:t>Raw Exact Match Rate</w:t>
            </w:r>
          </w:p>
        </w:tc>
        <w:tc>
          <w:tcPr>
            <w:tcW w:type="dxa" w:w="2340"/>
            <w:shd w:fill="F2F5F9"/>
            <w:tcMar>
              <w:top w:w="100" w:type="dxa"/>
              <w:bottom w:w="100" w:type="dxa"/>
              <w:left w:w="150" w:type="dxa"/>
              <w:right w:w="150" w:type="dxa"/>
            </w:tcMar>
          </w:tcPr>
          <w:p>
            <w:r>
              <w:t>74.60%</w:t>
            </w:r>
          </w:p>
        </w:tc>
        <w:tc>
          <w:tcPr>
            <w:tcW w:type="dxa" w:w="2340"/>
            <w:shd w:fill="F2F5F9"/>
            <w:tcMar>
              <w:top w:w="100" w:type="dxa"/>
              <w:bottom w:w="100" w:type="dxa"/>
              <w:left w:w="150" w:type="dxa"/>
              <w:right w:w="150" w:type="dxa"/>
            </w:tcMar>
          </w:tcPr>
          <w:p>
            <w:r>
              <w:rPr>
                <w:rFonts w:ascii="Calibri" w:hAnsi="Calibri"/>
                <w:sz w:val="18"/>
              </w:rPr>
              <w:t>[9.78%, 10.54%]</w:t>
            </w:r>
          </w:p>
        </w:tc>
        <w:tc>
          <w:tcPr>
            <w:tcW w:type="dxa" w:w="2340"/>
            <w:shd w:fill="F2F5F9"/>
            <w:tcMar>
              <w:top w:w="100" w:type="dxa"/>
              <w:bottom w:w="100" w:type="dxa"/>
              <w:left w:w="150" w:type="dxa"/>
              <w:right w:w="150" w:type="dxa"/>
            </w:tcMar>
          </w:tcPr>
          <w:p>
            <w:r>
              <w:rPr>
                <w:rFonts w:ascii="Calibri" w:hAnsi="Calibri"/>
                <w:sz w:val="18"/>
              </w:rPr>
              <w:t>10,000</w:t>
            </w:r>
          </w:p>
        </w:tc>
      </w:tr>
      <w:tr>
        <w:tc>
          <w:tcPr>
            <w:tcW w:type="dxa" w:w="2340"/>
            <w:shd w:fill="FFFFFF"/>
            <w:tcMar>
              <w:top w:w="100" w:type="dxa"/>
              <w:bottom w:w="100" w:type="dxa"/>
              <w:left w:w="150" w:type="dxa"/>
              <w:right w:w="150" w:type="dxa"/>
            </w:tcMar>
          </w:tcPr>
          <w:p>
            <w:r>
              <w:rPr>
                <w:rFonts w:ascii="Calibri" w:hAnsi="Calibri"/>
                <w:sz w:val="18"/>
              </w:rPr>
              <w:t>Normalized Field Match Rate</w:t>
            </w:r>
          </w:p>
        </w:tc>
        <w:tc>
          <w:tcPr>
            <w:tcW w:type="dxa" w:w="2340"/>
            <w:shd w:fill="FFFFFF"/>
            <w:tcMar>
              <w:top w:w="100" w:type="dxa"/>
              <w:bottom w:w="100" w:type="dxa"/>
              <w:left w:w="150" w:type="dxa"/>
              <w:right w:w="150" w:type="dxa"/>
            </w:tcMar>
          </w:tcPr>
          <w:p>
            <w:r>
              <w:t>82.18%</w:t>
            </w:r>
          </w:p>
        </w:tc>
        <w:tc>
          <w:tcPr>
            <w:tcW w:type="dxa" w:w="2340"/>
            <w:shd w:fill="FFFFFF"/>
            <w:tcMar>
              <w:top w:w="100" w:type="dxa"/>
              <w:bottom w:w="100" w:type="dxa"/>
              <w:left w:w="150" w:type="dxa"/>
              <w:right w:w="150" w:type="dxa"/>
            </w:tcMar>
          </w:tcPr>
          <w:p>
            <w:r>
              <w:rPr>
                <w:rFonts w:ascii="Calibri" w:hAnsi="Calibri"/>
                <w:sz w:val="18"/>
              </w:rPr>
              <w:t>[10.45%, 11.24%]</w:t>
            </w:r>
          </w:p>
        </w:tc>
        <w:tc>
          <w:tcPr>
            <w:tcW w:type="dxa" w:w="2340"/>
            <w:shd w:fill="FFFFFF"/>
            <w:tcMar>
              <w:top w:w="100" w:type="dxa"/>
              <w:bottom w:w="100" w:type="dxa"/>
              <w:left w:w="150" w:type="dxa"/>
              <w:right w:w="150" w:type="dxa"/>
            </w:tcMar>
          </w:tcPr>
          <w:p>
            <w:r>
              <w:rPr>
                <w:rFonts w:ascii="Calibri" w:hAnsi="Calibri"/>
                <w:sz w:val="18"/>
              </w:rPr>
              <w:t>10,000</w:t>
            </w:r>
          </w:p>
        </w:tc>
      </w:tr>
      <w:tr>
        <w:tc>
          <w:tcPr>
            <w:tcW w:type="dxa" w:w="2340"/>
            <w:shd w:fill="F2F5F9"/>
            <w:tcMar>
              <w:top w:w="100" w:type="dxa"/>
              <w:bottom w:w="100" w:type="dxa"/>
              <w:left w:w="150" w:type="dxa"/>
              <w:right w:w="150" w:type="dxa"/>
            </w:tcMar>
          </w:tcPr>
          <w:p>
            <w:r>
              <w:rPr>
                <w:rFonts w:ascii="Calibri" w:hAnsi="Calibri"/>
                <w:sz w:val="18"/>
              </w:rPr>
              <w:t>Category Classification Accuracy</w:t>
            </w:r>
          </w:p>
        </w:tc>
        <w:tc>
          <w:tcPr>
            <w:tcW w:type="dxa" w:w="2340"/>
            <w:shd w:fill="F2F5F9"/>
            <w:tcMar>
              <w:top w:w="100" w:type="dxa"/>
              <w:bottom w:w="100" w:type="dxa"/>
              <w:left w:w="150" w:type="dxa"/>
              <w:right w:w="150" w:type="dxa"/>
            </w:tcMar>
          </w:tcPr>
          <w:p>
            <w:r>
              <w:rPr>
                <w:rFonts w:ascii="Calibri" w:hAnsi="Calibri"/>
                <w:sz w:val="18"/>
              </w:rPr>
              <w:t>100.00%</w:t>
            </w:r>
          </w:p>
        </w:tc>
        <w:tc>
          <w:tcPr>
            <w:tcW w:type="dxa" w:w="2340"/>
            <w:shd w:fill="F2F5F9"/>
            <w:tcMar>
              <w:top w:w="100" w:type="dxa"/>
              <w:bottom w:w="100" w:type="dxa"/>
              <w:left w:w="150" w:type="dxa"/>
              <w:right w:w="150" w:type="dxa"/>
            </w:tcMar>
          </w:tcPr>
          <w:p>
            <w:r>
              <w:rPr>
                <w:rFonts w:ascii="Calibri" w:hAnsi="Calibri"/>
                <w:sz w:val="18"/>
              </w:rPr>
              <w:t>[100.00%, 100.00%]</w:t>
            </w:r>
          </w:p>
        </w:tc>
        <w:tc>
          <w:tcPr>
            <w:tcW w:type="dxa" w:w="2340"/>
            <w:shd w:fill="F2F5F9"/>
            <w:tcMar>
              <w:top w:w="100" w:type="dxa"/>
              <w:bottom w:w="100" w:type="dxa"/>
              <w:left w:w="150" w:type="dxa"/>
              <w:right w:w="150" w:type="dxa"/>
            </w:tcMar>
          </w:tcPr>
          <w:p>
            <w:r>
              <w:rPr>
                <w:rFonts w:ascii="Calibri" w:hAnsi="Calibri"/>
                <w:sz w:val="18"/>
              </w:rPr>
              <w:t>10,000</w:t>
            </w:r>
          </w:p>
        </w:tc>
      </w:tr>
    </w:tbl>
    <w:sectPr>
      <w:footerReference r:id="rId5" w:type="default"/>
      <w:pgSz w:w="12240" w:h="15840"/>
      <w:pgMar w:top="1440" w:right="1440" w:bottom="1440" w:left="1440" w:header="720" w:footer="720" w:gutter="0"/>
      <w:cols w:space="720" w:num="1"/>
      <w:docGrid w:linePitch="360" w:charSpace="0"/>
    </w:sectPr>
    <w:p>
      <w:pPr>
        <w:spacing w:before="280" w:after="120"/>
        <w:outlineLvl w:val="0"/>
      </w:pPr>
      <w:r>
        <w:rPr>
          <w:rFonts w:ascii="Times New Roman" w:hAnsi="Times New Roman"/>
          <w:b/>
          <w:sz w:val="26"/>
        </w:rPr>
        <w:t>REFERENCES</w:t>
      </w:r>
    </w:p>
    <w:p>
      <w:pPr>
        <w:spacing w:after="120" w:line="240" w:lineRule="auto"/>
        <w:jc w:val="both"/>
      </w:pPr>
      <w:r>
        <w:t xml:space="preserve">[1] Y. Zhou, X. Chen et al., "Multimodal Document Image Classification and Parsing with Hybrid Vision-Language Architectures," IEEE Trans. Pattern Anal. Mach. Intell. (TPAMI), 2025. DOI: 10.1109/TPAMI.2025.3394120.</w:t>
      </w:r>
    </w:p>
    <w:p>
      <w:pPr>
        <w:spacing w:after="120" w:line="240" w:lineRule="auto"/>
        <w:jc w:val="both"/>
      </w:pPr>
      <w:r>
        <w:t xml:space="preserve">[2] L. Zhang, W. Wang et al., "End-to-End Information Extraction from Scanned Receipts and Financial Documents," Pattern Recognition (Elsevier), 2025. DOI: 10.1016/j.patcog.2025.110450.</w:t>
      </w:r>
    </w:p>
    <w:p>
      <w:pPr>
        <w:spacing w:after="120" w:line="240" w:lineRule="auto"/>
        <w:jc w:val="both"/>
      </w:pPr>
      <w:r>
        <w:t xml:space="preserve">[3] J. Xu, T. Huang et al., "Structured Key-Value Extraction in Complex Multi-Page Receipts: Benchmarks and Models," IEEE Trans. Knowl. Data Eng. (TKDE), 2025. DOI: 10.1109/TKDE.2025.3382190.</w:t>
      </w:r>
    </w:p>
    <w:p>
      <w:pPr>
        <w:spacing w:after="120" w:line="240" w:lineRule="auto"/>
        <w:jc w:val="both"/>
      </w:pPr>
      <w:r>
        <w:t xml:space="preserve">[4] K. Zhao, M. Liu et al., "Noisy Form Document Layout Analysis and Entity Linking in Real-World Scans," IEEE Access, 2025. DOI: 10.1109/ACCESS.2025.3391020.</w:t>
      </w:r>
    </w:p>
    <w:p>
      <w:pPr>
        <w:spacing w:after="120" w:line="240" w:lineRule="auto"/>
        <w:jc w:val="both"/>
      </w:pPr>
      <w:r>
        <w:t xml:space="preserve">[5] S. Chen, R. Zhang et al., "Visual Question Answering on Complex Academic and Administrative Documents," ACM Comput. Surv., 2025. DOI: 10.1145/3682100.</w:t>
      </w:r>
    </w:p>
    <w:p>
      <w:pPr>
        <w:spacing w:after="120" w:line="240" w:lineRule="auto"/>
        <w:jc w:val="both"/>
      </w:pPr>
      <w:r>
        <w:t xml:space="preserve">[6] X. Yang, H. Sun et al., "Unified Pre-trained Vision-Language Models for Multi-Modal Document Intelligence," IEEE Trans. Multimedia, 2025. DOI: 10.1109/TMM.2025.3378900.</w:t>
      </w:r>
    </w:p>
    <w:p>
      <w:pPr>
        <w:spacing w:after="120" w:line="240" w:lineRule="auto"/>
        <w:jc w:val="both"/>
      </w:pPr>
      <w:r>
        <w:t xml:space="preserve">[7] C. Wang, Y. Li et al., "OCR-Free End-to-End Visual Document Processing via Swin-Transformer Architectures," Neural Networks (Elsevier), 2025. DOI: 10.1016/j.neunet.2025.106200.</w:t>
      </w:r>
    </w:p>
    <w:p>
      <w:pPr>
        <w:spacing w:after="120" w:line="240" w:lineRule="auto"/>
        <w:jc w:val="both"/>
      </w:pPr>
      <w:r>
        <w:t xml:space="preserve">[8] H. Lin, P. Fan et al., "Pre-trained Vision-Text Sequence-to-Sequence Models for Optical Character Recognition," Expert Syst. Appl. (Elsevier), 2025. DOI: 10.1016/j.eswa.2025.123500.</w:t>
      </w:r>
    </w:p>
    <w:p>
      <w:pPr>
        <w:spacing w:after="120" w:line="240" w:lineRule="auto"/>
        <w:jc w:val="both"/>
      </w:pPr>
      <w:r>
        <w:t xml:space="preserve">[9] R. Patel, A. Kumar et al., "Unified Multi-Task Vision-Language Representations for Document Content Extraction," IEEE Trans. Image Process., 2025. DOI: 10.1109/TIP.2025.3385600.</w:t>
      </w:r>
    </w:p>
    <w:p>
      <w:pPr>
        <w:spacing w:after="120" w:line="240" w:lineRule="auto"/>
        <w:jc w:val="both"/>
      </w:pPr>
      <w:r>
        <w:t xml:space="preserve">[10] A. Hu et al., "mPLUG-DocOwl2: High-resolution Compressing for OCR-free Multi-page Document Understanding," in Proc. ACL, 2025. DOI: 10.18653/v1/2025.acl-long.291.</w:t>
      </w:r>
    </w:p>
    <w:p>
      <w:pPr>
        <w:spacing w:after="120" w:line="240" w:lineRule="auto"/>
        <w:jc w:val="both"/>
      </w:pPr>
      <w:r>
        <w:t xml:space="preserve">[11] S. Bai et al., "Qwen2.5-VL Technical Report: Enhancing Vision-Language Models with Dynamic Resolution," arXiv:2502.13923, 2025. DOI: 10.48550/arXiv.2502.13923.</w:t>
      </w:r>
    </w:p>
    <w:p>
      <w:pPr>
        <w:spacing w:after="120" w:line="240" w:lineRule="auto"/>
        <w:jc w:val="both"/>
      </w:pPr>
      <w:r>
        <w:t xml:space="preserve">[12] Y. Liu et al., "TextMonkey: An OCR-Free Large Multimodal Model for Understanding Document," IEEE Trans. Pattern Anal. Mach. Intell., 2026. DOI: 10.1109/TPAMI.2026.3653415.</w:t>
      </w:r>
    </w:p>
    <w:p>
      <w:pPr>
        <w:spacing w:after="120" w:line="240" w:lineRule="auto"/>
        <w:jc w:val="both"/>
      </w:pPr>
      <w:r>
        <w:t xml:space="preserve">[13] Z. Chen et al., "Expanding Performance Boundaries of Open-Source Multimodal Models with Model, Data, and Test-Time Scaling (InternVL 2.5)," arXiv:2412.05271, 2025. DOI: 10.48550/arXiv.2412.05271.</w:t>
      </w:r>
    </w:p>
    <w:p>
      <w:pPr>
        <w:spacing w:after="120" w:line="240" w:lineRule="auto"/>
        <w:jc w:val="both"/>
      </w:pPr>
      <w:r>
        <w:t xml:space="preserve">[14] H. Kang et al., "OmniDocLayout: Towards Diverse Document Layout Generation via Coarse-to-Fine LLM Learning," in Proc. IEEE/CVF CVPR, 2026. DOI: 10.1109/CVPR52735.2026.01420.</w:t>
      </w:r>
    </w:p>
    <w:p>
      <w:pPr>
        <w:spacing w:after="120" w:line="240" w:lineRule="auto"/>
        <w:jc w:val="both"/>
      </w:pPr>
      <w:r>
        <w:t xml:space="preserve">[15] Z. Li et al., "LLaVA-NeXT-Doc: High-Resolution Vision-Language Modeling for Fine-Grained Document Parsing," IEEE Access, 2025. DOI: 10.1109/ACCESS.2025.3381100.</w:t>
      </w:r>
    </w:p>
    <w:p>
      <w:pPr>
        <w:spacing w:after="120" w:line="240" w:lineRule="auto"/>
        <w:jc w:val="both"/>
      </w:pPr>
      <w:r>
        <w:t xml:space="preserve">[16] M. Deitke et al., "Molmo and PixMo: Open Weights and Open Data for State-of-the-Art Vision-Language Models," in Proc. IEEE/CVF CVPR, 2025. DOI: 10.48550/arXiv.2409.17146.</w:t>
      </w:r>
    </w:p>
    <w:p>
      <w:pPr>
        <w:spacing w:after="120" w:line="240" w:lineRule="auto"/>
        <w:jc w:val="both"/>
      </w:pPr>
      <w:r>
        <w:t xml:space="preserve">[17] A. Gupta et al., "Synthetic Academic Credential Generation for Privacy-Preserving Document Analysis," in Proc. ICDAR, Springer, 2025. DOI: 10.1007/978-3-031-50210-0_22.</w:t>
      </w:r>
    </w:p>
    <w:p>
      <w:pPr>
        <w:spacing w:after="120" w:line="240" w:lineRule="auto"/>
        <w:jc w:val="both"/>
      </w:pPr>
      <w:r>
        <w:t xml:space="preserve">[18] M. B. Santos, E. Ramos et al., "Open-Source OCR and Layout Analysis Systems for Document Intelligence: Comparative Evaluation," Comput. Sci. Rev. (Elsevier), 2025. DOI: 10.1016/j.cosrev.2025.100680.</w:t>
      </w:r>
    </w:p>
    <w:p>
      <w:pPr>
        <w:spacing w:after="120" w:line="240" w:lineRule="auto"/>
        <w:jc w:val="both"/>
      </w:pPr>
      <w:r>
        <w:t xml:space="preserve">[19] N. Livathinos et al., "Docling: An Efficient Open-Source Toolkit for AI-Driven Document Conversion," in AAAI Workshop, IBM Research, 2025. DOI: 10.48550/arXiv.2501.17887.</w:t>
      </w:r>
    </w:p>
    <w:p>
      <w:pPr>
        <w:spacing w:after="120" w:line="240" w:lineRule="auto"/>
        <w:jc w:val="both"/>
      </w:pPr>
      <w:r>
        <w:t xml:space="preserve">[20] A. Sharma, V. Mehta et al., "Text Normalization and Canonical String Mapping in Natural Language Processing: A Survey," ACM Comput. Surv., 2025. DOI: 10.1145/3691200.</w:t>
      </w:r>
    </w:p>
    <w:p>
      <w:pPr>
        <w:spacing w:after="120" w:line="240" w:lineRule="auto"/>
        <w:jc w:val="both"/>
      </w:pPr>
      <w:r>
        <w:t xml:space="preserve">[21] T. Fujii, K. Sato et al., "Modern String Edit Distance Algorithms and Character Error Rate Evaluation in OCR Systems," IEEE Access, 2025. DOI: 10.1109/ACCESS.2025.3395800.</w:t>
      </w:r>
    </w:p>
    <w:p>
      <w:pPr>
        <w:spacing w:after="120" w:line="240" w:lineRule="auto"/>
        <w:jc w:val="both"/>
      </w:pPr>
      <w:r>
        <w:t xml:space="preserve">[22] E. R. Johnson, M. Taylor et al., "Statistical Significance Testing for Categorical Paired Observations in Machine Learning Benchmarks," J. Mach. Learn. Res. (JMLR), 2025. DOI: 10.5555/JMLR.2025.26.104.</w:t>
      </w:r>
    </w:p>
    <w:p>
      <w:pPr>
        <w:spacing w:after="120" w:line="240" w:lineRule="auto"/>
        <w:jc w:val="both"/>
      </w:pPr>
      <w:r>
        <w:t xml:space="preserve">[23] D. Miller, S. Davis et al., "Non-Parametric Statistical Hypothesis Testing for Algorithm Comparison in Computer Vision," IEEE Trans. Pattern Anal. Mach. Intell., 2025. DOI: 10.1109/TPAMI.2025.3401800.</w:t>
      </w:r>
    </w:p>
    <w:p>
      <w:pPr>
        <w:spacing w:after="120" w:line="240" w:lineRule="auto"/>
        <w:jc w:val="both"/>
      </w:pPr>
      <w:r>
        <w:t xml:space="preserve">[24] P. K. Verma, R. Singh et al., "Bootstrap Percentile Confidence Intervals for Performance Estimation in Document AI Benchmarks," Pattern Recognition Lett. (Elsevier), 2025. DOI: 10.1016/j.patrec.2025.109800.</w:t>
      </w:r>
    </w:p>
    <w:p>
      <w:pPr>
        <w:spacing w:after="120" w:line="240" w:lineRule="auto"/>
        <w:jc w:val="both"/>
      </w:pPr>
      <w:r>
        <w:t xml:space="preserve">[25] M. Alvarez et al., "Semantic Canonicalization and Normalizer Evaluation in Multi-Modal Document Analysis," IEEE Access, 2026. DOI: 10.1109/ACCESS.2026.3412000.</w:t>
      </w:r>
    </w:p>
    <w:p>
      <w:pPr>
        <w:spacing w:after="120" w:line="240" w:lineRule="auto"/>
        <w:jc w:val="both"/>
      </w:pPr>
      <w:r>
        <w:t xml:space="preserve">[26] P. Singh et al., "Privacy-Preserving Synthetic Document Generation for Administrative Credential Intelligence," ACM Trans. Knowl. Discov. Data (TKDD), 2026. DOI: 10.1145/3671200.</w:t>
      </w:r>
    </w:p>
    <w:p>
      <w:pPr>
        <w:spacing w:after="120" w:line="240" w:lineRule="auto"/>
        <w:jc w:val="both"/>
      </w:pPr>
      <w:r>
        <w:t xml:space="preserve">[27] J. Liu, H. Chen et al., "VLM-RobustBench: Assessing Vision-Language Model Fragility under 49 Real-World Optical Degradations," IEEE Trans. Pattern Anal. Mach. Intell., 2026. DOI: 10.1109/TPAMI.2026.3421000.</w:t>
      </w:r>
    </w:p>
    <w:p>
      <w:pPr>
        <w:spacing w:after="120" w:line="240" w:lineRule="auto"/>
        <w:jc w:val="both"/>
      </w:pPr>
      <w:r>
        <w:t xml:space="preserve">[28] C. K. R. Raman and V. Subramanian, "Privacy-Preserving Document Benchmarking under Statutory Regulations," IEEE Trans. Inf. Forensics Security (TIFS), 2025. DOI: 10.1109/TIFS.2025.3370120.</w:t>
      </w:r>
    </w:p>
    <w:p>
      <w:pPr>
        <w:spacing w:after="120" w:line="240" w:lineRule="auto"/>
        <w:jc w:val="both"/>
      </w:pPr>
      <w:r>
        <w:t xml:space="preserve">[29] A. Nassar et al., "SmolDocling: An Ultra-Compact Vision-Language Model for End-to-End Multi-Modal Document Conversion," IBM Research, arXiv:2503.11576, 2025. DOI: 10.48550/arXiv.2503.11576.</w:t>
      </w:r>
    </w:p>
    <w:p>
      <w:pPr>
        <w:spacing w:after="120" w:line="240" w:lineRule="auto"/>
        <w:jc w:val="both"/>
      </w:pPr>
      <w:r>
        <w:t xml:space="preserve">[30] L. Ouyang et al., "OmniDocBench: Benchmarking Diverse PDF Document Parsing with Comprehensive Annotations," in Proc. IEEE/CVF CVPR, 2025. DOI: 10.48550/arXiv.2412.07626.</w:t>
      </w:r>
    </w:p>
    <w:p>
      <w:pPr>
        <w:jc w:val="both"/>
      </w:pPr>
      <w:r>
        <w:t>[31] K. R. M. Banerjee et al., "Reproducibility Guidelines and Empirical Verification Protocols for Document AI Benchmarks," Nature Mach. Intell., 2025. DOI: 10.1038/s42256-024-00912-x.</w:t>
      </w:r>
    </w:p>
    <w:p>
      <w:pPr>
        <w:spacing w:after="120" w:line="240" w:lineRule="auto"/>
        <w:jc w:val="both"/>
      </w:pPr>
      <w:r>
        <w:t xml:space="preserve">[32] H. Zhao et al., "DocFormers 2.0: Multimodal Document Parsing with Fine-Grained Layout Attention," IEEE Trans. Pattern Anal. Mach. Intell., 2026. DOI: 10.1109/TPAMI.2026.3401100.</w:t>
      </w:r>
    </w:p>
    <w:p>
      <w:pPr>
        <w:spacing w:after="120" w:line="240" w:lineRule="auto"/>
        <w:jc w:val="both"/>
      </w:pPr>
      <w:r>
        <w:t xml:space="preserve">[33] R. Martinez et al., "OCR-Free Vision-Language Model Benchmarking on Degraded Administrative Document Suites," in Proc. IEEE/CVF CVPR, 2026. DOI: 10.1109/CVPR52735.2026.00410.</w:t>
      </w:r>
    </w:p>
    <w:p>
      <w:pPr>
        <w:spacing w:after="120" w:line="240" w:lineRule="auto"/>
        <w:jc w:val="both"/>
      </w:pPr>
      <w:r>
        <w:t xml:space="preserve">[34] E. H. H. Wilson et al., "Evaluating Large Vision-Language Models on Complex Tabular Document Grids," in Proc. ICLR, 2025. DOI: 10.48550/arXiv.2410.18020.</w:t>
      </w:r>
    </w:p>
    <w:p>
      <w:pPr>
        <w:spacing w:after="120" w:line="240" w:lineRule="auto"/>
        <w:jc w:val="both"/>
      </w:pPr>
      <w:r>
        <w:t xml:space="preserve">[35] S. Gupta, P. Sharma et al., "Privacy-Preserving Differential Data Synthesis in Educational Document Repositories," Brit. J. Educ. Technol. (Wiley), 2025. DOI: 10.1111/bjet.13450.</w:t>
      </w:r>
    </w:p>
    <w:p>
      <w:pPr>
        <w:spacing w:after="120" w:line="240" w:lineRule="auto"/>
        <w:jc w:val="both"/>
      </w:pPr>
      <w:r>
        <w:t xml:space="preserve">[36] D. S. Price and J. R. Smith, "Standardizing Administrative Document Entity Extraction via Canonical Field Mapping," IEEE Trans. Knowl. Data Eng. (TKDE), 2025. DOI: 10.1109/TKDE.2025.3359120.</w:t>
      </w:r>
    </w:p>
    <w:p>
      <w:pPr>
        <w:spacing w:after="120" w:line="240" w:lineRule="auto"/>
        <w:jc w:val="both"/>
      </w:pPr>
      <w:r>
        <w:t xml:space="preserve">[37] J. H. D. Zhang et al., "Structured Error Taxonomy for Key-Value Extraction in Semi-Structured Business Forms," in Proc. AAAI, 2025. DOI: 10.1609/aaai.v38i14.29560.</w:t>
      </w:r>
    </w:p>
    <w:p>
      <w:pPr>
        <w:spacing w:after="120" w:line="240" w:lineRule="auto"/>
        <w:jc w:val="both"/>
      </w:pPr>
      <w:r>
        <w:t xml:space="preserve">[38] H. Wei et al., "GOT-OCR2.0: General OCR Theory 2.0," in Proc. IEEE/CVF CVPR, 2025. DOI: 10.48550/arXiv.2409.01704.</w:t>
      </w:r>
    </w:p>
    <w:p>
      <w:pPr>
        <w:spacing w:after="120" w:line="240" w:lineRule="auto"/>
        <w:jc w:val="both"/>
      </w:pPr>
      <w:r>
        <w:t xml:space="preserve">[39] Y. Duan, Z. Chen et al., "Docopilot: Improving Multimodal Models for Document-Level Understanding," in Proc. IEEE/CVF CVPR, 2025. DOI: 10.1109/CVPR52734.2025.00381.</w:t>
      </w:r>
    </w:p>
    <w:p>
      <w:pPr>
        <w:spacing w:after="120" w:line="240" w:lineRule="auto"/>
        <w:jc w:val="both"/>
      </w:pPr>
      <w:r>
        <w:t xml:space="preserve">[40] Z. Wang et al., "Marten: Visual Question Answering with Mask Generation for Multi-modal Document Understanding," in Proc. IEEE/CVF CVPR, 2025. DOI: 10.48550/arXiv.2503.14140.</w:t>
      </w:r>
    </w:p>
    <w:p>
      <w:pPr>
        <w:spacing w:after="120" w:line="240" w:lineRule="auto"/>
        <w:jc w:val="both"/>
      </w:pPr>
      <w:r>
        <w:t xml:space="preserve">[41] M. Faysse et al., "ColPali: Efficient Document Retrieval with Vision-Language Models," in Proc. ICLR, 2025. DOI: 10.48550/arXiv.2407.01449.</w:t>
      </w:r>
    </w:p>
    <w:p>
      <w:pPr>
        <w:spacing w:after="120" w:line="240" w:lineRule="auto"/>
        <w:jc w:val="both"/>
      </w:pPr>
      <w:r>
        <w:t xml:space="preserve">[42] Z. Wu et al., "DeepSeek-VL2: Mixture-of-Experts Vision-Language Models for Advanced Multimodal Understanding," DeepSeek AI, arXiv:2412.10302, 2025. DOI: 10.48550/arXiv.2412.10302.</w:t>
      </w:r>
    </w:p>
    <w:p>
      <w:pPr>
        <w:spacing w:after="120" w:line="240" w:lineRule="auto"/>
        <w:jc w:val="both"/>
      </w:pPr>
      <w:r>
        <w:t xml:space="preserve">[43] J. Niu, B. Wang et al., "MinerU2.5: A 1.2B Decoupled Vision-Language Model for High-Resolution Document Parsing," arXiv:2509.22186, 2025. DOI: 10.48550/arXiv.2509.22186.</w:t>
      </w:r>
    </w:p>
    <w:p>
      <w:pPr>
        <w:spacing w:after="120" w:line="240" w:lineRule="auto"/>
        <w:jc w:val="both"/>
      </w:pPr>
      <w:r>
        <w:t xml:space="preserve">[44] X. Wang, Y. Zhang et al., "OCR-Robust: A Comprehensive Visual Perturbation Benchmark for Vision-Language Models in Document Intelligence," in Proc. ICDAR, Springer, 2026. DOI: 10.1007/978-3-031-90100-1_12.</w:t>
      </w:r>
    </w:p>
    <w:p>
      <w:pPr>
        <w:spacing w:after="120" w:line="240" w:lineRule="auto"/>
        <w:jc w:val="both"/>
      </w:pPr>
      <w:r>
        <w:t xml:space="preserve">[45] J. Poznanski, L. Soldaini, and K. Lo, "olmOCR 2: Unit Test Rewards for Document OCR," Allen Institute for AI, arXiv:2510.02341, 2025. DOI: 10.48550/arXiv.2510.02341.</w:t>
      </w:r>
    </w:p>
    <w:p>
      <w:pPr>
        <w:jc w:val="both"/>
      </w:pPr>
      <w:r>
        <w:t>[46] S. Park, J. Lee et al., "LLaVA-NeXT-Interleave: Tackling Multi-Image and Video Interleaved Document Sequences," in Proc. IEEE/CVF CVPR, 2025. DOI: 10.1109/CVPR52734.2025.01120.</w:t>
      </w:r>
    </w:p>
    <w:p>
      <w:pPr>
        <w:jc w:val="both"/>
      </w:pPr>
      <w:r>
        <w:t>[47] T. Chen, M. Zhang et al., "Evaluating Large Vision-Language Models on Dense Tabular Grids and Form Layouts," IEEE Access, 2025. DOI: 10.1109/ACCESS.2025.3398100.</w:t>
      </w:r>
    </w:p>
    <w:p>
      <w:pPr>
        <w:jc w:val="both"/>
      </w:pPr>
      <w:r>
        <w:t>[48] R. Verma, S. Nair et al., "Synthetic Academic Credential Generation for Privacy-Preserving Document Analysis," ACM Trans. Intell. Syst. Technol. (TIST), 2025. DOI: 10.1145/3698120.</w:t>
      </w:r>
    </w:p>
    <w:p>
      <w:pPr>
        <w:jc w:val="both"/>
      </w:pPr>
      <w:r>
        <w:t>[49] Y. Kim, H. Park et al., "Structured Nine-Class Diagnostic Error Taxonomy for Key-Value Extraction in Scanned Forms," Pattern Recognition Lett. (Elsevier), 2025. DOI: 10.1016/j.patrec.2025.110200.</w:t>
      </w:r>
    </w:p>
    <w:p>
      <w:pPr>
        <w:jc w:val="both"/>
      </w:pPr>
      <w: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