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F360B">
      <w:pPr>
        <w:spacing w:before="280" w:after="160"/>
        <w:jc w:val="center"/>
      </w:pPr>
      <w:bookmarkStart w:id="0" w:name="_GoBack"/>
      <w:bookmarkEnd w:id="0"/>
      <w:r>
        <w:rPr>
          <w:rFonts w:ascii="Times New Roman" w:hAnsi="Times New Roman"/>
          <w:b/>
          <w:color w:val="003366"/>
          <w:sz w:val="40"/>
        </w:rPr>
        <w:t>ADBG v1.0 &amp; AU DIC Benchmark Evaluation Framework: A Reproducible Synthetic Benchmark Suite and Normalization Pipeline for Academic Document Intelligence</w:t>
      </w:r>
    </w:p>
    <w:p w14:paraId="547EAF43">
      <w:pPr>
        <w:spacing w:before="40" w:after="80" w:line="276" w:lineRule="auto"/>
      </w:pPr>
      <w:r>
        <w:t>Kushagra Singh Bhadauria¹, Aashish Rajput¹, and Avdesh Kumar Sah¹
¹Department of Computer Science and Engineering, Sharda University, Greater Noida, Uttar Pradesh, India
Emails: 2023361009.kushagra@ug.sharda.ac.in, 2023329421.aashish@ug.sharda.ac.in, 2023265132.avdesh@ug.sharda.ac.in</w:t>
      </w:r>
    </w:p>
    <w:p w14:paraId="15AA14C8">
      <w:pPr>
        <w:keepNext/>
        <w:spacing w:before="280" w:after="120"/>
      </w:pPr>
      <w:r>
        <w:rPr>
          <w:rFonts w:ascii="Times New Roman" w:hAnsi="Times New Roman"/>
          <w:b/>
          <w:color w:val="003366"/>
          <w:sz w:val="26"/>
        </w:rPr>
        <w:t>Abstract</w:t>
      </w:r>
    </w:p>
    <w:p w14:paraId="60F0607A">
      <w:pPr>
        <w:spacing w:before="40" w:after="80" w:line="276" w:lineRule="auto"/>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synthetic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14:paraId="01FA128A">
      <w:pPr>
        <w:spacing w:before="40" w:after="80" w:line="276" w:lineRule="auto"/>
      </w:pPr>
      <m:oMath>
        <m:r>
          <m:rPr/>
          <w:rPr>
            <w:rFonts w:ascii="Cambria Math" w:hAnsi="Cambria Math"/>
          </w:rPr>
          <m:t>3</m:t>
        </m:r>
        <m:r>
          <m:rPr/>
          <w:rPr>
            <w:rFonts w:ascii="Times New Roman" w:hAnsi="Times New Roman"/>
          </w:rPr>
          <m:t>categories</m:t>
        </m:r>
        <m:r>
          <m:rPr/>
          <w:rPr>
            <w:rFonts w:ascii="Cambria Math" w:hAnsi="Cambria Math"/>
          </w:rPr>
          <m:t>×30</m:t>
        </m:r>
        <m:r>
          <m:rPr/>
          <w:rPr>
            <w:rFonts w:ascii="Times New Roman" w:hAnsi="Times New Roman"/>
          </w:rPr>
          <m:t>instances</m:t>
        </m:r>
        <m:r>
          <m:rPr/>
          <w:rPr>
            <w:rFonts w:ascii="Cambria Math" w:hAnsi="Cambria Math"/>
          </w:rPr>
          <m:t>×4</m:t>
        </m:r>
        <m:r>
          <m:rPr/>
          <w:rPr>
            <w:rFonts w:ascii="Times New Roman" w:hAnsi="Times New Roman"/>
          </w:rPr>
          <m:t>degradation profiles</m:t>
        </m:r>
      </m:oMath>
      <w:r>
        <w:t>We evaluate the benchmark suite across 360 specimens (24,480 paired field observations (360 specimens x variable field evaluation attributes (33 for certificates and student IDs; 138 for marksheets))).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17.19% Field Extraction F1 score and 82.76% Character Error Rate (CER) (89.27% field-level CER) under zero-shot prompting across all degradation profiles. Furthermore, category classification achieved 100.00% accuracy across all document types, while fine-grained entity extraction achieved 17.19% F1 score due to missing fields and OCR errors. The benchmark eliminates the need for real student records by using deterministic synthetic academic credential generation with complete ground-truth annotations. The evaluation baseline executes end-to-end neural document intelligence inference (Option A) across 360 document specimens under strict real-inference enforcement without mock fallback. This work provides a reproducible, synthetic-data-based foundation for benchmarking academic document analysis systems.</w:t>
      </w:r>
    </w:p>
    <w:p w14:paraId="5724F261">
      <w:pPr>
        <w:spacing w:before="280" w:after="120"/>
        <w:jc w:val="center"/>
      </w:pPr>
      <w:r>
        <w:rPr>
          <w:rFonts w:ascii="Times New Roman" w:hAnsi="Times New Roman"/>
          <w:b/>
          <w:sz w:val="26"/>
        </w:rPr>
        <w:t>CONTENTS</w:t>
      </w:r>
    </w:p>
    <w:p w14:paraId="0E30ADAF">
      <w:pPr>
        <w:spacing w:after="240"/>
      </w:pPr>
      <w:r>
        <w:fldChar w:fldCharType="begin"/>
      </w:r>
      <w:r>
        <w:instrText xml:space="preserve">TOC \o "1-2" \h \z \u</w:instrText>
      </w:r>
      <w:r>
        <w:fldChar w:fldCharType="separate"/>
      </w:r>
      <w:r>
        <w:rPr>
          <w:b/>
        </w:rPr>
        <w:t>Error. No table of contents entries found.</w:t>
      </w:r>
      <w:r>
        <w:fldChar w:fldCharType="end"/>
      </w:r>
    </w:p>
    <w:p w14:paraId="2A2B8802">
      <w:pPr>
        <w:spacing w:before="40" w:after="80" w:line="276" w:lineRule="auto"/>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Benchmark Evaluation.</w:t>
      </w:r>
    </w:p>
    <w:p w14:paraId="3F76657E">
      <w:pPr>
        <w:keepNext/>
        <w:spacing w:before="280" w:after="120"/>
      </w:pPr>
      <w:r>
        <w:rPr>
          <w:rFonts w:ascii="Times New Roman" w:hAnsi="Times New Roman"/>
          <w:b/>
          <w:color w:val="003366"/>
          <w:sz w:val="26"/>
        </w:rPr>
        <w:t>1. Introduction</w:t>
      </w:r>
    </w:p>
    <w:p w14:paraId="1472CF58">
      <w:pPr>
        <w:keepNext/>
        <w:spacing w:before="200" w:after="80"/>
      </w:pPr>
      <w:r>
        <w:rPr>
          <w:rFonts w:ascii="Times New Roman" w:hAnsi="Times New Roman"/>
          <w:b/>
          <w:color w:val="333333"/>
          <w:sz w:val="23"/>
        </w:rPr>
        <w:t>1.1 Background &amp; Motivation</w:t>
      </w:r>
    </w:p>
    <w:p w14:paraId="68481526">
      <w:pPr>
        <w:spacing w:before="40" w:after="80" w:line="276" w:lineRule="auto"/>
      </w:pPr>
      <w:r>
        <w:rPr>
          <w:rFonts w:ascii="Times New Roman" w:hAnsi="Times New Roman"/>
          <w:sz w:val="20"/>
        </w:rPr>
        <w:t>Document Intelligence Systems (DIS) process semi-structured administrative documents across financial, legal, and educational domains [1]–[5]. In higher education administration, verifying academic degree certificates, semester marksheets, official transcripts, and student identity cards is essential for automated admissions processing, credit transfers, and credential authentication [26], [28], [35].</w:t>
      </w:r>
    </w:p>
    <w:p w14:paraId="54545C66">
      <w:pPr>
        <w:spacing w:before="40" w:after="80" w:line="276" w:lineRule="auto"/>
      </w:pPr>
      <w:r>
        <w:rPr>
          <w:rFonts w:ascii="Times New Roman" w:hAnsi="Times New Roman"/>
          <w:sz w:val="20"/>
        </w:rPr>
        <w:t>Despite recent advances in Large Language Models (LLMs) and Vision-Language Models (VLMs) [9]–[15], [32]–[34], benchmarking document extraction algorithms on academic records presents three fundamental methodological obstacles:</w:t>
      </w:r>
    </w:p>
    <w:p w14:paraId="1556BEBE">
      <w:pPr>
        <w:spacing w:before="20" w:after="40"/>
        <w:ind w:left="360"/>
      </w:pPr>
      <w:r>
        <w:rPr>
          <w:rFonts w:ascii="Times New Roman" w:hAnsi="Times New Roman"/>
          <w:b/>
          <w:sz w:val="20"/>
        </w:rPr>
        <w:t>1. Privacy &amp; Statutory Regulatory Barriers</w:t>
      </w:r>
      <w:r>
        <w:rPr>
          <w:rFonts w:ascii="Times New Roman" w:hAnsi="Times New Roman"/>
          <w:sz w:val="20"/>
        </w:rPr>
        <w:t>: Statutory regulations—such as FERPA in the United States and GDPR in the European Union—prohibit the public distribution of authentic student academic records containing personally identifiable information (PII) [17], [28], [35].</w:t>
      </w:r>
    </w:p>
    <w:p w14:paraId="622959E9">
      <w:pPr>
        <w:spacing w:before="20" w:after="40"/>
        <w:ind w:left="360"/>
      </w:pPr>
      <w:r>
        <w:rPr>
          <w:rFonts w:ascii="Times New Roman" w:hAnsi="Times New Roman"/>
          <w:b/>
          <w:sz w:val="20"/>
        </w:rPr>
        <w:t>2. 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 [29].</w:t>
      </w:r>
    </w:p>
    <w:p w14:paraId="020FA763">
      <w:pPr>
        <w:spacing w:before="20" w:after="40"/>
        <w:ind w:left="360"/>
      </w:pPr>
      <w:r>
        <w:rPr>
          <w:rFonts w:ascii="Times New Roman" w:hAnsi="Times New Roman"/>
          <w:b/>
          <w:sz w:val="20"/>
        </w:rPr>
        <w:t>3. Superficial Formatting Discrepancies</w:t>
      </w:r>
      <w:r>
        <w:rPr>
          <w:rFonts w:ascii="Times New Roman" w:hAnsi="Times New Roman"/>
          <w:sz w:val="20"/>
        </w:rPr>
        <w:t>: Standard string comparison metrics (e.g., raw string matching) incorrectly penalize minor representation variations (e.g., 2026-08-04 vs August 4, 2026), distorting extraction accuracy evaluations [25], [36].</w:t>
      </w:r>
    </w:p>
    <w:p w14:paraId="31E6DB94">
      <w:pPr>
        <w:spacing w:before="40" w:after="80" w:line="276" w:lineRule="auto"/>
      </w:pPr>
      <w:r>
        <w:rPr>
          <w:rFonts w:ascii="Times New Roman" w:hAnsi="Times New Roman"/>
          <w:sz w:val="20"/>
        </w:rPr>
        <w: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 [26], [35].</w:t>
      </w:r>
    </w:p>
    <w:p w14:paraId="5B470FB9">
      <w:pPr>
        <w:keepNext/>
        <w:spacing w:before="200" w:after="80"/>
      </w:pPr>
      <w:r>
        <w:rPr>
          <w:rFonts w:ascii="Times New Roman" w:hAnsi="Times New Roman"/>
          <w:b/>
          <w:color w:val="333333"/>
          <w:sz w:val="23"/>
        </w:rPr>
        <w:t>1.2 Research Objectives</w:t>
      </w:r>
    </w:p>
    <w:p w14:paraId="613B7587">
      <w:pPr>
        <w:spacing w:before="40" w:after="80" w:line="276" w:lineRule="auto"/>
      </w:pPr>
      <w:r>
        <w:rPr>
          <w:rFonts w:ascii="Times New Roman" w:hAnsi="Times New Roman"/>
          <w:sz w:val="20"/>
        </w:rPr>
        <w:t>To address these challenges, this study establishes a reproducible methodology for synthetic dataset generation and semantic performance evaluation [31]. Specifically, we focus on:</w:t>
      </w:r>
    </w:p>
    <w:p w14:paraId="05DC4B18">
      <w:pPr>
        <w:pStyle w:val="23"/>
        <w:spacing w:before="20" w:after="40"/>
      </w:pPr>
      <w:r>
        <w:rPr>
          <w:rFonts w:ascii="Times New Roman" w:hAnsi="Times New Roman"/>
          <w:b/>
          <w:sz w:val="20"/>
        </w:rPr>
        <w:t>O1</w:t>
      </w:r>
      <w:r>
        <w:rPr>
          <w:rFonts w:ascii="Times New Roman" w:hAnsi="Times New Roman"/>
          <w:sz w:val="20"/>
        </w:rPr>
        <w:t>: Developing a deterministic synthetic data generator capable of rendering diverse academic credentials with pixel-exact ground truth annotations without relying on real student records.</w:t>
      </w:r>
    </w:p>
    <w:p w14:paraId="766C9EEA">
      <w:pPr>
        <w:pStyle w:val="23"/>
        <w:spacing w:before="20" w:after="40"/>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14:paraId="37D3ED50">
      <w:pPr>
        <w:pStyle w:val="23"/>
        <w:spacing w:before="20" w:after="40"/>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14:paraId="783A5158">
      <w:pPr>
        <w:keepNext/>
        <w:spacing w:before="200" w:after="80"/>
      </w:pPr>
      <w:r>
        <w:rPr>
          <w:rFonts w:ascii="Times New Roman" w:hAnsi="Times New Roman"/>
          <w:b/>
          <w:color w:val="333333"/>
          <w:sz w:val="23"/>
        </w:rPr>
        <w:t>1.3 Main Research Contributions</w:t>
      </w:r>
    </w:p>
    <w:p w14:paraId="015EEB7A">
      <w:pPr>
        <w:spacing w:before="40" w:after="80" w:line="276" w:lineRule="auto"/>
      </w:pPr>
      <w:r>
        <w:rPr>
          <w:rFonts w:ascii="Times New Roman" w:hAnsi="Times New Roman"/>
          <w:sz w:val="20"/>
        </w:rPr>
        <w:t>The primary contributions of this work are summarized as follows:</w:t>
      </w:r>
    </w:p>
    <w:p w14:paraId="1C461AB5">
      <w:pPr>
        <w:spacing w:before="20" w:after="40"/>
        <w:ind w:left="360"/>
      </w:pPr>
      <w:r>
        <w:rPr>
          <w:rFonts w:ascii="Times New Roman" w:hAnsi="Times New Roman"/>
          <w:b/>
          <w:sz w:val="20"/>
        </w:rPr>
        <w:t>1. Synthetic Academic Credential Benchmark Generator</w:t>
      </w:r>
      <w:r>
        <w:rPr>
          <w:rFonts w:ascii="Times New Roman" w:hAnsi="Times New Roman"/>
          <w:sz w:val="20"/>
        </w:rPr>
        <w:t>: A seed-deterministic synthetic benchmark generation methodology for academic document intelligence that enables reproducible evaluation while eliminating the need for real student records (ADBG v1.0) [26], [35].</w:t>
      </w:r>
    </w:p>
    <w:p w14:paraId="4500592A">
      <w:pPr>
        <w:spacing w:before="20" w:after="40"/>
        <w:ind w:left="360"/>
      </w:pPr>
      <w:r>
        <w:rPr>
          <w:rFonts w:ascii="Times New Roman" w:hAnsi="Times New Roman"/>
          <w:b/>
          <w:sz w:val="20"/>
        </w:rPr>
        <w:t>2. AU DIC Evaluation Subsystem</w:t>
      </w:r>
      <w:r>
        <w:rPr>
          <w:rFonts w:ascii="Times New Roman" w:hAnsi="Times New Roman"/>
          <w:sz w:val="20"/>
        </w:rPr>
        <w:t>: A decoupled, strictly read-only benchmark execution engine that evaluates document processing pipelines without modifying production data stores [31].</w:t>
      </w:r>
    </w:p>
    <w:p w14:paraId="5DDDB933">
      <w:pPr>
        <w:spacing w:before="20" w:after="40"/>
        <w:ind w:left="360"/>
      </w:pPr>
      <w:r>
        <w:rPr>
          <w:rFonts w:ascii="Times New Roman" w:hAnsi="Times New Roman"/>
          <w:b/>
          <w:sz w:val="20"/>
        </w:rPr>
        <w:t>3. 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 [25], [36].</w:t>
      </w:r>
    </w:p>
    <w:p w14:paraId="71AC79BD">
      <w:pPr>
        <w:spacing w:before="20" w:after="40"/>
        <w:ind w:left="360"/>
      </w:pPr>
      <w:r>
        <w:rPr>
          <w:rFonts w:ascii="Times New Roman" w:hAnsi="Times New Roman"/>
          <w:b/>
          <w:sz w:val="20"/>
        </w:rPr>
        <w:t>4. 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 [28], [37].</w:t>
      </w:r>
    </w:p>
    <w:p w14:paraId="5015A743">
      <w:pPr>
        <w:spacing w:before="20" w:after="40"/>
        <w:ind w:left="360"/>
      </w:pPr>
      <w:r>
        <w:t>5. Quality Profile Robustness Framework: A controlled optical quality-profile degradation matrix across four standardized profiles (clean, scanner_copy, mobile_camera, rotated_90) [27], [30], [33], designed to quantify extraction decay in image-based evaluations. The Option A evaluation baseline executes end-to-end neural document intelligence inference across all optical degradation profiles.</w:t>
      </w:r>
    </w:p>
    <w:p w14:paraId="3197BF30">
      <w:pPr>
        <w:keepNext/>
        <w:spacing w:before="200" w:after="80"/>
      </w:pPr>
      <w:r>
        <w:rPr>
          <w:rFonts w:ascii="Times New Roman" w:hAnsi="Times New Roman"/>
          <w:b/>
          <w:color w:val="333333"/>
          <w:sz w:val="23"/>
        </w:rPr>
        <w:t>1.4 Scientific Novelty Statement</w:t>
      </w:r>
    </w:p>
    <w:p w14:paraId="3E9A9469">
      <w:pPr>
        <w:spacing w:before="40" w:after="80" w:line="276" w:lineRule="auto"/>
      </w:pPr>
      <w:r>
        <w:rPr>
          <w:rFonts w:ascii="Times New Roman" w:hAnsi="Times New Roman"/>
          <w:sz w:val="20"/>
        </w:rPr>
        <w: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w:t>
      </w:r>
    </w:p>
    <w:p w14:paraId="26048763">
      <w:pPr>
        <w:spacing w:before="40" w:after="80" w:line="276" w:lineRule="auto"/>
      </w:pPr>
      <w:r>
        <w:rPr>
          <w:rFonts w:ascii="Times New Roman" w:hAnsi="Times New Roman"/>
          <w:sz w:val="20"/>
        </w:rPr>
        <w:t>The primary scientific contribution of this work lies in establishing a standardized evaluation methodology for Document Intelligence Systems (DIS) operating in administrative credential domains where authentic student records are statutorily restricted [28]. Previous benchmark contributions in document analysis (e.g., SROIE [2], CORD [3], FUNSD [4], DocVQA [5]) evaluate models on static document collections. In contrast, academic credential evaluation requires resolving statutory privacy constraints while insulating performance metrics from superficial representation variations [25], [36].</w:t>
      </w:r>
    </w:p>
    <w:p w14:paraId="63521041">
      <w:pPr>
        <w:spacing w:before="40" w:after="80" w:line="276" w:lineRule="auto"/>
      </w:pPr>
      <w:r>
        <w:t>By integrating five interdependent methodological components-seed-deterministic synthetic rendering, multi-profile optical degradation, decoupled read-only execution, multi-stage semantic canonicalization, and a structured diagnostic error taxonomy-into a single protocol [31], this work establishes a reproducible foundation to evaluate document analysis pipelines under controlled experimental conditions. The evaluation protocol executes end-to-end neural document intelligence inference under Option A across 360 specimens and 24,480 paired field observations.</w:t>
      </w:r>
    </w:p>
    <w:p w14:paraId="0087EA3C">
      <w:pPr>
        <w:keepNext/>
        <w:spacing w:before="200" w:after="80"/>
      </w:pPr>
      <w:r>
        <w:rPr>
          <w:rFonts w:ascii="Times New Roman" w:hAnsi="Times New Roman"/>
          <w:b/>
          <w:color w:val="333333"/>
          <w:sz w:val="23"/>
        </w:rPr>
        <w:t>1.5 Paper Organization</w:t>
      </w:r>
    </w:p>
    <w:p w14:paraId="08A2492D">
      <w:pPr>
        <w:spacing w:before="40" w:after="80" w:line="276" w:lineRule="auto"/>
      </w:pPr>
      <w:r>
        <w:rPr>
          <w:rFonts w:ascii="Times New Roman" w:hAnsi="Times New Roman"/>
          <w:sz w:val="20"/>
        </w:rPr>
        <w:t>The remainder of this paper is organized as follows. Section 2 surveys related work and outlines the research gap. Section 3 details the proposed methodology, including overall framework architecture, ADBG synthetic benchmark generation, the AU DIC evaluation framework, the semantic canonical normalization layer, and the nine-class structured OCR error taxonomy. Section 4 specifies the experimental setup, dataset composition, evaluation protocol, and metrics. Section 5 presents empirical validation results, statistical hypothesis testing, and ablation studies.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and B provide reproducibility specifications and technical answers to reviewer inquiries.</w:t>
      </w:r>
    </w:p>
    <w:p w14:paraId="292043FF">
      <w:pPr>
        <w:keepNext/>
        <w:spacing w:before="280" w:after="120"/>
      </w:pPr>
      <w:r>
        <w:rPr>
          <w:rFonts w:ascii="Times New Roman" w:hAnsi="Times New Roman"/>
          <w:b/>
          <w:color w:val="003366"/>
          <w:sz w:val="26"/>
        </w:rPr>
        <w:t>2. Related Work</w:t>
      </w:r>
    </w:p>
    <w:p w14:paraId="65EAE46E">
      <w:pPr>
        <w:keepNext/>
        <w:spacing w:before="200" w:after="80"/>
      </w:pPr>
      <w:r>
        <w:rPr>
          <w:rFonts w:ascii="Times New Roman" w:hAnsi="Times New Roman"/>
          <w:b/>
          <w:color w:val="333333"/>
          <w:sz w:val="23"/>
        </w:rPr>
        <w:t>2.1 Foundational Document AI &amp; Classical Benchmarks (Historical Context)</w:t>
      </w:r>
    </w:p>
    <w:p w14:paraId="189F7A1A">
      <w:pPr>
        <w:spacing w:before="40" w:after="80" w:line="276" w:lineRule="auto"/>
      </w:pPr>
      <w:r>
        <w:rPr>
          <w:rFonts w:ascii="Times New Roman" w:hAnsi="Times New Roman"/>
          <w:sz w:val="20"/>
        </w:rPr>
        <w:t>Early research in Document Artificial Intelligence (Document AI) focused on classical optical character recognition engines (e.g., Tesseract [18], line-finding LSTM RNNs), historical document binarization ensembles [16], and rule-based key-value parsing across static receipt and administrative form datasets:</w:t>
      </w:r>
    </w:p>
    <w:p w14:paraId="5B2DA315">
      <w:pPr>
        <w:pStyle w:val="23"/>
        <w:spacing w:before="20" w:after="40"/>
      </w:pPr>
      <w:r>
        <w:rPr>
          <w:rFonts w:ascii="Times New Roman" w:hAnsi="Times New Roman"/>
          <w:b/>
          <w:sz w:val="20"/>
        </w:rPr>
        <w:t>Receipt &amp; Invoice Parsing</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[2] and </w:t>
      </w:r>
      <w:r>
        <w:rPr>
          <w:rFonts w:ascii="Times New Roman" w:hAnsi="Times New Roman"/>
          <w:b/>
          <w:sz w:val="20"/>
        </w:rPr>
        <w:t>CORD</w:t>
      </w:r>
      <w:r>
        <w:rPr>
          <w:rFonts w:ascii="Times New Roman" w:hAnsi="Times New Roman"/>
          <w:sz w:val="20"/>
        </w:rPr>
        <w:t xml:space="preserve"> [3] established standard benchmark datasets for point-of-sale receipt entity extraction.</w:t>
      </w:r>
    </w:p>
    <w:p w14:paraId="0B5175A7">
      <w:pPr>
        <w:pStyle w:val="23"/>
        <w:spacing w:before="20" w:after="40"/>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[4] introduced key-value pair and spatial entity link annotations for noisy scanned forms.</w:t>
      </w:r>
    </w:p>
    <w:p w14:paraId="1C1B2E13">
      <w:pPr>
        <w:pStyle w:val="23"/>
        <w:spacing w:before="20" w:after="40"/>
      </w:pPr>
      <w:r>
        <w:rPr>
          <w:rFonts w:ascii="Times New Roman" w:hAnsi="Times New Roman"/>
          <w:b/>
          <w:sz w:val="20"/>
        </w:rPr>
        <w:t>Document Image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[1] benchmarked multi-class document page classification across 16 commercial form categories.</w:t>
      </w:r>
    </w:p>
    <w:p w14:paraId="22EABA03">
      <w:pPr>
        <w:pStyle w:val="23"/>
        <w:spacing w:before="20" w:after="40"/>
      </w:pPr>
      <w:r>
        <w:rPr>
          <w:rFonts w:ascii="Times New Roman" w:hAnsi="Times New Roman"/>
          <w:b/>
          <w:sz w:val="20"/>
        </w:rPr>
        <w:t>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[5] introduced visual question answering over complex mixed document pages.</w:t>
      </w:r>
    </w:p>
    <w:p w14:paraId="09808609">
      <w:pPr>
        <w:spacing w:before="40" w:after="80" w:line="276" w:lineRule="auto"/>
      </w:pPr>
      <w:r>
        <w:rPr>
          <w:rFonts w:ascii="Times New Roman" w:hAnsi="Times New Roman"/>
          <w:sz w:val="20"/>
        </w:rPr>
        <w:t xml:space="preserve">To process these document datasets, early multi-modal architectures combined visual features, OCR text, and 2D spatial bounding box coordinates. </w:t>
      </w:r>
      <w:r>
        <w:rPr>
          <w:rFonts w:ascii="Times New Roman" w:hAnsi="Times New Roman"/>
          <w:b/>
          <w:sz w:val="20"/>
        </w:rPr>
        <w:t>LayoutLMv3</w:t>
      </w:r>
      <w:r>
        <w:rPr>
          <w:rFonts w:ascii="Times New Roman" w:hAnsi="Times New Roman"/>
          <w:sz w:val="20"/>
        </w:rPr>
        <w:t xml:space="preserve"> [6] integrated text and image token masking for multimodal alignment, while sequence-to-sequence architectures such as </w:t>
      </w:r>
      <w:r>
        <w:rPr>
          <w:rFonts w:ascii="Times New Roman" w:hAnsi="Times New Roman"/>
          <w:b/>
          <w:sz w:val="20"/>
        </w:rPr>
        <w:t>TrOCR</w:t>
      </w:r>
      <w:r>
        <w:rPr>
          <w:rFonts w:ascii="Times New Roman" w:hAnsi="Times New Roman"/>
          <w:sz w:val="20"/>
        </w:rPr>
        <w:t xml:space="preserve"> [8] and OCR-free transformers like </w:t>
      </w:r>
      <w:r>
        <w:rPr>
          <w:rFonts w:ascii="Times New Roman" w:hAnsi="Times New Roman"/>
          <w:b/>
          <w:sz w:val="20"/>
        </w:rPr>
        <w:t>Donut</w:t>
      </w:r>
      <w:r>
        <w:rPr>
          <w:rFonts w:ascii="Times New Roman" w:hAnsi="Times New Roman"/>
          <w:sz w:val="20"/>
        </w:rPr>
        <w:t xml:space="preserve"> [7] mapped page images directly to text sequences. However, these foundational benchmarks evaluated models primarily using raw string equality or unnormalized edit distances, failing to isolate genuine character recognition errors from superficial formatting discrepancies [25], [36].</w:t>
      </w:r>
    </w:p>
    <w:p w14:paraId="59C328F3">
      <w:pPr>
        <w:keepNext/>
        <w:spacing w:before="200" w:after="80"/>
      </w:pPr>
      <w:r>
        <w:rPr>
          <w:rFonts w:ascii="Times New Roman" w:hAnsi="Times New Roman"/>
          <w:b/>
          <w:color w:val="333333"/>
          <w:sz w:val="23"/>
        </w:rPr>
        <w:t>2.2 2025–2026 Vision-Language Models &amp; Multimodal Document Understanding</w:t>
      </w:r>
    </w:p>
    <w:p w14:paraId="3F983351">
      <w:pPr>
        <w:spacing w:before="40" w:after="80" w:line="276" w:lineRule="auto"/>
      </w:pPr>
      <w:r>
        <w:rPr>
          <w:rFonts w:ascii="Times New Roman" w:hAnsi="Times New Roman"/>
          <w:sz w:val="20"/>
        </w:rPr>
        <w:t>Recent 2025–2026 advancements in Large Multimodal Models (LMMs) and Vision-Language Models (VLMs) have significantly expanded document understanding capabilities:</w:t>
      </w:r>
    </w:p>
    <w:p w14:paraId="4607C032">
      <w:pPr>
        <w:pStyle w:val="23"/>
        <w:spacing w:before="20" w:after="40"/>
      </w:pPr>
      <w:r>
        <w:rPr>
          <w:rFonts w:ascii="Times New Roman" w:hAnsi="Times New Roman"/>
          <w:b/>
          <w:sz w:val="20"/>
        </w:rPr>
        <w:t>Unified Task Representations</w:t>
      </w:r>
      <w:r>
        <w:rPr>
          <w:rFonts w:ascii="Times New Roman" w:hAnsi="Times New Roman"/>
          <w:sz w:val="20"/>
        </w:rPr>
        <w:t xml:space="preserve">: </w:t>
      </w:r>
      <w:r>
        <w:rPr>
          <w:rFonts w:ascii="Times New Roman" w:hAnsi="Times New Roman"/>
          <w:b/>
          <w:sz w:val="20"/>
        </w:rPr>
        <w:t>Florence-2</w:t>
      </w:r>
      <w:r>
        <w:rPr>
          <w:rFonts w:ascii="Times New Roman" w:hAnsi="Times New Roman"/>
          <w:sz w:val="20"/>
        </w:rPr>
        <w:t xml:space="preserve"> [9] unified visual tasks into a sequence-to-sequence framework mapping spatial bounding boxes to text tokens.</w:t>
      </w:r>
    </w:p>
    <w:p w14:paraId="280CA75A">
      <w:pPr>
        <w:pStyle w:val="23"/>
        <w:spacing w:before="20" w:after="40"/>
      </w:pPr>
      <w:r>
        <w:rPr>
          <w:rFonts w:ascii="Times New Roman" w:hAnsi="Times New Roman"/>
          <w:b/>
          <w:sz w:val="20"/>
        </w:rPr>
        <w:t>High-Resolution Structural Embedding</w:t>
      </w:r>
      <w:r>
        <w:rPr>
          <w:rFonts w:ascii="Times New Roman" w:hAnsi="Times New Roman"/>
          <w:sz w:val="20"/>
        </w:rPr>
        <w:t xml:space="preserve">: </w:t>
      </w:r>
      <w:r>
        <w:rPr>
          <w:rFonts w:ascii="Times New Roman" w:hAnsi="Times New Roman"/>
          <w:b/>
          <w:sz w:val="20"/>
        </w:rPr>
        <w:t>mPLUG-DocOwl 2.0</w:t>
      </w:r>
      <w:r>
        <w:rPr>
          <w:rFonts w:ascii="Times New Roman" w:hAnsi="Times New Roman"/>
          <w:sz w:val="20"/>
        </w:rPr>
        <w:t xml:space="preserve"> [10] introduced crop-based visual embeddings and token compression for high-resolution document pages.</w:t>
      </w:r>
    </w:p>
    <w:p w14:paraId="0E4ED913">
      <w:pPr>
        <w:pStyle w:val="23"/>
        <w:spacing w:before="20" w:after="40"/>
      </w:pPr>
      <w:r>
        <w:rPr>
          <w:rFonts w:ascii="Times New Roman" w:hAnsi="Times New Roman"/>
          <w:b/>
          <w:sz w:val="20"/>
        </w:rPr>
        <w:t>Dynamic Resolution Encoders</w:t>
      </w:r>
      <w:r>
        <w:rPr>
          <w:rFonts w:ascii="Times New Roman" w:hAnsi="Times New Roman"/>
          <w:sz w:val="20"/>
        </w:rPr>
        <w:t xml:space="preserve">: </w:t>
      </w:r>
      <w:r>
        <w:rPr>
          <w:rFonts w:ascii="Times New Roman" w:hAnsi="Times New Roman"/>
          <w:b/>
          <w:sz w:val="20"/>
        </w:rPr>
        <w:t>Qwen2-VL</w:t>
      </w:r>
      <w:r>
        <w:rPr>
          <w:rFonts w:ascii="Times New Roman" w:hAnsi="Times New Roman"/>
          <w:sz w:val="20"/>
        </w:rPr>
        <w:t xml:space="preserve"> [11] implemented dynamic resolution NaViT encoders to process document images at native aspect ratios.</w:t>
      </w:r>
    </w:p>
    <w:p w14:paraId="36436E37">
      <w:pPr>
        <w:pStyle w:val="23"/>
        <w:spacing w:before="20" w:after="40"/>
      </w:pPr>
      <w:r>
        <w:rPr>
          <w:rFonts w:ascii="Times New Roman" w:hAnsi="Times New Roman"/>
          <w:b/>
          <w:sz w:val="20"/>
        </w:rPr>
        <w:t>Shifted Window Attention</w:t>
      </w:r>
      <w:r>
        <w:rPr>
          <w:rFonts w:ascii="Times New Roman" w:hAnsi="Times New Roman"/>
          <w:sz w:val="20"/>
        </w:rPr>
        <w:t xml:space="preserve">: </w:t>
      </w:r>
      <w:r>
        <w:rPr>
          <w:rFonts w:ascii="Times New Roman" w:hAnsi="Times New Roman"/>
          <w:b/>
          <w:sz w:val="20"/>
        </w:rPr>
        <w:t>TextMonkey</w:t>
      </w:r>
      <w:r>
        <w:rPr>
          <w:rFonts w:ascii="Times New Roman" w:hAnsi="Times New Roman"/>
          <w:sz w:val="20"/>
        </w:rPr>
        <w:t xml:space="preserve"> [12] introduced cross-window attention to alleviate tokenization bottlenecks in large document images.</w:t>
      </w:r>
    </w:p>
    <w:p w14:paraId="2A24C907">
      <w:pPr>
        <w:pStyle w:val="23"/>
        <w:spacing w:before="20" w:after="40"/>
      </w:pPr>
      <w:r>
        <w:rPr>
          <w:rFonts w:ascii="Times New Roman" w:hAnsi="Times New Roman"/>
          <w:b/>
          <w:sz w:val="20"/>
        </w:rPr>
        <w:t>Visual Vocabulary Enlargement</w:t>
      </w:r>
      <w:r>
        <w:rPr>
          <w:rFonts w:ascii="Times New Roman" w:hAnsi="Times New Roman"/>
          <w:sz w:val="20"/>
        </w:rPr>
        <w:t xml:space="preserve">: </w:t>
      </w:r>
      <w:r>
        <w:rPr>
          <w:rFonts w:ascii="Times New Roman" w:hAnsi="Times New Roman"/>
          <w:b/>
          <w:sz w:val="20"/>
        </w:rPr>
        <w:t>Vary</w:t>
      </w:r>
      <w:r>
        <w:rPr>
          <w:rFonts w:ascii="Times New Roman" w:hAnsi="Times New Roman"/>
          <w:sz w:val="20"/>
        </w:rPr>
        <w:t xml:space="preserve"> [19] expanded visual vocabulary tokens specifically for document text and chart parsing.</w:t>
      </w:r>
    </w:p>
    <w:p w14:paraId="5EAB8A02">
      <w:pPr>
        <w:pStyle w:val="23"/>
        <w:spacing w:before="20" w:after="40"/>
      </w:pPr>
      <w:r>
        <w:rPr>
          <w:rFonts w:ascii="Times New Roman" w:hAnsi="Times New Roman"/>
          <w:b/>
          <w:sz w:val="20"/>
        </w:rPr>
        <w:t>Layout-Aware Architectures</w:t>
      </w:r>
      <w:r>
        <w:rPr>
          <w:rFonts w:ascii="Times New Roman" w:hAnsi="Times New Roman"/>
          <w:sz w:val="20"/>
        </w:rPr>
        <w:t xml:space="preserve">: </w:t>
      </w:r>
      <w:r>
        <w:rPr>
          <w:rFonts w:ascii="Times New Roman" w:hAnsi="Times New Roman"/>
          <w:b/>
          <w:sz w:val="20"/>
        </w:rPr>
        <w:t>LayoutLLM</w:t>
      </w:r>
      <w:r>
        <w:rPr>
          <w:rFonts w:ascii="Times New Roman" w:hAnsi="Times New Roman"/>
          <w:sz w:val="20"/>
        </w:rPr>
        <w:t xml:space="preserve"> [13] integrated explicit spatial layout instruction tuning into open-weight LLMs, </w:t>
      </w:r>
      <w:r>
        <w:rPr>
          <w:rFonts w:ascii="Times New Roman" w:hAnsi="Times New Roman"/>
          <w:b/>
          <w:sz w:val="20"/>
        </w:rPr>
        <w:t>UDOP-v2</w:t>
      </w:r>
      <w:r>
        <w:rPr>
          <w:rFonts w:ascii="Times New Roman" w:hAnsi="Times New Roman"/>
          <w:sz w:val="20"/>
        </w:rPr>
        <w:t xml:space="preserve"> [14] unified text, vision, and layout pretraining, and </w:t>
      </w:r>
      <w:r>
        <w:rPr>
          <w:rFonts w:ascii="Times New Roman" w:hAnsi="Times New Roman"/>
          <w:b/>
          <w:sz w:val="20"/>
        </w:rPr>
        <w:t>LLaVA-NeXT-Doc</w:t>
      </w:r>
      <w:r>
        <w:rPr>
          <w:rFonts w:ascii="Times New Roman" w:hAnsi="Times New Roman"/>
          <w:sz w:val="20"/>
        </w:rPr>
        <w:t xml:space="preserve"> [15] established fine-grained document parsing.</w:t>
      </w:r>
    </w:p>
    <w:p w14:paraId="2429E4D2">
      <w:pPr>
        <w:pStyle w:val="23"/>
        <w:spacing w:before="20" w:after="40"/>
      </w:pPr>
      <w:r>
        <w:t>Fine-Grained Layout Attention &amp; Unified Tokenization: DocFormers 2.0 [32] introduced fine-grained multimodal layout attention, Wilson et al. [34] established evaluation benchmarks for vision-language models on complex tabular document grids, and Martinez et al. [33] benchmarked OCR-free vision-language architectures under physical image distortions.
End-to-End Document Parsing &amp; Open-Weight Advances: GOT-OCR2.0 [38] proposed a general OCR theory unifying scene text, document text, and formula recognition. Docopilot [39] and Marten [40] (both CVPR 2025) advanced multimodal models for document-level understanding and visual mask-based question answering. MinerU2.5 [43] introduced a 1.2B decoupled vision-language model for high-resolution document parsing, while olmOCR 2 [45] formulated unit-test-based reward signals for improving document OCR accuracy. For multimodal document retrieval, ColPali [41] proposed visually-grounded page-level retrieval using vision-language embeddings. DeepSeek-VL2 [42] proposed mixture-of-experts VLM architectures that substantially improve computational efficiency under multimodal document workloads. OCR-Robust [44] benchmarked VLM fragility specifically under 49 classes of real-world optical perturbations, directly informing the robustness profiling methodology adopted in AU DIC.</w:t>
      </w:r>
    </w:p>
    <w:p w14:paraId="57C1E4DA">
      <w:pPr>
        <w:spacing w:before="40" w:after="80" w:line="276" w:lineRule="auto"/>
      </w:pPr>
      <w:r>
        <w:rPr>
          <w:rFonts w:ascii="Times New Roman" w:hAnsi="Times New Roman"/>
          <w:b/>
          <w:sz w:val="20"/>
        </w:rPr>
        <w:t>Critical Comparative Synthesis</w:t>
      </w:r>
      <w:r>
        <w:rPr>
          <w:rFonts w:ascii="Times New Roman" w:hAnsi="Times New Roman"/>
          <w:sz w:val="20"/>
        </w:rPr>
        <w:t>: While 2025–2026 VLMs achieve high extraction accuracy on generic single-page documents, current evaluation benchmarks exhibit three key limitations when applied to academic credentials: (1) metrics rely on unnormalized string matching that penalizes benign representation differences (e.g., date syntax 2026-08-04 vs August 4, 2026); (2) benchmarks lack dedicated protocols for multi-column tabular grade arrays [29]; and (3) robustness is rarely evaluated across systematic physical optical degradation matrices [27], [30], [33].</w:t>
      </w:r>
    </w:p>
    <w:p w14:paraId="17A394DD">
      <w:pPr>
        <w:keepNext/>
        <w:spacing w:before="200" w:after="80"/>
      </w:pPr>
      <w:r>
        <w:rPr>
          <w:rFonts w:ascii="Times New Roman" w:hAnsi="Times New Roman"/>
          <w:b/>
          <w:color w:val="333333"/>
          <w:sz w:val="23"/>
        </w:rPr>
        <w:t>2.3 Synthetic Document Generation Paradigms (2024–2026)</w:t>
      </w:r>
    </w:p>
    <w:p w14:paraId="6C515E3E">
      <w:pPr>
        <w:spacing w:before="40" w:after="80" w:line="276" w:lineRule="auto"/>
      </w:pPr>
      <w:r>
        <w:rPr>
          <w:rFonts w:ascii="Times New Roman" w:hAnsi="Times New Roman"/>
          <w:sz w:val="20"/>
        </w:rPr>
        <w:t xml:space="preserve">To resolve privacy barriers enforced by educational data regulations (such as FERPA and GDPR [28], [35]), synthetic document generation has emerged as an essential data availability solution [17]. Fictional text rendering eliminates privacy risks while producing exact ground-truth annotations. Recent framework compilers like </w:t>
      </w:r>
      <w:r>
        <w:rPr>
          <w:rFonts w:ascii="Times New Roman" w:hAnsi="Times New Roman"/>
          <w:b/>
          <w:sz w:val="20"/>
        </w:rPr>
        <w:t>Typst</w:t>
      </w:r>
      <w:r>
        <w:rPr>
          <w:rFonts w:ascii="Times New Roman" w:hAnsi="Times New Roman"/>
          <w:sz w:val="20"/>
        </w:rPr>
        <w:t xml:space="preserve"> [29] enable vector PDF rendering with millimetre-exact layout control. ADBG v1.0 builds upon these paradigms by combining Typst template compilation with 14 physical optical degradation operators, producing synthetic credentials across four controlled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[26], [35].</w:t>
      </w:r>
    </w:p>
    <w:p w14:paraId="56A570CA">
      <w:pPr>
        <w:keepNext/>
        <w:spacing w:before="200" w:after="80"/>
      </w:pPr>
      <w:r>
        <w:rPr>
          <w:rFonts w:ascii="Times New Roman" w:hAnsi="Times New Roman"/>
          <w:b/>
          <w:color w:val="333333"/>
          <w:sz w:val="23"/>
        </w:rPr>
        <w:t>2.4 Benchmark Design Methodologies &amp; Optical Degradation Matrix</w:t>
      </w:r>
    </w:p>
    <w:p w14:paraId="16C8BB60">
      <w:pPr>
        <w:spacing w:before="40" w:after="80" w:line="276" w:lineRule="auto"/>
      </w:pPr>
      <w:r>
        <w:rPr>
          <w:rFonts w:ascii="Times New Roman" w:hAnsi="Times New Roman"/>
          <w:sz w:val="20"/>
        </w:rPr>
        <w:t>Standardized benchmark construction relies on strict reproducibility protocols, verified execution pipelines, and controlled degradation evaluation [30], [31]. Physical document capture introduces optical artifacts (e.g., scanner noise, camera skew, resolution loss [27]). Furthermore, isolating extraction failures requires domain-specific semantic canonical normalization [25], [36] and automated structured error categorization [28], [37]. The AU DIC framework integrates these principles into a read-only evaluation pipeline with ground-truth pairing.</w:t>
      </w:r>
    </w:p>
    <w:p w14:paraId="16F2ADF2">
      <w:pPr>
        <w:keepNext/>
        <w:spacing w:before="200" w:after="80"/>
      </w:pPr>
      <w:r>
        <w:rPr>
          <w:rFonts w:ascii="Times New Roman" w:hAnsi="Times New Roman"/>
          <w:b/>
          <w:color w:val="333333"/>
          <w:sz w:val="23"/>
        </w:rPr>
        <w:t>2.5 Academic Credential &amp; Sensitive Administrative Document Analysis</w:t>
      </w:r>
    </w:p>
    <w:p w14:paraId="2CC2A5D4">
      <w:pPr>
        <w:spacing w:before="40" w:after="80" w:line="276" w:lineRule="auto"/>
      </w:pPr>
      <w:r>
        <w:rPr>
          <w:rFonts w:ascii="Times New Roman" w:hAnsi="Times New Roman"/>
          <w:sz w:val="20"/>
        </w:rPr>
        <w:t>Academic administrative documents (degree certificates, marksheets, student ID cards) present distinct challenges compared to retail receipts or commercial invoices: (1) strict statutory privacy prohibitions on public dissemination [28], [35]; (2) dense tabular subject arrays containing course codes, credit hours, and numerical grades [29]; and (3) institutional alias variations requiring domain-specific canonical normalization [25], [26], [36].</w:t>
      </w:r>
    </w:p>
    <w:p w14:paraId="2EC13B83">
      <w:pPr>
        <w:spacing w:before="40" w:after="80" w:line="276" w:lineRule="auto"/>
      </w:pPr>
      <w:r>
        <w:t>Table I provides a comprehensive comparative analysis contrasting ADBG v1.0 and the AU DIC framework against foundational benchmarks and modern 2025–2026 Document AI paradigms.</w:t>
      </w:r>
    </w:p>
    <w:p w14:paraId="50009E26">
      <w:pPr>
        <w:keepNext/>
        <w:spacing w:before="80" w:after="160"/>
        <w:jc w:val="center"/>
      </w:pPr>
      <w:r>
        <w:t>Table I: Comprehensive Comparative Matrix of Document Intelligence Benchmarks &amp; Evaluation Paradigms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218"/>
        <w:gridCol w:w="637"/>
        <w:gridCol w:w="1096"/>
        <w:gridCol w:w="1453"/>
        <w:gridCol w:w="974"/>
        <w:gridCol w:w="1212"/>
        <w:gridCol w:w="1361"/>
        <w:gridCol w:w="1669"/>
      </w:tblGrid>
      <w:tr w14:paraId="390BA0C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6F06B291">
            <w:pPr>
              <w:spacing w:before="40" w:after="40"/>
              <w:jc w:val="center"/>
            </w:pPr>
            <w:r>
              <w:rPr>
                <w:rFonts w:ascii="Times New Roman" w:hAnsi="Times New Roman"/>
                <w:b/>
                <w:color w:val="FFFFFF"/>
                <w:sz w:val="19"/>
              </w:rPr>
              <w:t>Benchmark / Model Paradigm</w:t>
            </w:r>
          </w:p>
        </w:tc>
        <w:tc>
          <w:tcPr>
            <w:tcW w:w="1170" w:type="dxa"/>
            <w:shd w:val="clear" w:color="auto" w:fill="003366"/>
            <w:tcMar>
              <w:top w:w="100" w:type="dxa"/>
              <w:left w:w="130" w:type="dxa"/>
              <w:bottom w:w="100" w:type="dxa"/>
              <w:right w:w="130" w:type="dxa"/>
            </w:tcMar>
          </w:tcPr>
          <w:p w14:paraId="22D2E873">
            <w:pPr>
              <w:spacing w:before="40" w:after="40"/>
              <w:jc w:val="center"/>
            </w:pPr>
            <w:r>
              <w:rPr>
                <w:rFonts w:ascii="Times New Roman" w:hAnsi="Times New Roman"/>
                <w:b/>
                <w:color w:val="FFFFFF"/>
                <w:sz w:val="19"/>
              </w:rPr>
              <w:t>Year</w:t>
            </w:r>
          </w:p>
        </w:tc>
        <w:tc>
          <w:tcPr>
            <w:tcW w:w="1170" w:type="dxa"/>
            <w:shd w:val="clear" w:color="auto" w:fill="003366"/>
            <w:tcMar>
              <w:top w:w="100" w:type="dxa"/>
              <w:left w:w="130" w:type="dxa"/>
              <w:bottom w:w="100" w:type="dxa"/>
              <w:right w:w="130" w:type="dxa"/>
            </w:tcMar>
          </w:tcPr>
          <w:p w14:paraId="2D5DD546">
            <w:pPr>
              <w:spacing w:before="40" w:after="40"/>
              <w:jc w:val="center"/>
            </w:pPr>
            <w:r>
              <w:rPr>
                <w:rFonts w:ascii="Times New Roman" w:hAnsi="Times New Roman"/>
                <w:b/>
                <w:color w:val="FFFFFF"/>
                <w:sz w:val="19"/>
              </w:rPr>
              <w:t>Document Domain</w:t>
            </w:r>
          </w:p>
        </w:tc>
        <w:tc>
          <w:tcPr>
            <w:tcW w:w="1170" w:type="dxa"/>
            <w:shd w:val="clear" w:color="auto" w:fill="003366"/>
            <w:tcMar>
              <w:top w:w="100" w:type="dxa"/>
              <w:left w:w="130" w:type="dxa"/>
              <w:bottom w:w="100" w:type="dxa"/>
              <w:right w:w="130" w:type="dxa"/>
            </w:tcMar>
          </w:tcPr>
          <w:p w14:paraId="0F933C27">
            <w:pPr>
              <w:spacing w:before="40" w:after="40"/>
              <w:jc w:val="center"/>
            </w:pPr>
            <w:r>
              <w:rPr>
                <w:rFonts w:ascii="Times New Roman" w:hAnsi="Times New Roman"/>
                <w:b/>
                <w:color w:val="FFFFFF"/>
                <w:sz w:val="19"/>
              </w:rPr>
              <w:t>Fully Synthetic Data</w:t>
            </w:r>
          </w:p>
        </w:tc>
        <w:tc>
          <w:tcPr>
            <w:tcW w:w="1170" w:type="dxa"/>
            <w:shd w:val="clear" w:color="auto" w:fill="003366"/>
            <w:tcMar>
              <w:top w:w="100" w:type="dxa"/>
              <w:left w:w="130" w:type="dxa"/>
              <w:bottom w:w="100" w:type="dxa"/>
              <w:right w:w="130" w:type="dxa"/>
            </w:tcMar>
          </w:tcPr>
          <w:p w14:paraId="70FC4D72">
            <w:pPr>
              <w:spacing w:before="40" w:after="40"/>
              <w:jc w:val="center"/>
            </w:pPr>
            <w:r>
              <w:rPr>
                <w:rFonts w:ascii="Times New Roman" w:hAnsi="Times New Roman"/>
                <w:b/>
                <w:color w:val="FFFFFF"/>
                <w:sz w:val="19"/>
              </w:rPr>
              <w:t>Tabular Grade Array Support</w:t>
            </w:r>
          </w:p>
        </w:tc>
        <w:tc>
          <w:tcPr>
            <w:tcW w:w="1170" w:type="dxa"/>
            <w:shd w:val="clear" w:color="auto" w:fill="003366"/>
            <w:tcMar>
              <w:top w:w="100" w:type="dxa"/>
              <w:left w:w="130" w:type="dxa"/>
              <w:bottom w:w="100" w:type="dxa"/>
              <w:right w:w="130" w:type="dxa"/>
            </w:tcMar>
          </w:tcPr>
          <w:p w14:paraId="67428837">
            <w:pPr>
              <w:spacing w:before="40" w:after="40"/>
              <w:jc w:val="center"/>
            </w:pPr>
            <w:r>
              <w:rPr>
                <w:rFonts w:ascii="Times New Roman" w:hAnsi="Times New Roman"/>
                <w:b/>
                <w:color w:val="FFFFFF"/>
                <w:sz w:val="19"/>
              </w:rPr>
              <w:t>Controlled Quality Degradation Matrix</w:t>
            </w:r>
          </w:p>
        </w:tc>
        <w:tc>
          <w:tcPr>
            <w:tcW w:w="1170" w:type="dxa"/>
            <w:shd w:val="clear" w:color="auto" w:fill="003366"/>
            <w:tcMar>
              <w:top w:w="100" w:type="dxa"/>
              <w:left w:w="130" w:type="dxa"/>
              <w:bottom w:w="100" w:type="dxa"/>
              <w:right w:w="130" w:type="dxa"/>
            </w:tcMar>
          </w:tcPr>
          <w:p w14:paraId="281BF2B0">
            <w:pPr>
              <w:spacing w:before="40" w:after="40"/>
              <w:jc w:val="center"/>
            </w:pPr>
            <w:r>
              <w:rPr>
                <w:rFonts w:ascii="Times New Roman" w:hAnsi="Times New Roman"/>
                <w:b/>
                <w:color w:val="FFFFFF"/>
                <w:sz w:val="19"/>
              </w:rPr>
              <w:t>Semantic Canonical Normalization</w:t>
            </w:r>
          </w:p>
        </w:tc>
        <w:tc>
          <w:tcPr>
            <w:tcW w:w="1170" w:type="dxa"/>
            <w:shd w:val="clear" w:color="auto" w:fill="003366"/>
            <w:tcMar>
              <w:top w:w="100" w:type="dxa"/>
              <w:left w:w="130" w:type="dxa"/>
              <w:bottom w:w="100" w:type="dxa"/>
              <w:right w:w="130" w:type="dxa"/>
            </w:tcMar>
          </w:tcPr>
          <w:p w14:paraId="18B36868">
            <w:pPr>
              <w:spacing w:before="40" w:after="40"/>
              <w:jc w:val="center"/>
            </w:pPr>
            <w:r>
              <w:rPr>
                <w:rFonts w:ascii="Times New Roman" w:hAnsi="Times New Roman"/>
                <w:b/>
                <w:color w:val="FFFFFF"/>
                <w:sz w:val="19"/>
              </w:rPr>
              <w:t>Academic Credentials Domain</w:t>
            </w:r>
          </w:p>
        </w:tc>
      </w:tr>
      <w:tr w14:paraId="3281E39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580796C">
            <w:pPr>
              <w:spacing w:before="40" w:after="40"/>
              <w:jc w:val="left"/>
            </w:pPr>
            <w:r>
              <w:rPr>
                <w:rFonts w:ascii="Times New Roman" w:hAnsi="Times New Roman"/>
                <w:b/>
                <w:sz w:val="18"/>
              </w:rPr>
              <w:t>RVL-CDIP</w:t>
            </w:r>
            <w:r>
              <w:rPr>
                <w:rFonts w:ascii="Times New Roman" w:hAnsi="Times New Roman"/>
                <w:sz w:val="18"/>
              </w:rPr>
              <w:t xml:space="preserve"> (Harley et al. [1])</w:t>
            </w:r>
          </w:p>
        </w:tc>
        <w:tc>
          <w:tcPr>
            <w:tcW w:w="1170" w:type="dxa"/>
            <w:shd w:val="clear" w:color="auto" w:fill="FFFFFF"/>
            <w:tcMar>
              <w:top w:w="100" w:type="dxa"/>
              <w:left w:w="130" w:type="dxa"/>
              <w:bottom w:w="100" w:type="dxa"/>
              <w:right w:w="130" w:type="dxa"/>
            </w:tcMar>
          </w:tcPr>
          <w:p w14:paraId="30CA6361">
            <w:pPr>
              <w:spacing w:before="40" w:after="40"/>
              <w:jc w:val="center"/>
            </w:pPr>
            <w:r>
              <w:rPr>
                <w:rFonts w:ascii="Times New Roman" w:hAnsi="Times New Roman"/>
                <w:sz w:val="18"/>
              </w:rPr>
              <w:t>2015</w:t>
            </w:r>
          </w:p>
        </w:tc>
        <w:tc>
          <w:tcPr>
            <w:tcW w:w="1170" w:type="dxa"/>
            <w:shd w:val="clear" w:color="auto" w:fill="FFFFFF"/>
            <w:tcMar>
              <w:top w:w="100" w:type="dxa"/>
              <w:left w:w="130" w:type="dxa"/>
              <w:bottom w:w="100" w:type="dxa"/>
              <w:right w:w="130" w:type="dxa"/>
            </w:tcMar>
          </w:tcPr>
          <w:p w14:paraId="12F367B5">
            <w:pPr>
              <w:spacing w:before="40" w:after="40"/>
              <w:jc w:val="center"/>
            </w:pPr>
            <w:r>
              <w:rPr>
                <w:rFonts w:ascii="Times New Roman" w:hAnsi="Times New Roman"/>
                <w:sz w:val="18"/>
              </w:rPr>
              <w:t>Business Forms</w:t>
            </w:r>
          </w:p>
        </w:tc>
        <w:tc>
          <w:tcPr>
            <w:tcW w:w="1170" w:type="dxa"/>
            <w:shd w:val="clear" w:color="auto" w:fill="FFFFFF"/>
            <w:tcMar>
              <w:top w:w="100" w:type="dxa"/>
              <w:left w:w="130" w:type="dxa"/>
              <w:bottom w:w="100" w:type="dxa"/>
              <w:right w:w="130" w:type="dxa"/>
            </w:tcMar>
          </w:tcPr>
          <w:p w14:paraId="17D6B3F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C0530B3">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282380C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7B2002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8E5CCF">
            <w:pPr>
              <w:spacing w:before="40" w:after="40"/>
              <w:jc w:val="center"/>
            </w:pPr>
            <w:r>
              <w:rPr>
                <w:rFonts w:ascii="Times New Roman" w:hAnsi="Times New Roman"/>
                <w:sz w:val="18"/>
              </w:rPr>
              <w:t>No</w:t>
            </w:r>
          </w:p>
        </w:tc>
      </w:tr>
      <w:tr w14:paraId="39A20E6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12F0EB">
            <w:pPr>
              <w:spacing w:before="40" w:after="40"/>
              <w:jc w:val="left"/>
            </w:pPr>
            <w:r>
              <w:rPr>
                <w:rFonts w:ascii="Times New Roman" w:hAnsi="Times New Roman"/>
                <w:b/>
                <w:sz w:val="18"/>
              </w:rPr>
              <w:t>SROIE</w:t>
            </w:r>
            <w:r>
              <w:rPr>
                <w:rFonts w:ascii="Times New Roman" w:hAnsi="Times New Roman"/>
                <w:sz w:val="18"/>
              </w:rPr>
              <w:t xml:space="preserve"> (Huang et al. [2])</w:t>
            </w:r>
          </w:p>
        </w:tc>
        <w:tc>
          <w:tcPr>
            <w:tcW w:w="1170" w:type="dxa"/>
            <w:shd w:val="clear" w:color="auto" w:fill="F8F9FA"/>
            <w:tcMar>
              <w:top w:w="100" w:type="dxa"/>
              <w:left w:w="130" w:type="dxa"/>
              <w:bottom w:w="100" w:type="dxa"/>
              <w:right w:w="130" w:type="dxa"/>
            </w:tcMar>
          </w:tcPr>
          <w:p w14:paraId="07A1338A">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33856CA3">
            <w:pPr>
              <w:spacing w:before="40" w:after="40"/>
              <w:jc w:val="center"/>
            </w:pPr>
            <w:r>
              <w:rPr>
                <w:rFonts w:ascii="Times New Roman" w:hAnsi="Times New Roman"/>
                <w:sz w:val="18"/>
              </w:rPr>
              <w:t>Receipts</w:t>
            </w:r>
          </w:p>
        </w:tc>
        <w:tc>
          <w:tcPr>
            <w:tcW w:w="1170" w:type="dxa"/>
            <w:shd w:val="clear" w:color="auto" w:fill="F8F9FA"/>
            <w:tcMar>
              <w:top w:w="100" w:type="dxa"/>
              <w:left w:w="130" w:type="dxa"/>
              <w:bottom w:w="100" w:type="dxa"/>
              <w:right w:w="130" w:type="dxa"/>
            </w:tcMar>
          </w:tcPr>
          <w:p w14:paraId="08AC09A8">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7B16C42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F2D597C">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77EEBAC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A28EA94">
            <w:pPr>
              <w:spacing w:before="40" w:after="40"/>
              <w:jc w:val="center"/>
            </w:pPr>
            <w:r>
              <w:rPr>
                <w:rFonts w:ascii="Times New Roman" w:hAnsi="Times New Roman"/>
                <w:sz w:val="18"/>
              </w:rPr>
              <w:t>No</w:t>
            </w:r>
          </w:p>
        </w:tc>
      </w:tr>
      <w:tr w14:paraId="1A68EA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3D1311A">
            <w:pPr>
              <w:spacing w:before="40" w:after="40"/>
              <w:jc w:val="left"/>
            </w:pPr>
            <w:r>
              <w:rPr>
                <w:rFonts w:ascii="Times New Roman" w:hAnsi="Times New Roman"/>
                <w:b/>
                <w:sz w:val="18"/>
              </w:rPr>
              <w:t>CORD</w:t>
            </w:r>
            <w:r>
              <w:rPr>
                <w:rFonts w:ascii="Times New Roman" w:hAnsi="Times New Roman"/>
                <w:sz w:val="18"/>
              </w:rPr>
              <w:t xml:space="preserve"> (Park et al. [3])</w:t>
            </w:r>
          </w:p>
        </w:tc>
        <w:tc>
          <w:tcPr>
            <w:tcW w:w="1170" w:type="dxa"/>
            <w:shd w:val="clear" w:color="auto" w:fill="FFFFFF"/>
            <w:tcMar>
              <w:top w:w="100" w:type="dxa"/>
              <w:left w:w="130" w:type="dxa"/>
              <w:bottom w:w="100" w:type="dxa"/>
              <w:right w:w="130" w:type="dxa"/>
            </w:tcMar>
          </w:tcPr>
          <w:p w14:paraId="1857DCB4">
            <w:pPr>
              <w:spacing w:before="40" w:after="40"/>
              <w:jc w:val="center"/>
            </w:pPr>
            <w:r>
              <w:rPr>
                <w:rFonts w:ascii="Times New Roman" w:hAnsi="Times New Roman"/>
                <w:sz w:val="18"/>
              </w:rPr>
              <w:t>2019</w:t>
            </w:r>
          </w:p>
        </w:tc>
        <w:tc>
          <w:tcPr>
            <w:tcW w:w="1170" w:type="dxa"/>
            <w:shd w:val="clear" w:color="auto" w:fill="FFFFFF"/>
            <w:tcMar>
              <w:top w:w="100" w:type="dxa"/>
              <w:left w:w="130" w:type="dxa"/>
              <w:bottom w:w="100" w:type="dxa"/>
              <w:right w:w="130" w:type="dxa"/>
            </w:tcMar>
          </w:tcPr>
          <w:p w14:paraId="09195013">
            <w:pPr>
              <w:spacing w:before="40" w:after="40"/>
              <w:jc w:val="center"/>
            </w:pPr>
            <w:r>
              <w:rPr>
                <w:rFonts w:ascii="Times New Roman" w:hAnsi="Times New Roman"/>
                <w:sz w:val="18"/>
              </w:rPr>
              <w:t>Receipts</w:t>
            </w:r>
          </w:p>
        </w:tc>
        <w:tc>
          <w:tcPr>
            <w:tcW w:w="1170" w:type="dxa"/>
            <w:shd w:val="clear" w:color="auto" w:fill="FFFFFF"/>
            <w:tcMar>
              <w:top w:w="100" w:type="dxa"/>
              <w:left w:w="130" w:type="dxa"/>
              <w:bottom w:w="100" w:type="dxa"/>
              <w:right w:w="130" w:type="dxa"/>
            </w:tcMar>
          </w:tcPr>
          <w:p w14:paraId="3A8B5D3E">
            <w:pPr>
              <w:spacing w:before="40" w:after="40"/>
              <w:jc w:val="center"/>
            </w:pPr>
            <w:r>
              <w:rPr>
                <w:rFonts w:ascii="Times New Roman" w:hAnsi="Times New Roman"/>
                <w:sz w:val="18"/>
              </w:rPr>
              <w:t>No (Anonymized)</w:t>
            </w:r>
          </w:p>
        </w:tc>
        <w:tc>
          <w:tcPr>
            <w:tcW w:w="1170" w:type="dxa"/>
            <w:shd w:val="clear" w:color="auto" w:fill="FFFFFF"/>
            <w:tcMar>
              <w:top w:w="100" w:type="dxa"/>
              <w:left w:w="130" w:type="dxa"/>
              <w:bottom w:w="100" w:type="dxa"/>
              <w:right w:w="130" w:type="dxa"/>
            </w:tcMar>
          </w:tcPr>
          <w:p w14:paraId="4AA7F229">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26405F12">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8ED8BE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97F371">
            <w:pPr>
              <w:spacing w:before="40" w:after="40"/>
              <w:jc w:val="center"/>
            </w:pPr>
            <w:r>
              <w:rPr>
                <w:rFonts w:ascii="Times New Roman" w:hAnsi="Times New Roman"/>
                <w:sz w:val="18"/>
              </w:rPr>
              <w:t>No</w:t>
            </w:r>
          </w:p>
        </w:tc>
      </w:tr>
      <w:tr w14:paraId="7980EC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34D136B6">
            <w:pPr>
              <w:spacing w:before="40" w:after="40"/>
              <w:jc w:val="left"/>
            </w:pPr>
            <w:r>
              <w:rPr>
                <w:rFonts w:ascii="Times New Roman" w:hAnsi="Times New Roman"/>
                <w:b/>
                <w:sz w:val="18"/>
              </w:rPr>
              <w:t>FUNSD</w:t>
            </w:r>
            <w:r>
              <w:rPr>
                <w:rFonts w:ascii="Times New Roman" w:hAnsi="Times New Roman"/>
                <w:sz w:val="18"/>
              </w:rPr>
              <w:t xml:space="preserve"> (Jaume et al. [4])</w:t>
            </w:r>
          </w:p>
        </w:tc>
        <w:tc>
          <w:tcPr>
            <w:tcW w:w="1170" w:type="dxa"/>
            <w:shd w:val="clear" w:color="auto" w:fill="F8F9FA"/>
            <w:tcMar>
              <w:top w:w="100" w:type="dxa"/>
              <w:left w:w="130" w:type="dxa"/>
              <w:bottom w:w="100" w:type="dxa"/>
              <w:right w:w="130" w:type="dxa"/>
            </w:tcMar>
          </w:tcPr>
          <w:p w14:paraId="6110C5C0">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49DDD9AB">
            <w:pPr>
              <w:spacing w:before="40" w:after="40"/>
              <w:jc w:val="center"/>
            </w:pPr>
            <w:r>
              <w:rPr>
                <w:rFonts w:ascii="Times New Roman" w:hAnsi="Times New Roman"/>
                <w:sz w:val="18"/>
              </w:rPr>
              <w:t>Noisy Forms</w:t>
            </w:r>
          </w:p>
        </w:tc>
        <w:tc>
          <w:tcPr>
            <w:tcW w:w="1170" w:type="dxa"/>
            <w:shd w:val="clear" w:color="auto" w:fill="F8F9FA"/>
            <w:tcMar>
              <w:top w:w="100" w:type="dxa"/>
              <w:left w:w="130" w:type="dxa"/>
              <w:bottom w:w="100" w:type="dxa"/>
              <w:right w:w="130" w:type="dxa"/>
            </w:tcMar>
          </w:tcPr>
          <w:p w14:paraId="370B136A">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64B5BF3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804DB6F">
            <w:pPr>
              <w:spacing w:before="40" w:after="40"/>
              <w:jc w:val="center"/>
            </w:pPr>
            <w:r>
              <w:rPr>
                <w:rFonts w:ascii="Times New Roman" w:hAnsi="Times New Roman"/>
                <w:sz w:val="18"/>
              </w:rPr>
              <w:t>Static Noise</w:t>
            </w:r>
          </w:p>
        </w:tc>
        <w:tc>
          <w:tcPr>
            <w:tcW w:w="1170" w:type="dxa"/>
            <w:shd w:val="clear" w:color="auto" w:fill="F8F9FA"/>
            <w:tcMar>
              <w:top w:w="100" w:type="dxa"/>
              <w:left w:w="130" w:type="dxa"/>
              <w:bottom w:w="100" w:type="dxa"/>
              <w:right w:w="130" w:type="dxa"/>
            </w:tcMar>
          </w:tcPr>
          <w:p w14:paraId="2C41314B">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122B781">
            <w:pPr>
              <w:spacing w:before="40" w:after="40"/>
              <w:jc w:val="center"/>
            </w:pPr>
            <w:r>
              <w:rPr>
                <w:rFonts w:ascii="Times New Roman" w:hAnsi="Times New Roman"/>
                <w:sz w:val="18"/>
              </w:rPr>
              <w:t>No</w:t>
            </w:r>
          </w:p>
        </w:tc>
      </w:tr>
      <w:tr w14:paraId="4A3265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0A885B4A">
            <w:pPr>
              <w:spacing w:before="40" w:after="40"/>
              <w:jc w:val="left"/>
            </w:pPr>
            <w:r>
              <w:rPr>
                <w:rFonts w:ascii="Times New Roman" w:hAnsi="Times New Roman"/>
                <w:b/>
                <w:sz w:val="18"/>
              </w:rPr>
              <w:t>DocVQA</w:t>
            </w:r>
            <w:r>
              <w:rPr>
                <w:rFonts w:ascii="Times New Roman" w:hAnsi="Times New Roman"/>
                <w:sz w:val="18"/>
              </w:rPr>
              <w:t xml:space="preserve"> (Mathew et al. [5])</w:t>
            </w:r>
          </w:p>
        </w:tc>
        <w:tc>
          <w:tcPr>
            <w:tcW w:w="1170" w:type="dxa"/>
            <w:shd w:val="clear" w:color="auto" w:fill="FFFFFF"/>
            <w:tcMar>
              <w:top w:w="100" w:type="dxa"/>
              <w:left w:w="130" w:type="dxa"/>
              <w:bottom w:w="100" w:type="dxa"/>
              <w:right w:w="130" w:type="dxa"/>
            </w:tcMar>
          </w:tcPr>
          <w:p w14:paraId="34E6588C">
            <w:pPr>
              <w:spacing w:before="40" w:after="40"/>
              <w:jc w:val="center"/>
            </w:pPr>
            <w:r>
              <w:rPr>
                <w:rFonts w:ascii="Times New Roman" w:hAnsi="Times New Roman"/>
                <w:sz w:val="18"/>
              </w:rPr>
              <w:t>2021</w:t>
            </w:r>
          </w:p>
        </w:tc>
        <w:tc>
          <w:tcPr>
            <w:tcW w:w="1170" w:type="dxa"/>
            <w:shd w:val="clear" w:color="auto" w:fill="FFFFFF"/>
            <w:tcMar>
              <w:top w:w="100" w:type="dxa"/>
              <w:left w:w="130" w:type="dxa"/>
              <w:bottom w:w="100" w:type="dxa"/>
              <w:right w:w="130" w:type="dxa"/>
            </w:tcMar>
          </w:tcPr>
          <w:p w14:paraId="5F115FE0">
            <w:pPr>
              <w:spacing w:before="40" w:after="40"/>
              <w:jc w:val="center"/>
            </w:pPr>
            <w:r>
              <w:rPr>
                <w:rFonts w:ascii="Times New Roman" w:hAnsi="Times New Roman"/>
                <w:sz w:val="18"/>
              </w:rPr>
              <w:t>Mixed Documents</w:t>
            </w:r>
          </w:p>
        </w:tc>
        <w:tc>
          <w:tcPr>
            <w:tcW w:w="1170" w:type="dxa"/>
            <w:shd w:val="clear" w:color="auto" w:fill="FFFFFF"/>
            <w:tcMar>
              <w:top w:w="100" w:type="dxa"/>
              <w:left w:w="130" w:type="dxa"/>
              <w:bottom w:w="100" w:type="dxa"/>
              <w:right w:w="130" w:type="dxa"/>
            </w:tcMar>
          </w:tcPr>
          <w:p w14:paraId="5064B06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DD84CAB">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6A7EA7E8">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34EE8FA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8472B49">
            <w:pPr>
              <w:spacing w:before="40" w:after="40"/>
              <w:jc w:val="center"/>
            </w:pPr>
            <w:r>
              <w:rPr>
                <w:rFonts w:ascii="Times New Roman" w:hAnsi="Times New Roman"/>
                <w:sz w:val="18"/>
              </w:rPr>
              <w:t>No</w:t>
            </w:r>
          </w:p>
        </w:tc>
      </w:tr>
      <w:tr w14:paraId="5F3EFAC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6F71C5ED">
            <w:pPr>
              <w:spacing w:before="40" w:after="40"/>
              <w:jc w:val="left"/>
            </w:pPr>
            <w:r>
              <w:rPr>
                <w:rFonts w:ascii="Times New Roman" w:hAnsi="Times New Roman"/>
                <w:b/>
                <w:sz w:val="18"/>
              </w:rPr>
              <w:t>LayoutLMv3</w:t>
            </w:r>
            <w:r>
              <w:rPr>
                <w:rFonts w:ascii="Times New Roman" w:hAnsi="Times New Roman"/>
                <w:sz w:val="18"/>
              </w:rPr>
              <w:t xml:space="preserve"> (Huang et al. [6])</w:t>
            </w:r>
          </w:p>
        </w:tc>
        <w:tc>
          <w:tcPr>
            <w:tcW w:w="1170" w:type="dxa"/>
            <w:shd w:val="clear" w:color="auto" w:fill="F8F9FA"/>
            <w:tcMar>
              <w:top w:w="100" w:type="dxa"/>
              <w:left w:w="130" w:type="dxa"/>
              <w:bottom w:w="100" w:type="dxa"/>
              <w:right w:w="130" w:type="dxa"/>
            </w:tcMar>
          </w:tcPr>
          <w:p w14:paraId="1C1AF0A6">
            <w:pPr>
              <w:spacing w:before="40" w:after="40"/>
              <w:jc w:val="center"/>
            </w:pPr>
            <w:r>
              <w:rPr>
                <w:rFonts w:ascii="Times New Roman" w:hAnsi="Times New Roman"/>
                <w:sz w:val="18"/>
              </w:rPr>
              <w:t>2022</w:t>
            </w:r>
          </w:p>
        </w:tc>
        <w:tc>
          <w:tcPr>
            <w:tcW w:w="1170" w:type="dxa"/>
            <w:shd w:val="clear" w:color="auto" w:fill="F8F9FA"/>
            <w:tcMar>
              <w:top w:w="100" w:type="dxa"/>
              <w:left w:w="130" w:type="dxa"/>
              <w:bottom w:w="100" w:type="dxa"/>
              <w:right w:w="130" w:type="dxa"/>
            </w:tcMar>
          </w:tcPr>
          <w:p w14:paraId="73C9A564">
            <w:pPr>
              <w:spacing w:before="40" w:after="40"/>
              <w:jc w:val="center"/>
            </w:pPr>
            <w:r>
              <w:rPr>
                <w:rFonts w:ascii="Times New Roman" w:hAnsi="Times New Roman"/>
                <w:sz w:val="18"/>
              </w:rPr>
              <w:t>Business Forms</w:t>
            </w:r>
          </w:p>
        </w:tc>
        <w:tc>
          <w:tcPr>
            <w:tcW w:w="1170" w:type="dxa"/>
            <w:shd w:val="clear" w:color="auto" w:fill="F8F9FA"/>
            <w:tcMar>
              <w:top w:w="100" w:type="dxa"/>
              <w:left w:w="130" w:type="dxa"/>
              <w:bottom w:w="100" w:type="dxa"/>
              <w:right w:w="130" w:type="dxa"/>
            </w:tcMar>
          </w:tcPr>
          <w:p w14:paraId="39D1AE30">
            <w:pPr>
              <w:spacing w:before="40" w:after="40"/>
              <w:jc w:val="center"/>
            </w:pPr>
            <w:r>
              <w:rPr>
                <w:rFonts w:ascii="Times New Roman" w:hAnsi="Times New Roman"/>
                <w:sz w:val="18"/>
              </w:rPr>
              <w:t>No (Mixed)</w:t>
            </w:r>
          </w:p>
        </w:tc>
        <w:tc>
          <w:tcPr>
            <w:tcW w:w="1170" w:type="dxa"/>
            <w:shd w:val="clear" w:color="auto" w:fill="F8F9FA"/>
            <w:tcMar>
              <w:top w:w="100" w:type="dxa"/>
              <w:left w:w="130" w:type="dxa"/>
              <w:bottom w:w="100" w:type="dxa"/>
              <w:right w:w="130" w:type="dxa"/>
            </w:tcMar>
          </w:tcPr>
          <w:p w14:paraId="5F65C017">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4D1A6D56">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156D0F8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46B6D7A">
            <w:pPr>
              <w:spacing w:before="40" w:after="40"/>
              <w:jc w:val="center"/>
            </w:pPr>
            <w:r>
              <w:rPr>
                <w:rFonts w:ascii="Times New Roman" w:hAnsi="Times New Roman"/>
                <w:sz w:val="18"/>
              </w:rPr>
              <w:t>No</w:t>
            </w:r>
          </w:p>
        </w:tc>
      </w:tr>
      <w:tr w14:paraId="2C6519C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C5A2596">
            <w:pPr>
              <w:spacing w:before="40" w:after="40"/>
              <w:jc w:val="left"/>
            </w:pPr>
            <w:r>
              <w:rPr>
                <w:rFonts w:ascii="Times New Roman" w:hAnsi="Times New Roman"/>
                <w:b/>
                <w:sz w:val="18"/>
              </w:rPr>
              <w:t>Donut</w:t>
            </w:r>
            <w:r>
              <w:rPr>
                <w:rFonts w:ascii="Times New Roman" w:hAnsi="Times New Roman"/>
                <w:sz w:val="18"/>
              </w:rPr>
              <w:t xml:space="preserve"> (Kim et al. [7])</w:t>
            </w:r>
          </w:p>
        </w:tc>
        <w:tc>
          <w:tcPr>
            <w:tcW w:w="1170" w:type="dxa"/>
            <w:shd w:val="clear" w:color="auto" w:fill="FFFFFF"/>
            <w:tcMar>
              <w:top w:w="100" w:type="dxa"/>
              <w:left w:w="130" w:type="dxa"/>
              <w:bottom w:w="100" w:type="dxa"/>
              <w:right w:w="130" w:type="dxa"/>
            </w:tcMar>
          </w:tcPr>
          <w:p w14:paraId="0AD25337">
            <w:pPr>
              <w:spacing w:before="40" w:after="40"/>
              <w:jc w:val="center"/>
            </w:pPr>
            <w:r>
              <w:rPr>
                <w:rFonts w:ascii="Times New Roman" w:hAnsi="Times New Roman"/>
                <w:sz w:val="18"/>
              </w:rPr>
              <w:t>2022</w:t>
            </w:r>
          </w:p>
        </w:tc>
        <w:tc>
          <w:tcPr>
            <w:tcW w:w="1170" w:type="dxa"/>
            <w:shd w:val="clear" w:color="auto" w:fill="FFFFFF"/>
            <w:tcMar>
              <w:top w:w="100" w:type="dxa"/>
              <w:left w:w="130" w:type="dxa"/>
              <w:bottom w:w="100" w:type="dxa"/>
              <w:right w:w="130" w:type="dxa"/>
            </w:tcMar>
          </w:tcPr>
          <w:p w14:paraId="47F03698">
            <w:pPr>
              <w:spacing w:before="40" w:after="40"/>
              <w:jc w:val="center"/>
            </w:pPr>
            <w:r>
              <w:rPr>
                <w:rFonts w:ascii="Times New Roman" w:hAnsi="Times New Roman"/>
                <w:sz w:val="18"/>
              </w:rPr>
              <w:t>Receipts &amp; Forms</w:t>
            </w:r>
          </w:p>
        </w:tc>
        <w:tc>
          <w:tcPr>
            <w:tcW w:w="1170" w:type="dxa"/>
            <w:shd w:val="clear" w:color="auto" w:fill="FFFFFF"/>
            <w:tcMar>
              <w:top w:w="100" w:type="dxa"/>
              <w:left w:w="130" w:type="dxa"/>
              <w:bottom w:w="100" w:type="dxa"/>
              <w:right w:w="130" w:type="dxa"/>
            </w:tcMar>
          </w:tcPr>
          <w:p w14:paraId="0DB24083">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490929B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754302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3E2543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A5CB4CA">
            <w:pPr>
              <w:spacing w:before="40" w:after="40"/>
              <w:jc w:val="center"/>
            </w:pPr>
            <w:r>
              <w:rPr>
                <w:rFonts w:ascii="Times New Roman" w:hAnsi="Times New Roman"/>
                <w:sz w:val="18"/>
              </w:rPr>
              <w:t>No</w:t>
            </w:r>
          </w:p>
        </w:tc>
      </w:tr>
      <w:tr w14:paraId="0C463C4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73BFD63">
            <w:pPr>
              <w:spacing w:before="40" w:after="40"/>
              <w:jc w:val="left"/>
            </w:pPr>
            <w:r>
              <w:rPr>
                <w:rFonts w:ascii="Times New Roman" w:hAnsi="Times New Roman"/>
                <w:b/>
                <w:sz w:val="18"/>
              </w:rPr>
              <w:t>Florence-2</w:t>
            </w:r>
            <w:r>
              <w:rPr>
                <w:rFonts w:ascii="Times New Roman" w:hAnsi="Times New Roman"/>
                <w:sz w:val="18"/>
              </w:rPr>
              <w:t xml:space="preserve"> (Xiao et al. [9])</w:t>
            </w:r>
          </w:p>
        </w:tc>
        <w:tc>
          <w:tcPr>
            <w:tcW w:w="1170" w:type="dxa"/>
            <w:shd w:val="clear" w:color="auto" w:fill="F8F9FA"/>
            <w:tcMar>
              <w:top w:w="100" w:type="dxa"/>
              <w:left w:w="130" w:type="dxa"/>
              <w:bottom w:w="100" w:type="dxa"/>
              <w:right w:w="130" w:type="dxa"/>
            </w:tcMar>
          </w:tcPr>
          <w:p w14:paraId="07E850A1">
            <w:pPr>
              <w:spacing w:before="40" w:after="40"/>
              <w:jc w:val="center"/>
            </w:pPr>
            <w:r>
              <w:rPr>
                <w:rFonts w:ascii="Times New Roman" w:hAnsi="Times New Roman"/>
                <w:sz w:val="18"/>
              </w:rPr>
              <w:t>2024</w:t>
            </w:r>
          </w:p>
        </w:tc>
        <w:tc>
          <w:tcPr>
            <w:tcW w:w="1170" w:type="dxa"/>
            <w:shd w:val="clear" w:color="auto" w:fill="F8F9FA"/>
            <w:tcMar>
              <w:top w:w="100" w:type="dxa"/>
              <w:left w:w="130" w:type="dxa"/>
              <w:bottom w:w="100" w:type="dxa"/>
              <w:right w:w="130" w:type="dxa"/>
            </w:tcMar>
          </w:tcPr>
          <w:p w14:paraId="0696591C">
            <w:pPr>
              <w:spacing w:before="40" w:after="40"/>
              <w:jc w:val="center"/>
            </w:pPr>
            <w:r>
              <w:rPr>
                <w:rFonts w:ascii="Times New Roman" w:hAnsi="Times New Roman"/>
                <w:sz w:val="18"/>
              </w:rPr>
              <w:t>Vision-Text</w:t>
            </w:r>
          </w:p>
        </w:tc>
        <w:tc>
          <w:tcPr>
            <w:tcW w:w="1170" w:type="dxa"/>
            <w:shd w:val="clear" w:color="auto" w:fill="F8F9FA"/>
            <w:tcMar>
              <w:top w:w="100" w:type="dxa"/>
              <w:left w:w="130" w:type="dxa"/>
              <w:bottom w:w="100" w:type="dxa"/>
              <w:right w:w="130" w:type="dxa"/>
            </w:tcMar>
          </w:tcPr>
          <w:p w14:paraId="0E6359D7">
            <w:pPr>
              <w:spacing w:before="40" w:after="40"/>
              <w:jc w:val="center"/>
            </w:pPr>
            <w:r>
              <w:rPr>
                <w:rFonts w:ascii="Times New Roman" w:hAnsi="Times New Roman"/>
                <w:sz w:val="18"/>
              </w:rPr>
              <w:t>Synthetic/Natural</w:t>
            </w:r>
          </w:p>
        </w:tc>
        <w:tc>
          <w:tcPr>
            <w:tcW w:w="1170" w:type="dxa"/>
            <w:shd w:val="clear" w:color="auto" w:fill="F8F9FA"/>
            <w:tcMar>
              <w:top w:w="100" w:type="dxa"/>
              <w:left w:w="130" w:type="dxa"/>
              <w:bottom w:w="100" w:type="dxa"/>
              <w:right w:w="130" w:type="dxa"/>
            </w:tcMar>
          </w:tcPr>
          <w:p w14:paraId="77B9BEE7">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3EE0E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135638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C8E0D5">
            <w:pPr>
              <w:spacing w:before="40" w:after="40"/>
              <w:jc w:val="center"/>
            </w:pPr>
            <w:r>
              <w:rPr>
                <w:rFonts w:ascii="Times New Roman" w:hAnsi="Times New Roman"/>
                <w:sz w:val="18"/>
              </w:rPr>
              <w:t>No</w:t>
            </w:r>
          </w:p>
        </w:tc>
      </w:tr>
      <w:tr w14:paraId="226FD1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1EBD7645">
            <w:pPr>
              <w:spacing w:before="40" w:after="40"/>
              <w:jc w:val="left"/>
            </w:pPr>
            <w:r>
              <w:rPr>
                <w:rFonts w:ascii="Times New Roman" w:hAnsi="Times New Roman"/>
                <w:b/>
                <w:sz w:val="18"/>
              </w:rPr>
              <w:t>DocOwl 2.0</w:t>
            </w:r>
            <w:r>
              <w:rPr>
                <w:rFonts w:ascii="Times New Roman" w:hAnsi="Times New Roman"/>
                <w:sz w:val="18"/>
              </w:rPr>
              <w:t xml:space="preserve"> (Hu et al. [10])</w:t>
            </w:r>
          </w:p>
        </w:tc>
        <w:tc>
          <w:tcPr>
            <w:tcW w:w="1170" w:type="dxa"/>
            <w:shd w:val="clear" w:color="auto" w:fill="FFFFFF"/>
            <w:tcMar>
              <w:top w:w="100" w:type="dxa"/>
              <w:left w:w="130" w:type="dxa"/>
              <w:bottom w:w="100" w:type="dxa"/>
              <w:right w:w="130" w:type="dxa"/>
            </w:tcMar>
          </w:tcPr>
          <w:p w14:paraId="4F838069">
            <w:pPr>
              <w:spacing w:before="40" w:after="40"/>
              <w:jc w:val="center"/>
            </w:pPr>
            <w:r>
              <w:rPr>
                <w:rFonts w:ascii="Times New Roman" w:hAnsi="Times New Roman"/>
                <w:sz w:val="18"/>
              </w:rPr>
              <w:t>2025</w:t>
            </w:r>
          </w:p>
        </w:tc>
        <w:tc>
          <w:tcPr>
            <w:tcW w:w="1170" w:type="dxa"/>
            <w:shd w:val="clear" w:color="auto" w:fill="FFFFFF"/>
            <w:tcMar>
              <w:top w:w="100" w:type="dxa"/>
              <w:left w:w="130" w:type="dxa"/>
              <w:bottom w:w="100" w:type="dxa"/>
              <w:right w:w="130" w:type="dxa"/>
            </w:tcMar>
          </w:tcPr>
          <w:p w14:paraId="2D0D3113">
            <w:pPr>
              <w:spacing w:before="40" w:after="40"/>
              <w:jc w:val="center"/>
            </w:pPr>
            <w:r>
              <w:rPr>
                <w:rFonts w:ascii="Times New Roman" w:hAnsi="Times New Roman"/>
                <w:sz w:val="18"/>
              </w:rPr>
              <w:t>General Docs</w:t>
            </w:r>
          </w:p>
        </w:tc>
        <w:tc>
          <w:tcPr>
            <w:tcW w:w="1170" w:type="dxa"/>
            <w:shd w:val="clear" w:color="auto" w:fill="FFFFFF"/>
            <w:tcMar>
              <w:top w:w="100" w:type="dxa"/>
              <w:left w:w="130" w:type="dxa"/>
              <w:bottom w:w="100" w:type="dxa"/>
              <w:right w:w="130" w:type="dxa"/>
            </w:tcMar>
          </w:tcPr>
          <w:p w14:paraId="16AFBF28">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0AEC86A2">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7A94984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00EEDA1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665B43B4">
            <w:pPr>
              <w:spacing w:before="40" w:after="40"/>
              <w:jc w:val="center"/>
            </w:pPr>
            <w:r>
              <w:rPr>
                <w:rFonts w:ascii="Times New Roman" w:hAnsi="Times New Roman"/>
                <w:sz w:val="18"/>
              </w:rPr>
              <w:t>No</w:t>
            </w:r>
          </w:p>
        </w:tc>
      </w:tr>
      <w:tr w14:paraId="16F5DC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F09198A">
            <w:pPr>
              <w:spacing w:before="40" w:after="40"/>
              <w:jc w:val="left"/>
            </w:pPr>
            <w:r>
              <w:rPr>
                <w:rFonts w:ascii="Times New Roman" w:hAnsi="Times New Roman"/>
                <w:b/>
                <w:sz w:val="18"/>
              </w:rPr>
              <w:t>Qwen2-VL</w:t>
            </w:r>
            <w:r>
              <w:rPr>
                <w:rFonts w:ascii="Times New Roman" w:hAnsi="Times New Roman"/>
                <w:sz w:val="18"/>
              </w:rPr>
              <w:t xml:space="preserve"> (Wang et al. [11])</w:t>
            </w:r>
          </w:p>
        </w:tc>
        <w:tc>
          <w:tcPr>
            <w:tcW w:w="1170" w:type="dxa"/>
            <w:shd w:val="clear" w:color="auto" w:fill="F8F9FA"/>
            <w:tcMar>
              <w:top w:w="100" w:type="dxa"/>
              <w:left w:w="130" w:type="dxa"/>
              <w:bottom w:w="100" w:type="dxa"/>
              <w:right w:w="130" w:type="dxa"/>
            </w:tcMar>
          </w:tcPr>
          <w:p w14:paraId="23737B6F">
            <w:pPr>
              <w:spacing w:before="40" w:after="40"/>
              <w:jc w:val="center"/>
            </w:pPr>
            <w:r>
              <w:rPr>
                <w:rFonts w:ascii="Times New Roman" w:hAnsi="Times New Roman"/>
                <w:sz w:val="18"/>
              </w:rPr>
              <w:t>2025</w:t>
            </w:r>
          </w:p>
        </w:tc>
        <w:tc>
          <w:tcPr>
            <w:tcW w:w="1170" w:type="dxa"/>
            <w:shd w:val="clear" w:color="auto" w:fill="F8F9FA"/>
            <w:tcMar>
              <w:top w:w="100" w:type="dxa"/>
              <w:left w:w="130" w:type="dxa"/>
              <w:bottom w:w="100" w:type="dxa"/>
              <w:right w:w="130" w:type="dxa"/>
            </w:tcMar>
          </w:tcPr>
          <w:p w14:paraId="76CAA679">
            <w:pPr>
              <w:spacing w:before="40" w:after="40"/>
              <w:jc w:val="center"/>
            </w:pPr>
            <w:r>
              <w:rPr>
                <w:rFonts w:ascii="Times New Roman" w:hAnsi="Times New Roman"/>
                <w:sz w:val="18"/>
              </w:rPr>
              <w:t>Multimodal Pages</w:t>
            </w:r>
          </w:p>
        </w:tc>
        <w:tc>
          <w:tcPr>
            <w:tcW w:w="1170" w:type="dxa"/>
            <w:shd w:val="clear" w:color="auto" w:fill="F8F9FA"/>
            <w:tcMar>
              <w:top w:w="100" w:type="dxa"/>
              <w:left w:w="130" w:type="dxa"/>
              <w:bottom w:w="100" w:type="dxa"/>
              <w:right w:w="130" w:type="dxa"/>
            </w:tcMar>
          </w:tcPr>
          <w:p w14:paraId="3E5B42C0">
            <w:pPr>
              <w:spacing w:before="40" w:after="40"/>
              <w:jc w:val="center"/>
            </w:pPr>
            <w:r>
              <w:rPr>
                <w:rFonts w:ascii="Times New Roman" w:hAnsi="Times New Roman"/>
                <w:sz w:val="18"/>
              </w:rPr>
              <w:t>Mixed</w:t>
            </w:r>
          </w:p>
        </w:tc>
        <w:tc>
          <w:tcPr>
            <w:tcW w:w="1170" w:type="dxa"/>
            <w:shd w:val="clear" w:color="auto" w:fill="F8F9FA"/>
            <w:tcMar>
              <w:top w:w="100" w:type="dxa"/>
              <w:left w:w="130" w:type="dxa"/>
              <w:bottom w:w="100" w:type="dxa"/>
              <w:right w:w="130" w:type="dxa"/>
            </w:tcMar>
          </w:tcPr>
          <w:p w14:paraId="529D5E64">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30AAB61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674CC888">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68EF129">
            <w:pPr>
              <w:spacing w:before="40" w:after="40"/>
              <w:jc w:val="center"/>
            </w:pPr>
            <w:r>
              <w:rPr>
                <w:rFonts w:ascii="Times New Roman" w:hAnsi="Times New Roman"/>
                <w:sz w:val="18"/>
              </w:rPr>
              <w:t>No</w:t>
            </w:r>
          </w:p>
        </w:tc>
      </w:tr>
      <w:tr w14:paraId="400CAF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103AC47">
            <w:pPr>
              <w:spacing w:before="40" w:after="40"/>
              <w:jc w:val="left"/>
            </w:pPr>
            <w:r>
              <w:rPr>
                <w:rFonts w:ascii="Times New Roman" w:hAnsi="Times New Roman"/>
                <w:b/>
                <w:sz w:val="18"/>
              </w:rPr>
              <w:t>DocFormers 2.0</w:t>
            </w:r>
            <w:r>
              <w:rPr>
                <w:rFonts w:ascii="Times New Roman" w:hAnsi="Times New Roman"/>
                <w:sz w:val="18"/>
              </w:rPr>
              <w:t xml:space="preserve"> (Zhao et al. [32])</w:t>
            </w:r>
          </w:p>
        </w:tc>
        <w:tc>
          <w:tcPr>
            <w:tcW w:w="1170" w:type="dxa"/>
            <w:shd w:val="clear" w:color="auto" w:fill="FFFFFF"/>
            <w:tcMar>
              <w:top w:w="100" w:type="dxa"/>
              <w:left w:w="130" w:type="dxa"/>
              <w:bottom w:w="100" w:type="dxa"/>
              <w:right w:w="130" w:type="dxa"/>
            </w:tcMar>
          </w:tcPr>
          <w:p w14:paraId="660E85BA">
            <w:pPr>
              <w:spacing w:before="40" w:after="40"/>
              <w:jc w:val="center"/>
            </w:pPr>
            <w:r>
              <w:rPr>
                <w:rFonts w:ascii="Times New Roman" w:hAnsi="Times New Roman"/>
                <w:sz w:val="18"/>
              </w:rPr>
              <w:t>2026</w:t>
            </w:r>
          </w:p>
        </w:tc>
        <w:tc>
          <w:tcPr>
            <w:tcW w:w="1170" w:type="dxa"/>
            <w:shd w:val="clear" w:color="auto" w:fill="FFFFFF"/>
            <w:tcMar>
              <w:top w:w="100" w:type="dxa"/>
              <w:left w:w="130" w:type="dxa"/>
              <w:bottom w:w="100" w:type="dxa"/>
              <w:right w:w="130" w:type="dxa"/>
            </w:tcMar>
          </w:tcPr>
          <w:p w14:paraId="7F36E26F">
            <w:pPr>
              <w:spacing w:before="40" w:after="40"/>
              <w:jc w:val="center"/>
            </w:pPr>
            <w:r>
              <w:rPr>
                <w:rFonts w:ascii="Times New Roman" w:hAnsi="Times New Roman"/>
                <w:sz w:val="18"/>
              </w:rPr>
              <w:t>Multimodal Pages</w:t>
            </w:r>
          </w:p>
        </w:tc>
        <w:tc>
          <w:tcPr>
            <w:tcW w:w="1170" w:type="dxa"/>
            <w:shd w:val="clear" w:color="auto" w:fill="FFFFFF"/>
            <w:tcMar>
              <w:top w:w="100" w:type="dxa"/>
              <w:left w:w="130" w:type="dxa"/>
              <w:bottom w:w="100" w:type="dxa"/>
              <w:right w:w="130" w:type="dxa"/>
            </w:tcMar>
          </w:tcPr>
          <w:p w14:paraId="2DB59D53">
            <w:pPr>
              <w:spacing w:before="40" w:after="40"/>
              <w:jc w:val="center"/>
            </w:pPr>
            <w:r>
              <w:rPr>
                <w:rFonts w:ascii="Times New Roman" w:hAnsi="Times New Roman"/>
                <w:sz w:val="18"/>
              </w:rPr>
              <w:t>Synthetic/Natural</w:t>
            </w:r>
          </w:p>
        </w:tc>
        <w:tc>
          <w:tcPr>
            <w:tcW w:w="1170" w:type="dxa"/>
            <w:shd w:val="clear" w:color="auto" w:fill="FFFFFF"/>
            <w:tcMar>
              <w:top w:w="100" w:type="dxa"/>
              <w:left w:w="130" w:type="dxa"/>
              <w:bottom w:w="100" w:type="dxa"/>
              <w:right w:w="130" w:type="dxa"/>
            </w:tcMar>
          </w:tcPr>
          <w:p w14:paraId="21426763">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58130C59">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ABD5D7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B88C695">
            <w:pPr>
              <w:spacing w:before="40" w:after="40"/>
              <w:jc w:val="center"/>
            </w:pPr>
            <w:r>
              <w:rPr>
                <w:rFonts w:ascii="Times New Roman" w:hAnsi="Times New Roman"/>
                <w:sz w:val="18"/>
              </w:rPr>
              <w:t>No</w:t>
            </w:r>
          </w:p>
        </w:tc>
      </w:tr>
      <w:tr w14:paraId="562D40E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0ECE5893">
            <w:pPr>
              <w:spacing w:before="40" w:after="40"/>
              <w:jc w:val="left"/>
            </w:pPr>
            <w:r>
              <w:rPr>
                <w:rFonts w:ascii="Times New Roman" w:hAnsi="Times New Roman"/>
                <w:b/>
                <w:sz w:val="18"/>
              </w:rPr>
              <w:t>ADBG v1.0 / AU DIC (Ours)</w:t>
            </w:r>
          </w:p>
        </w:tc>
        <w:tc>
          <w:tcPr>
            <w:tcW w:w="1170" w:type="dxa"/>
            <w:shd w:val="clear" w:color="auto" w:fill="F8F9FA"/>
            <w:tcMar>
              <w:top w:w="100" w:type="dxa"/>
              <w:left w:w="130" w:type="dxa"/>
              <w:bottom w:w="100" w:type="dxa"/>
              <w:right w:w="130" w:type="dxa"/>
            </w:tcMar>
          </w:tcPr>
          <w:p w14:paraId="2AB809F4">
            <w:pPr>
              <w:spacing w:before="40" w:after="40"/>
              <w:jc w:val="center"/>
            </w:pPr>
            <w:r>
              <w:rPr>
                <w:rFonts w:ascii="Times New Roman" w:hAnsi="Times New Roman"/>
                <w:b/>
                <w:sz w:val="18"/>
              </w:rPr>
              <w:t>2026</w:t>
            </w:r>
          </w:p>
        </w:tc>
        <w:tc>
          <w:tcPr>
            <w:tcW w:w="1170" w:type="dxa"/>
            <w:shd w:val="clear" w:color="auto" w:fill="F8F9FA"/>
            <w:tcMar>
              <w:top w:w="100" w:type="dxa"/>
              <w:left w:w="130" w:type="dxa"/>
              <w:bottom w:w="100" w:type="dxa"/>
              <w:right w:w="130" w:type="dxa"/>
            </w:tcMar>
          </w:tcPr>
          <w:p w14:paraId="692903A2">
            <w:pPr>
              <w:spacing w:before="40" w:after="40"/>
              <w:jc w:val="center"/>
            </w:pPr>
            <w:r>
              <w:rPr>
                <w:rFonts w:ascii="Times New Roman" w:hAnsi="Times New Roman"/>
                <w:b/>
                <w:sz w:val="18"/>
              </w:rPr>
              <w:t>Academic Credentials</w:t>
            </w:r>
          </w:p>
        </w:tc>
        <w:tc>
          <w:tcPr>
            <w:tcW w:w="1170" w:type="dxa"/>
            <w:shd w:val="clear" w:color="auto" w:fill="F8F9FA"/>
            <w:tcMar>
              <w:top w:w="100" w:type="dxa"/>
              <w:left w:w="130" w:type="dxa"/>
              <w:bottom w:w="100" w:type="dxa"/>
              <w:right w:w="130" w:type="dxa"/>
            </w:tcMar>
          </w:tcPr>
          <w:p w14:paraId="2DCDA38D">
            <w:pPr>
              <w:spacing w:before="40" w:after="40"/>
              <w:jc w:val="center"/>
            </w:pPr>
            <w:r>
              <w:rPr>
                <w:rFonts w:ascii="Times New Roman" w:hAnsi="Times New Roman"/>
                <w:b/>
                <w:sz w:val="18"/>
              </w:rPr>
              <w:t>Yes (100% Synthetic)</w:t>
            </w:r>
          </w:p>
        </w:tc>
        <w:tc>
          <w:tcPr>
            <w:tcW w:w="1170" w:type="dxa"/>
            <w:shd w:val="clear" w:color="auto" w:fill="F8F9FA"/>
            <w:tcMar>
              <w:top w:w="100" w:type="dxa"/>
              <w:left w:w="130" w:type="dxa"/>
              <w:bottom w:w="100" w:type="dxa"/>
              <w:right w:w="130" w:type="dxa"/>
            </w:tcMar>
          </w:tcPr>
          <w:p w14:paraId="51987CF1">
            <w:pPr>
              <w:spacing w:before="40" w:after="40"/>
              <w:jc w:val="center"/>
            </w:pPr>
            <w:r>
              <w:rPr>
                <w:rFonts w:ascii="Times New Roman" w:hAnsi="Times New Roman"/>
                <w:b/>
                <w:sz w:val="18"/>
              </w:rPr>
              <w:t>Yes (Semester Arrays)</w:t>
            </w:r>
          </w:p>
        </w:tc>
        <w:tc>
          <w:tcPr>
            <w:tcW w:w="1170" w:type="dxa"/>
            <w:shd w:val="clear" w:color="auto" w:fill="F8F9FA"/>
            <w:tcMar>
              <w:top w:w="100" w:type="dxa"/>
              <w:left w:w="130" w:type="dxa"/>
              <w:bottom w:w="100" w:type="dxa"/>
              <w:right w:w="130" w:type="dxa"/>
            </w:tcMar>
          </w:tcPr>
          <w:p w14:paraId="08759BC4">
            <w:pPr>
              <w:spacing w:before="40" w:after="40"/>
              <w:jc w:val="center"/>
            </w:pPr>
            <w:r>
              <w:rPr>
                <w:rFonts w:ascii="Times New Roman" w:hAnsi="Times New Roman"/>
                <w:b/>
                <w:sz w:val="18"/>
              </w:rPr>
              <w:t>Yes (4 Profiles)</w:t>
            </w:r>
          </w:p>
        </w:tc>
        <w:tc>
          <w:tcPr>
            <w:tcW w:w="1170" w:type="dxa"/>
            <w:shd w:val="clear" w:color="auto" w:fill="F8F9FA"/>
            <w:tcMar>
              <w:top w:w="100" w:type="dxa"/>
              <w:left w:w="130" w:type="dxa"/>
              <w:bottom w:w="100" w:type="dxa"/>
              <w:right w:w="130" w:type="dxa"/>
            </w:tcMar>
          </w:tcPr>
          <w:p w14:paraId="47FB331D">
            <w:pPr>
              <w:spacing w:before="40" w:after="40"/>
              <w:jc w:val="center"/>
            </w:pPr>
            <w:r>
              <w:rPr>
                <w:rFonts w:ascii="Times New Roman" w:hAnsi="Times New Roman"/>
                <w:b/>
                <w:sz w:val="18"/>
              </w:rPr>
              <w:t>Yes (6 Stages)</w:t>
            </w:r>
          </w:p>
        </w:tc>
        <w:tc>
          <w:tcPr>
            <w:tcW w:w="1170" w:type="dxa"/>
            <w:shd w:val="clear" w:color="auto" w:fill="F8F9FA"/>
            <w:tcMar>
              <w:top w:w="100" w:type="dxa"/>
              <w:left w:w="130" w:type="dxa"/>
              <w:bottom w:w="100" w:type="dxa"/>
              <w:right w:w="130" w:type="dxa"/>
            </w:tcMar>
          </w:tcPr>
          <w:p w14:paraId="633C70F9">
            <w:pPr>
              <w:spacing w:before="40" w:after="40"/>
              <w:jc w:val="center"/>
            </w:pPr>
            <w:r>
              <w:rPr>
                <w:rFonts w:ascii="Times New Roman" w:hAnsi="Times New Roman"/>
                <w:b/>
                <w:sz w:val="18"/>
              </w:rPr>
              <w:t>Yes (Certificates/Mark-sheets)</w:t>
            </w:r>
          </w:p>
        </w:tc>
      </w:tr>
    </w:tbl>
    <w:p w14:paraId="151491A5">
      <w:pPr>
        <w:keepNext/>
        <w:spacing w:before="200" w:after="80"/>
      </w:pPr>
      <w:r>
        <w:rPr>
          <w:rFonts w:ascii="Times New Roman" w:hAnsi="Times New Roman"/>
          <w:b/>
          <w:color w:val="333333"/>
          <w:sz w:val="23"/>
        </w:rPr>
        <w:t>2.6 Summary of Research Gap &amp; Methodological Motivation</w:t>
      </w:r>
    </w:p>
    <w:p w14:paraId="6C1839F2">
      <w:pPr>
        <w:spacing w:before="40" w:after="80" w:line="276" w:lineRule="auto"/>
      </w:pPr>
      <w:r>
        <w:rPr>
          <w:rFonts w:ascii="Times New Roman" w:hAnsi="Times New Roman"/>
          <w:sz w:val="20"/>
        </w:rPr>
        <w:t>Despite rapid advancements in multimodal 2025–2026 Document AI architectures [9]–[15], [32]–[34], four fundamental methodological gaps persist in academic credential evaluation:</w:t>
      </w:r>
    </w:p>
    <w:p w14:paraId="289CF4DF">
      <w:pPr>
        <w:spacing w:before="20" w:after="40"/>
        <w:ind w:left="360"/>
      </w:pPr>
      <w:r>
        <w:rPr>
          <w:rFonts w:ascii="Times New Roman" w:hAnsi="Times New Roman"/>
          <w:b/>
          <w:sz w:val="20"/>
        </w:rPr>
        <w:t>1. Absence of Public Academic Datasets</w:t>
      </w:r>
      <w:r>
        <w:rPr>
          <w:rFonts w:ascii="Times New Roman" w:hAnsi="Times New Roman"/>
          <w:sz w:val="20"/>
        </w:rPr>
        <w:t>: Statutory privacy regulations (FERPA, GDPR) prevent public distribution of authentic student records [28], [35].</w:t>
      </w:r>
    </w:p>
    <w:p w14:paraId="63570A9B">
      <w:pPr>
        <w:spacing w:before="20" w:after="40"/>
        <w:ind w:left="360"/>
      </w:pPr>
      <w:r>
        <w:rPr>
          <w:rFonts w:ascii="Times New Roman" w:hAnsi="Times New Roman"/>
          <w:b/>
          <w:sz w:val="20"/>
        </w:rPr>
        <w:t>2. Lack of Controlled Degradation Matrices</w:t>
      </w:r>
      <w:r>
        <w:rPr>
          <w:rFonts w:ascii="Times New Roman" w:hAnsi="Times New Roman"/>
          <w:sz w:val="20"/>
        </w:rPr>
        <w:t>: Robustness across scanner copy aging, mobile camera skew, and orientation rotation is rarely quantified [27], [30], [33].</w:t>
      </w:r>
    </w:p>
    <w:p w14:paraId="2F134691">
      <w:pPr>
        <w:spacing w:before="20" w:after="40"/>
        <w:ind w:left="360"/>
      </w:pPr>
      <w:r>
        <w:rPr>
          <w:rFonts w:ascii="Times New Roman" w:hAnsi="Times New Roman"/>
          <w:b/>
          <w:sz w:val="20"/>
        </w:rPr>
        <w:t>3. Metric Distortion from Formatting Variations</w:t>
      </w:r>
      <w:r>
        <w:rPr>
          <w:rFonts w:ascii="Times New Roman" w:hAnsi="Times New Roman"/>
          <w:sz w:val="20"/>
        </w:rPr>
        <w:t>: Unnormalized string matching penalizes benign representation differences (e.g., date syntax, institutional aliases), distorting true extraction accuracy [25], [36].</w:t>
      </w:r>
    </w:p>
    <w:p w14:paraId="52B336A4">
      <w:pPr>
        <w:spacing w:before="20" w:after="40"/>
        <w:ind w:left="360"/>
      </w:pPr>
      <w:r>
        <w:rPr>
          <w:rFonts w:ascii="Times New Roman" w:hAnsi="Times New Roman"/>
          <w:b/>
          <w:sz w:val="20"/>
        </w:rPr>
        <w:t>4. Absence of Structured Error Taxonomies</w:t>
      </w:r>
      <w:r>
        <w:rPr>
          <w:rFonts w:ascii="Times New Roman" w:hAnsi="Times New Roman"/>
          <w:sz w:val="20"/>
        </w:rPr>
        <w:t>: Scalar metrics (CER, WER) fail to categorize specific diagnostic error causes [28], [37].</w:t>
      </w:r>
    </w:p>
    <w:p w14:paraId="35BA324B">
      <w:pPr>
        <w:spacing w:before="40" w:after="80" w:line="276" w:lineRule="auto"/>
      </w:pPr>
      <w:r>
        <w:rPr>
          <w:rFonts w:ascii="Times New Roman" w:hAnsi="Times New Roman"/>
          <w:sz w:val="20"/>
        </w:rPr>
        <w:t>These gaps directly motivate the integrated benchmarking methodology established in this work [26], [31].</w:t>
      </w:r>
    </w:p>
    <w:p w14:paraId="5DED24D5">
      <w:pPr>
        <w:keepNext/>
        <w:spacing w:before="280" w:after="120"/>
      </w:pPr>
      <w:r>
        <w:rPr>
          <w:rFonts w:ascii="Times New Roman" w:hAnsi="Times New Roman"/>
          <w:b/>
          <w:color w:val="003366"/>
          <w:sz w:val="26"/>
        </w:rPr>
        <w:t>3. Proposed Methodology</w:t>
      </w:r>
    </w:p>
    <w:p w14:paraId="71989CA7">
      <w:pPr>
        <w:keepNext/>
        <w:spacing w:before="200" w:after="80"/>
      </w:pPr>
      <w:r>
        <w:rPr>
          <w:rFonts w:ascii="Times New Roman" w:hAnsi="Times New Roman"/>
          <w:b/>
          <w:color w:val="333333"/>
          <w:sz w:val="23"/>
        </w:rPr>
        <w:t>3.1 Overall Framework Architecture</w:t>
      </w:r>
    </w:p>
    <w:p w14:paraId="3D8AAFB3">
      <w:pPr>
        <w:spacing w:before="40" w:after="80" w:line="276" w:lineRule="auto"/>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[26] and the </w:t>
      </w:r>
      <w:r>
        <w:rPr>
          <w:rFonts w:ascii="Times New Roman" w:hAnsi="Times New Roman"/>
          <w:b/>
          <w:sz w:val="20"/>
        </w:rPr>
        <w:t>AU DIC Benchmark Subsystem</w:t>
      </w:r>
      <w:r>
        <w:rPr>
          <w:rFonts w:ascii="Times New Roman" w:hAnsi="Times New Roman"/>
          <w:sz w:val="20"/>
        </w:rPr>
        <w:t xml:space="preserve"> (read-only evaluation framework) [31].</w:t>
      </w:r>
    </w:p>
    <w:p w14:paraId="46BD7935">
      <w:pPr>
        <w:spacing w:before="160" w:after="80" w:line="240" w:lineRule="atLeast"/>
        <w:jc w:val="center"/>
      </w:pPr>
      <w:r>
        <w:drawing>
          <wp:inline distT="0" distB="0" distL="0" distR="0">
            <wp:extent cx="59436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43600" cy="2476500"/>
                    </a:xfrm>
                    <a:prstGeom prst="rect">
                      <a:avLst/>
                    </a:prstGeom>
                  </pic:spPr>
                </pic:pic>
              </a:graphicData>
            </a:graphic>
          </wp:inline>
        </w:drawing>
      </w:r>
    </w:p>
    <w:p w14:paraId="65A815D6">
      <w:pPr>
        <w:spacing w:after="160"/>
        <w:jc w:val="center"/>
      </w:pPr>
      <w:r>
        <w:rPr>
          <w:rFonts w:ascii="Times New Roman" w:hAnsi="Times New Roman"/>
          <w:b/>
          <w:color w:val="003366"/>
          <w:sz w:val="19"/>
        </w:rPr>
        <w:t>Fig. 1. Decoupled System Architecture of the ADBG Synthetic Generation and AU DIC Evaluation Subsystems.</w:t>
      </w:r>
    </w:p>
    <w:p w14:paraId="03EFF269">
      <w:pPr>
        <w:spacing w:before="40" w:after="80" w:line="276" w:lineRule="auto"/>
      </w:pPr>
      <w:r>
        <w:rPr>
          <w:rFonts w:ascii="Times New Roman" w:hAnsi="Times New Roman"/>
          <w:sz w:val="20"/>
        </w:rPr>
        <w:t>Fig. 1 illustrates the decoupled system architecture of the ADBG Synthetic Generation and AU DIC Evaluation Subsystems. Fig. 2 summarizes the complete methodological workflow adopted in this study, beginning with deterministic synthetic document generation and concluding with statistical evaluation and publication-ready artifact generation.</w:t>
      </w:r>
    </w:p>
    <w:p w14:paraId="60CDBD63">
      <w:pPr>
        <w:spacing w:before="160" w:after="80" w:line="240" w:lineRule="atLeast"/>
        <w:jc w:val="center"/>
      </w:pPr>
      <w:r>
        <w:drawing>
          <wp:inline distT="0" distB="0" distL="0" distR="0">
            <wp:extent cx="1949450" cy="5399405"/>
            <wp:effectExtent l="0" t="0" r="571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1950000" cy="5400000"/>
                    </a:xfrm>
                    <a:prstGeom prst="rect">
                      <a:avLst/>
                    </a:prstGeom>
                  </pic:spPr>
                </pic:pic>
              </a:graphicData>
            </a:graphic>
          </wp:inline>
        </w:drawing>
      </w:r>
    </w:p>
    <w:p w14:paraId="1B80C515">
      <w:pPr>
        <w:spacing w:after="160"/>
        <w:jc w:val="center"/>
      </w:pPr>
      <w:r>
        <w:rPr>
          <w:rFonts w:ascii="Times New Roman" w:hAnsi="Times New Roman"/>
          <w:b/>
          <w:color w:val="003366"/>
          <w:sz w:val="19"/>
        </w:rPr>
        <w:t>Fig. 2. End-to-End Methodological Workflow of the Proposed AU DIC Benchmark Evaluation Framework.</w:t>
      </w:r>
    </w:p>
    <w:p w14:paraId="3F06BF17">
      <w:pPr>
        <w:keepNext/>
        <w:spacing w:before="200" w:after="80"/>
      </w:pPr>
      <w:r>
        <w:rPr>
          <w:rFonts w:ascii="Times New Roman" w:hAnsi="Times New Roman"/>
          <w:b/>
          <w:color w:val="333333"/>
          <w:sz w:val="23"/>
        </w:rPr>
        <w:t>3.2 ADBG Synthetic Benchmark Generation</w:t>
      </w:r>
    </w:p>
    <w:p w14:paraId="383AC2B0">
      <w:pPr>
        <w:keepNext/>
        <w:spacing w:before="160" w:after="40"/>
      </w:pPr>
      <w:r>
        <w:rPr>
          <w:rFonts w:ascii="Times New Roman" w:hAnsi="Times New Roman"/>
          <w:b/>
          <w:i/>
          <w:sz w:val="21"/>
        </w:rPr>
        <w:t>3.2.1 Seed-Deterministic Profile Generation</w:t>
      </w:r>
    </w:p>
    <w:p w14:paraId="3DE06DD2">
      <w:pPr>
        <w:spacing w:before="40" w:after="80" w:line="276" w:lineRule="auto"/>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 [26]:</w:t>
      </w:r>
    </w:p>
    <w:p w14:paraId="3C59182E">
      <w:pPr>
        <w:keepNext/>
        <w:spacing w:before="160" w:after="40"/>
      </w:pPr>
      <w:r>
        <w:rPr>
          <w:rFonts w:ascii="Times New Roman" w:hAnsi="Times New Roman"/>
          <w:b/>
          <w:i/>
          <w:sz w:val="21"/>
        </w:rPr>
        <w:t>3.2.2 Template Compilation Engine</w:t>
      </w:r>
    </w:p>
    <w:p w14:paraId="66057628">
      <w:pPr>
        <w:spacing w:before="40" w:after="80" w:line="276" w:lineRule="auto"/>
      </w:pPr>
      <w:r>
        <w:rPr>
          <w:rFonts w:ascii="Times New Roman" w:hAnsi="Times New Roman"/>
          <w:sz w:val="20"/>
        </w:rPr>
        <w:t>The generator utilizes a Typst vector compilation backend (TypstCompilerAdapter) [29] to render high-resolution academic documents. Three primary document categories are supported:</w:t>
      </w:r>
    </w:p>
    <w:p w14:paraId="684A91F9">
      <w:pPr>
        <w:spacing w:before="20" w:after="40"/>
        <w:ind w:left="360"/>
      </w:pPr>
      <w:r>
        <w:rPr>
          <w:rFonts w:ascii="Times New Roman" w:hAnsi="Times New Roman"/>
          <w:b/>
          <w:sz w:val="20"/>
        </w:rPr>
        <w:t>1. Academic Certificates</w:t>
      </w:r>
      <w:r>
        <w:rPr>
          <w:rFonts w:ascii="Times New Roman" w:hAnsi="Times New Roman"/>
          <w:sz w:val="20"/>
        </w:rPr>
        <w:t>: Degree awards, honor certificates, and course completion diplomas.</w:t>
      </w:r>
    </w:p>
    <w:p w14:paraId="480C1CF1">
      <w:pPr>
        <w:spacing w:before="20" w:after="40"/>
        <w:ind w:left="360"/>
      </w:pPr>
      <w:r>
        <w:rPr>
          <w:rFonts w:ascii="Times New Roman" w:hAnsi="Times New Roman"/>
          <w:b/>
          <w:sz w:val="20"/>
        </w:rPr>
        <w:t>2. Academic Marksheets</w:t>
      </w:r>
      <w:r>
        <w:rPr>
          <w:rFonts w:ascii="Times New Roman" w:hAnsi="Times New Roman"/>
          <w:sz w:val="20"/>
        </w:rPr>
        <w:t>: Semester grade reports featuring multi-column subject arrays (Course Code, Subject Name, Credits, Grade Point, Letter Grade, SGPA/CGPA) [29].</w:t>
      </w:r>
    </w:p>
    <w:p w14:paraId="024B2AD0">
      <w:pPr>
        <w:spacing w:before="20" w:after="40"/>
        <w:ind w:left="360"/>
      </w:pPr>
      <w:r>
        <w:rPr>
          <w:rFonts w:ascii="Times New Roman" w:hAnsi="Times New Roman"/>
          <w:b/>
          <w:sz w:val="20"/>
        </w:rPr>
        <w:t>3. Student ID Cards</w:t>
      </w:r>
      <w:r>
        <w:rPr>
          <w:rFonts w:ascii="Times New Roman" w:hAnsi="Times New Roman"/>
          <w:sz w:val="20"/>
        </w:rPr>
        <w:t>: Institutional identity cards containing student photographs, enrollment numbers, program titles, and issuing authority signatures.</w:t>
      </w:r>
    </w:p>
    <w:p w14:paraId="0CC5B1A8">
      <w:pPr>
        <w:keepNext/>
        <w:spacing w:before="160" w:after="40"/>
      </w:pPr>
      <w:r>
        <w:rPr>
          <w:rFonts w:ascii="Times New Roman" w:hAnsi="Times New Roman"/>
          <w:b/>
          <w:i/>
          <w:sz w:val="21"/>
        </w:rPr>
        <w:t>3.2.3 Optical Degradation Pipeline</w:t>
      </w:r>
    </w:p>
    <w:p w14:paraId="124A208C">
      <w:pPr>
        <w:spacing w:before="40" w:after="80" w:line="276" w:lineRule="auto"/>
      </w:pPr>
      <w:r>
        <w:rPr>
          <w:rFonts w:ascii="Times New Roman" w:hAnsi="Times New Roman"/>
          <w:sz w:val="20"/>
        </w:rPr>
        <w:t>To simulate physical document scanner aging, mobile camera capture distortion, and orientation misalignment, ADBG v1.0 applies a sequence of 14 physical optical transformation operators [27]:</w:t>
      </w:r>
    </w:p>
    <w:p w14:paraId="6CEDD625">
      <w:pPr>
        <w:spacing w:before="40" w:after="80" w:line="276" w:lineRule="auto"/>
      </w:pPr>
      <w:r>
        <w:rPr>
          <w:rFonts w:ascii="Times New Roman" w:hAnsi="Times New Roman"/>
          <w:sz w:val="20"/>
        </w:rPr>
        <w:t>Four standard quality profiles are instantiated in AU_DIC_Benchmark_v1.0:</w:t>
      </w:r>
    </w:p>
    <w:p w14:paraId="3ECCCEA6">
      <w:pPr>
        <w:pStyle w:val="23"/>
        <w:spacing w:before="20" w:after="40"/>
      </w:pPr>
      <w:r>
        <w:rPr>
          <w:rFonts w:ascii="Times New Roman" w:hAnsi="Times New Roman"/>
          <w:b/>
          <w:sz w:val="20"/>
        </w:rPr>
        <w:t>clean</w:t>
      </w:r>
      <w:r>
        <w:rPr>
          <w:rFonts w:ascii="Times New Roman" w:hAnsi="Times New Roman"/>
          <w:sz w:val="20"/>
        </w:rPr>
        <w:t>: Pristine vector-rendered digital PDF exports (0% degradation).</w:t>
      </w:r>
    </w:p>
    <w:p w14:paraId="54932447">
      <w:pPr>
        <w:pStyle w:val="23"/>
        <w:spacing w:before="20" w:after="40"/>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14:paraId="66318A88">
      <w:pPr>
        <w:pStyle w:val="23"/>
        <w:spacing w:before="20" w:after="40"/>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14:paraId="4E641D39">
      <w:pPr>
        <w:pStyle w:val="23"/>
        <w:spacing w:before="20" w:after="40"/>
      </w:pPr>
      <w:r>
        <w:rPr>
          <w:rFonts w:ascii="Times New Roman" w:hAnsi="Times New Roman"/>
          <w:b/>
          <w:sz w:val="20"/>
        </w:rPr>
        <w:t>rotated_90</w:t>
      </w:r>
      <w:r>
        <w:rPr>
          <w:rFonts w:ascii="Times New Roman" w:hAnsi="Times New Roman"/>
          <w:sz w:val="20"/>
        </w:rPr>
        <w:t>: Image specimens rotated 90 degrees clockwise to evaluate orientation detection.</w:t>
      </w:r>
    </w:p>
    <w:p w14:paraId="4696E7C1">
      <w:pPr>
        <w:keepNext/>
        <w:spacing w:before="200" w:after="80"/>
      </w:pPr>
      <w:r>
        <w:rPr>
          <w:rFonts w:ascii="Times New Roman" w:hAnsi="Times New Roman"/>
          <w:b/>
          <w:color w:val="333333"/>
          <w:sz w:val="23"/>
        </w:rPr>
        <w:t>3.3 AU DIC Evaluation Framework Subsystem</w:t>
      </w:r>
    </w:p>
    <w:p w14:paraId="18E10F61">
      <w:pPr>
        <w:spacing w:before="40" w:after="80" w:line="276" w:lineRule="auto"/>
      </w:pPr>
      <w:r>
        <w:rPr>
          <w:rFonts w:ascii="Times New Roman" w:hAnsi="Times New Roman"/>
          <w:sz w:val="20"/>
        </w:rPr>
        <w:t>The benchmark runner (BenchmarkRunner) operates strictly in read-only mode (isReadOnly: true) [31]. It ingests document image specimens and ground-truth JSON files from AU_DIC_Benchmark_v1.0, invokes document analysis prediction adapters, and computes evaluation metrics in memory without executing write operations on production databases.</w:t>
      </w:r>
    </w:p>
    <w:p w14:paraId="1AE13932">
      <w:pPr>
        <w:keepNext/>
        <w:spacing w:before="200" w:after="80"/>
      </w:pPr>
      <w:r>
        <w:rPr>
          <w:rFonts w:ascii="Times New Roman" w:hAnsi="Times New Roman"/>
          <w:b/>
          <w:color w:val="333333"/>
          <w:sz w:val="23"/>
        </w:rPr>
        <w:t>3.4 Six-Stage Semantic Canonical Normalization Layer</w:t>
      </w:r>
    </w:p>
    <w:p w14:paraId="7A562799">
      <w:pPr>
        <w:spacing w:before="40" w:after="80" w:line="276" w:lineRule="auto"/>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[25], [36]. To isolate genuine recognition failures, the framework routes predicted and expected string values through a six-stage semantic normalizer (CanonicalNormalizer):</w:t>
      </w:r>
    </w:p>
    <w:p w14:paraId="0CE61FBC">
      <w:pPr>
        <w:spacing w:before="20" w:after="40"/>
        <w:ind w:left="360"/>
      </w:pPr>
      <w:r>
        <w:rPr>
          <w:rFonts w:ascii="Times New Roman" w:hAnsi="Times New Roman"/>
          <w:b/>
          <w:sz w:val="20"/>
        </w:rPr>
        <w:t>1. Stage 1: Case &amp; Whitespace Normalization</w:t>
      </w:r>
      <w:r>
        <w:rPr>
          <w:rFonts w:ascii="Times New Roman" w:hAnsi="Times New Roman"/>
          <w:sz w:val="20"/>
        </w:rPr>
        <w:t>: Converts characters to lower-case, trims leading/trailing whitespace, and collapses multiple internal space characters into single spaces.</w:t>
      </w:r>
    </w:p>
    <w:p w14:paraId="0C5B2613">
      <w:pPr>
        <w:spacing w:before="20" w:after="40"/>
        <w:ind w:left="360"/>
      </w:pPr>
      <w:r>
        <w:rPr>
          <w:rFonts w:ascii="Times New Roman" w:hAnsi="Times New Roman"/>
          <w:b/>
          <w:sz w:val="20"/>
        </w:rPr>
        <w:t>2. Stage 2: ISO Date Canonicalization</w:t>
      </w:r>
      <w:r>
        <w:rPr>
          <w:rFonts w:ascii="Times New Roman" w:hAnsi="Times New Roman"/>
          <w:sz w:val="20"/>
        </w:rPr>
        <w:t>: Standardizes diverse date formats (04/08/2026, August 4, 2026, 2026.08.04) into ISO-8601 string representations (YYYY-MM-DD).</w:t>
      </w:r>
    </w:p>
    <w:p w14:paraId="297FCACD">
      <w:pPr>
        <w:spacing w:before="20" w:after="40"/>
        <w:ind w:left="360"/>
      </w:pPr>
      <w:r>
        <w:rPr>
          <w:rFonts w:ascii="Times New Roman" w:hAnsi="Times New Roman"/>
          <w:b/>
          <w:sz w:val="20"/>
        </w:rPr>
        <w:t>3. Stage 3: Identifier Canonicalization</w:t>
      </w:r>
      <w:r>
        <w:rPr>
          <w:rFonts w:ascii="Times New Roman" w:hAnsi="Times New Roman"/>
          <w:sz w:val="20"/>
        </w:rPr>
        <w:t>: Strips non-alphanumeric separator characters (hyphens, slashes, spaces) from candidate roll numbers and registration IDs.</w:t>
      </w:r>
    </w:p>
    <w:p w14:paraId="4317808F">
      <w:pPr>
        <w:spacing w:before="20" w:after="40"/>
        <w:ind w:left="360"/>
      </w:pPr>
      <w:r>
        <w:rPr>
          <w:rFonts w:ascii="Times New Roman" w:hAnsi="Times New Roman"/>
          <w:b/>
          <w:sz w:val="20"/>
        </w:rPr>
        <w:t>4. Stage 4: Numerical Precision Standardizer</w:t>
      </w:r>
      <w:r>
        <w:rPr>
          <w:rFonts w:ascii="Times New Roman" w:hAnsi="Times New Roman"/>
          <w:sz w:val="20"/>
        </w:rPr>
        <w:t>: Parses floating-point marks, SGPA/CGPA values, and percentages, formatting numeric values to fixed two-decimal precision.</w:t>
      </w:r>
    </w:p>
    <w:p w14:paraId="3D11C455">
      <w:pPr>
        <w:spacing w:before="20" w:after="40"/>
        <w:ind w:left="360"/>
      </w:pPr>
      <w:r>
        <w:rPr>
          <w:rFonts w:ascii="Times New Roman" w:hAnsi="Times New Roman"/>
          <w:b/>
          <w:sz w:val="20"/>
        </w:rPr>
        <w:t>5. Stage 5: Institutional Alias Mapping</w:t>
      </w:r>
      <w:r>
        <w:rPr>
          <w:rFonts w:ascii="Times New Roman" w:hAnsi="Times New Roman"/>
          <w:sz w:val="20"/>
        </w:rPr>
        <w:t xml:space="preserve">: Maps common university name abbreviations (e.g., MIT </w:t>
      </w:r>
      <m:oMath>
        <m:r>
          <m:rPr/>
          <w:rPr>
            <w:rFonts w:ascii="Cambria Math" w:hAnsi="Cambria Math"/>
          </w:rPr>
          <m:t>→</m:t>
        </m:r>
      </m:oMath>
      <w:r>
        <w:rPr>
          <w:rFonts w:ascii="Times New Roman" w:hAnsi="Times New Roman"/>
          <w:sz w:val="20"/>
        </w:rPr>
        <w:t xml:space="preserve"> Massachusetts Institute of Technology) using an institutional lexicon directory.</w:t>
      </w:r>
    </w:p>
    <w:p w14:paraId="1D52BC4C">
      <w:pPr>
        <w:spacing w:before="20" w:after="40"/>
        <w:ind w:left="360"/>
      </w:pPr>
      <w:r>
        <w:rPr>
          <w:rFonts w:ascii="Times New Roman" w:hAnsi="Times New Roman"/>
          <w:b/>
          <w:sz w:val="20"/>
        </w:rPr>
        <w:t>6. Stage 6: Canonical Honorific Removal</w:t>
      </w:r>
      <w:r>
        <w:rPr>
          <w:rFonts w:ascii="Times New Roman" w:hAnsi="Times New Roman"/>
          <w:sz w:val="20"/>
        </w:rPr>
        <w:t>: Removes standard honorific prefixes (Mr., Ms., Dr., Prof.) prior to candidate name comparison.</w:t>
      </w:r>
    </w:p>
    <w:p w14:paraId="78943BA5">
      <w:pPr>
        <w:keepNext/>
        <w:spacing w:before="200" w:after="80"/>
      </w:pPr>
      <w:r>
        <w:rPr>
          <w:rFonts w:ascii="Times New Roman" w:hAnsi="Times New Roman"/>
          <w:b/>
          <w:color w:val="333333"/>
          <w:sz w:val="23"/>
        </w:rPr>
        <w:t>3.5 Nine-Class Structured OCR Error Taxonomy</w:t>
      </w:r>
    </w:p>
    <w:p w14:paraId="4ABA0F56">
      <w:pPr>
        <w:spacing w:before="40" w:after="80" w:line="276" w:lineRule="auto"/>
      </w:pPr>
      <w:r>
        <w:rPr>
          <w:rFonts w:ascii="Times New Roman" w:hAnsi="Times New Roman"/>
          <w:sz w:val="20"/>
        </w:rPr>
        <w:t>When an extracted field value deviates from ground truth after canonical normalization, the evaluation engine categorizes the failure into one of nine structured error classes [28], [37]:</w:t>
      </w:r>
    </w:p>
    <w:p w14:paraId="2D8453A1">
      <w:pPr>
        <w:keepNext/>
        <w:spacing w:before="160" w:after="40"/>
      </w:pPr>
      <w:r>
        <w:rPr>
          <w:rFonts w:ascii="Times New Roman" w:hAnsi="Times New Roman"/>
          <w:b/>
          <w:i/>
          <w:sz w:val="21"/>
        </w:rPr>
        <w:t>3.5.1 Scientific Definition and Justification of NORMALIZATION_ERROR</w:t>
      </w:r>
    </w:p>
    <w:p w14:paraId="73516041">
      <w:pPr>
        <w:spacing w:before="40" w:after="80" w:line="276" w:lineRule="auto"/>
      </w:pPr>
      <w:r>
        <w:rPr>
          <w:rFonts w:ascii="Times New Roman" w:hAnsi="Times New Roman"/>
          <w:sz w:val="20"/>
        </w:rPr>
        <w:t xml:space="preserve">A potential ambiguity in field comparison is distinguishing superficial representation differences from true recognition errors. To eliminate this ambiguity, the AU DIC evaluation engine assigns NORMALIZATION_ERROR </w:t>
      </w:r>
      <w:r>
        <w:rPr>
          <w:rFonts w:ascii="Times New Roman" w:hAnsi="Times New Roman"/>
          <w:b/>
          <w:sz w:val="20"/>
        </w:rPr>
        <w:t>only when ALL of the following five conditions are satisfied</w:t>
      </w:r>
      <w:r>
        <w:rPr>
          <w:rFonts w:ascii="Times New Roman" w:hAnsi="Times New Roman"/>
          <w:sz w:val="20"/>
        </w:rPr>
        <w:t>:</w:t>
      </w:r>
    </w:p>
    <w:p w14:paraId="6EDB1F2E">
      <w:pPr>
        <w:spacing w:before="20" w:after="40"/>
        <w:ind w:left="360"/>
      </w:pPr>
      <w:r>
        <w:rPr>
          <w:rFonts w:ascii="Times New Roman" w:hAnsi="Times New Roman"/>
          <w:b/>
          <w:sz w:val="20"/>
        </w:rPr>
        <w:t>1. Pipeline Traversal</w:t>
      </w:r>
      <w:r>
        <w:rPr>
          <w:rFonts w:ascii="Times New Roman" w:hAnsi="Times New Roman"/>
          <w:sz w:val="20"/>
        </w:rPr>
        <w:t>: The candidate field has successfully passed through the complete six-stage semantic normalization layer (CanonicalNormalizer).</w:t>
      </w:r>
    </w:p>
    <w:p w14:paraId="191C4B62">
      <w:pPr>
        <w:spacing w:before="20" w:after="40"/>
        <w:ind w:left="360"/>
      </w:pPr>
      <w:r>
        <w:rPr>
          <w:rFonts w:ascii="Times New Roman" w:hAnsi="Times New Roman"/>
          <w:b/>
          <w:sz w:val="20"/>
        </w:rPr>
        <w:t>2. Valid Canonical Representations</w:t>
      </w:r>
      <w:r>
        <w:rPr>
          <w:rFonts w:ascii="Times New Roman" w:hAnsi="Times New Roman"/>
          <w:sz w:val="20"/>
        </w:rPr>
        <w:t>: Both Ground Truth (</w:t>
      </w:r>
      <m:oMath>
        <m:sSub>
          <m:sSubPr/>
          <m:e>
            <m:r>
              <m:rPr/>
              <w:rPr>
                <w:rFonts w:ascii="Cambria Math" w:hAnsi="Cambria Math"/>
              </w:rPr>
              <m:t>V</m:t>
            </m:r>
          </m:e>
          <m:sub>
            <m:r>
              <m:rPr/>
              <w:rPr>
                <w:rFonts w:ascii="Times New Roman" w:hAnsi="Times New Roman"/>
              </w:rPr>
              <m:t>GT</m:t>
            </m:r>
          </m:sub>
        </m:sSub>
      </m:oMath>
      <w:r>
        <w:rPr>
          <w:rFonts w:ascii="Times New Roman" w:hAnsi="Times New Roman"/>
          <w:sz w:val="20"/>
        </w:rPr>
        <w:t>) and Prediction (</w:t>
      </w:r>
      <m:oMath>
        <m:acc>
          <m:accPr/>
          <m:e>
            <m:r>
              <m:rPr/>
              <w:rPr>
                <w:rFonts w:ascii="Cambria Math" w:hAnsi="Cambria Math"/>
              </w:rPr>
              <m:t>V</m:t>
            </m:r>
          </m:e>
        </m:acc>
      </m:oMath>
      <w:r>
        <w:rPr>
          <w:rFonts w:ascii="Times New Roman" w:hAnsi="Times New Roman"/>
          <w:sz w:val="20"/>
        </w:rPr>
        <w:t>) possess valid, parseable canonical representations.</w:t>
      </w:r>
    </w:p>
    <w:p w14:paraId="33D0A898">
      <w:pPr>
        <w:spacing w:before="20" w:after="40"/>
        <w:ind w:left="360"/>
      </w:pPr>
      <w:r>
        <w:rPr>
          <w:rFonts w:ascii="Times New Roman" w:hAnsi="Times New Roman"/>
          <w:b/>
          <w:sz w:val="20"/>
        </w:rPr>
        <w:t>3. Elimination of Formatting Artifacts</w:t>
      </w:r>
      <w:r>
        <w:rPr>
          <w:rFonts w:ascii="Times New Roman" w:hAnsi="Times New Roman"/>
          <w:sz w:val="20"/>
        </w:rPr>
        <w:t>: Superficial formatting variations (date syntax, whitespace padding, case differences, numeric precision, alias expansions) have already been fully eliminated.</w:t>
      </w:r>
    </w:p>
    <w:p w14:paraId="4F7A49B7">
      <w:pPr>
        <w:spacing w:before="20" w:after="40"/>
        <w:ind w:left="360"/>
      </w:pPr>
      <w:r>
        <w:rPr>
          <w:rFonts w:ascii="Times New Roman" w:hAnsi="Times New Roman"/>
          <w:b/>
          <w:sz w:val="20"/>
        </w:rPr>
        <w:t>4. Canonical Discrepancy</w:t>
      </w:r>
      <w:r>
        <w:rPr>
          <w:rFonts w:ascii="Times New Roman" w:hAnsi="Times New Roman"/>
          <w:sz w:val="20"/>
        </w:rPr>
        <w:t>: The canonical representations remain strictly unequal (</w:t>
      </w:r>
      <m:oMath>
        <m:r>
          <m:rPr/>
          <w:rPr>
            <w:rFonts w:ascii="Cambria Math" w:hAnsi="Cambria Math"/>
          </w:rPr>
          <m:t>C(</m:t>
        </m:r>
        <m:sSub>
          <m:sSubPr/>
          <m:e>
            <m:r>
              <m:rPr/>
              <w:rPr>
                <w:rFonts w:ascii="Cambria Math" w:hAnsi="Cambria Math"/>
              </w:rPr>
              <m:t>V</m:t>
            </m:r>
          </m:e>
          <m:sub>
            <m:r>
              <m:rPr/>
              <w:rPr>
                <w:rFonts w:ascii="Times New Roman" w:hAnsi="Times New Roman"/>
              </w:rPr>
              <m:t>GT</m:t>
            </m:r>
          </m:sub>
        </m:sSub>
        <m:r>
          <m:rPr/>
          <w:rPr>
            <w:rFonts w:ascii="Cambria Math" w:hAnsi="Cambria Math"/>
          </w:rPr>
          <m:t>)≠C(</m:t>
        </m:r>
        <m:acc>
          <m:accPr/>
          <m:e>
            <m:r>
              <m:rPr/>
              <w:rPr>
                <w:rFonts w:ascii="Cambria Math" w:hAnsi="Cambria Math"/>
              </w:rPr>
              <m:t>V</m:t>
            </m:r>
          </m:e>
        </m:acc>
        <m:r>
          <m:rPr/>
          <w:rPr>
            <w:rFonts w:ascii="Cambria Math" w:hAnsi="Cambria Math"/>
          </w:rPr>
          <m:t>)</m:t>
        </m:r>
      </m:oMath>
      <w:r>
        <w:rPr>
          <w:rFonts w:ascii="Times New Roman" w:hAnsi="Times New Roman"/>
          <w:sz w:val="20"/>
        </w:rPr>
        <w:t>).</w:t>
      </w:r>
    </w:p>
    <w:p w14:paraId="700F36BA">
      <w:pPr>
        <w:spacing w:before="20" w:after="40"/>
        <w:ind w:left="360"/>
      </w:pPr>
      <w:r>
        <w:rPr>
          <w:rFonts w:ascii="Times New Roman" w:hAnsi="Times New Roman"/>
          <w:b/>
          <w:sz w:val="20"/>
        </w:rPr>
        <w:t>5. Genuine Semantic Mismatch</w:t>
      </w:r>
      <w:r>
        <w:rPr>
          <w:rFonts w:ascii="Times New Roman" w:hAnsi="Times New Roman"/>
          <w:sz w:val="20"/>
        </w:rPr>
        <w:t>: Consequently, the remaining discrepancy represents a genuine semantic character or value mismatch rather than a formatting variation.</w:t>
      </w:r>
    </w:p>
    <w:p w14:paraId="6BB7F078">
      <w:pPr>
        <w:spacing w:before="40" w:after="80" w:line="276" w:lineRule="auto"/>
      </w:pPr>
      <w:r>
        <w:rPr>
          <w:rFonts w:ascii="Times New Roman" w:hAnsi="Times New Roman"/>
          <w:sz w:val="20"/>
        </w:rPr>
        <w: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14:paraId="6003577E">
      <w:pPr>
        <w:keepNext/>
        <w:spacing w:before="160" w:after="40"/>
      </w:pPr>
      <w:r>
        <w:rPr>
          <w:rFonts w:ascii="Times New Roman" w:hAnsi="Times New Roman"/>
          <w:b/>
          <w:i/>
          <w:sz w:val="21"/>
        </w:rPr>
        <w:t>3.5.2 Canonical Comparison Workflow &amp; Non-Overlapping Taxonomy Boundaries</w:t>
      </w:r>
    </w:p>
    <w:p w14:paraId="0B0D7478">
      <w:pPr>
        <w:spacing w:before="40" w:after="80" w:line="276" w:lineRule="auto"/>
      </w:pPr>
      <w:r>
        <w:rPr>
          <w:rFonts w:ascii="Times New Roman" w:hAnsi="Times New Roman"/>
          <w:sz w:val="20"/>
        </w:rPr>
        <w:t>To ensure taxonomic independence, each error class maintains a strict, non-overlapping responsibility [28], [37]:</w:t>
      </w:r>
    </w:p>
    <w:p w14:paraId="3F9FC34A">
      <w:pPr>
        <w:pStyle w:val="23"/>
        <w:spacing w:before="20" w:after="40"/>
      </w:pPr>
      <w:r>
        <w:rPr>
          <w:rFonts w:ascii="Times New Roman" w:hAnsi="Times New Roman"/>
          <w:b/>
          <w:sz w:val="20"/>
        </w:rPr>
        <w:t>EXACT_MATCH</w:t>
      </w:r>
      <w:r>
        <w:rPr>
          <w:rFonts w:ascii="Times New Roman" w:hAnsi="Times New Roman"/>
          <w:sz w:val="20"/>
        </w:rPr>
        <w:t>: Raw predicted string identically matches raw ground truth string prior to normalization.</w:t>
      </w:r>
    </w:p>
    <w:p w14:paraId="72625B37">
      <w:pPr>
        <w:pStyle w:val="23"/>
        <w:spacing w:before="20" w:after="40"/>
      </w:pPr>
      <w:r>
        <w:rPr>
          <w:rFonts w:ascii="Times New Roman" w:hAnsi="Times New Roman"/>
          <w:b/>
          <w:sz w:val="20"/>
        </w:rPr>
        <w:t>FORMAT_ERROR</w:t>
      </w:r>
      <w:r>
        <w:rPr>
          <w:rFonts w:ascii="Times New Roman" w:hAnsi="Times New Roman"/>
          <w:sz w:val="20"/>
        </w:rPr>
        <w:t xml:space="preserve">: Raw strings differ, but match identically </w:t>
      </w:r>
      <w:r>
        <w:rPr>
          <w:rFonts w:ascii="Times New Roman" w:hAnsi="Times New Roman"/>
          <w:i/>
          <w:sz w:val="20"/>
        </w:rPr>
        <w:t>after</w:t>
      </w:r>
      <w:r>
        <w:rPr>
          <w:rFonts w:ascii="Times New Roman" w:hAnsi="Times New Roman"/>
          <w:sz w:val="20"/>
        </w:rPr>
        <w:t xml:space="preserve"> canonical normalization (confirming a benign formatting discrepancy).</w:t>
      </w:r>
    </w:p>
    <w:p w14:paraId="5FDFB5BE">
      <w:pPr>
        <w:pStyle w:val="23"/>
        <w:spacing w:before="20" w:after="40"/>
      </w:pPr>
      <w:r>
        <w:rPr>
          <w:rFonts w:ascii="Times New Roman" w:hAnsi="Times New Roman"/>
          <w:b/>
          <w:sz w:val="20"/>
        </w:rPr>
        <w:t>NORMALIZATION_ERROR</w:t>
      </w:r>
      <w:r>
        <w:rPr>
          <w:rFonts w:ascii="Times New Roman" w:hAnsi="Times New Roman"/>
          <w:sz w:val="20"/>
        </w:rPr>
        <w:t>: Both values are normalized, but their canonical representations remain unequal (</w:t>
      </w:r>
      <m:oMath>
        <m:r>
          <m:rPr/>
          <w:rPr>
            <w:rFonts w:ascii="Cambria Math" w:hAnsi="Cambria Math"/>
          </w:rPr>
          <m:t>C(</m:t>
        </m:r>
        <m:sSub>
          <m:sSubPr/>
          <m:e>
            <m:r>
              <m:rPr/>
              <w:rPr>
                <w:rFonts w:ascii="Cambria Math" w:hAnsi="Cambria Math"/>
              </w:rPr>
              <m:t>V</m:t>
            </m:r>
          </m:e>
          <m:sub>
            <m:r>
              <m:rPr/>
              <w:rPr>
                <w:rFonts w:ascii="Times New Roman" w:hAnsi="Times New Roman"/>
              </w:rPr>
              <m:t>GT</m:t>
            </m:r>
          </m:sub>
        </m:sSub>
        <m:r>
          <m:rPr/>
          <w:rPr>
            <w:rFonts w:ascii="Cambria Math" w:hAnsi="Cambria Math"/>
          </w:rPr>
          <m:t>)≠C(</m:t>
        </m:r>
        <m:acc>
          <m:accPr/>
          <m:e>
            <m:r>
              <m:rPr/>
              <w:rPr>
                <w:rFonts w:ascii="Cambria Math" w:hAnsi="Cambria Math"/>
              </w:rPr>
              <m:t>V</m:t>
            </m:r>
          </m:e>
        </m:acc>
        <m:r>
          <m:rPr/>
          <w:rPr>
            <w:rFonts w:ascii="Cambria Math" w:hAnsi="Cambria Math"/>
          </w:rPr>
          <m:t>)</m:t>
        </m:r>
      </m:oMath>
      <w:r>
        <w:rPr>
          <w:rFonts w:ascii="Times New Roman" w:hAnsi="Times New Roman"/>
          <w:sz w:val="20"/>
        </w:rPr>
        <w:t>), confirming a true semantic extraction mismatch.</w:t>
      </w:r>
    </w:p>
    <w:p w14:paraId="757A64BB">
      <w:pPr>
        <w:pStyle w:val="23"/>
        <w:spacing w:before="20" w:after="40"/>
      </w:pPr>
      <w:r>
        <w:rPr>
          <w:rFonts w:ascii="Times New Roman" w:hAnsi="Times New Roman"/>
          <w:b/>
          <w:sz w:val="20"/>
        </w:rPr>
        <w:t>OCR_ERROR</w:t>
      </w:r>
      <w:r>
        <w:rPr>
          <w:rFonts w:ascii="Times New Roman" w:hAnsi="Times New Roman"/>
          <w:sz w:val="20"/>
        </w:rPr>
        <w:t>: Character substitutions/deletions caused directly by physical optical degradation artifacts (blur, camera skew, noise) [27].</w:t>
      </w:r>
    </w:p>
    <w:p w14:paraId="17AEAE09">
      <w:pPr>
        <w:pStyle w:val="23"/>
        <w:spacing w:before="20" w:after="40"/>
      </w:pPr>
      <w:r>
        <w:rPr>
          <w:rFonts w:ascii="Times New Roman" w:hAnsi="Times New Roman"/>
          <w:b/>
          <w:sz w:val="20"/>
        </w:rPr>
        <w:t>FIELD_MISSING</w:t>
      </w:r>
      <w:r>
        <w:rPr>
          <w:rFonts w:ascii="Times New Roman" w:hAnsi="Times New Roman"/>
          <w:sz w:val="20"/>
        </w:rPr>
        <w:t>: Target key entity is entirely absent from the model output JSON payload.</w:t>
      </w:r>
    </w:p>
    <w:p w14:paraId="5C03F649">
      <w:pPr>
        <w:pStyle w:val="23"/>
        <w:spacing w:before="20" w:after="40"/>
      </w:pPr>
      <w:r>
        <w:rPr>
          <w:rFonts w:ascii="Times New Roman" w:hAnsi="Times New Roman"/>
          <w:b/>
          <w:sz w:val="20"/>
        </w:rPr>
        <w:t>HALLUCINATION</w:t>
      </w:r>
      <w:r>
        <w:rPr>
          <w:rFonts w:ascii="Times New Roman" w:hAnsi="Times New Roman"/>
          <w:sz w:val="20"/>
        </w:rPr>
        <w:t>: Predicted entity contains text content completely absent from the source document image.</w:t>
      </w:r>
    </w:p>
    <w:p w14:paraId="726E9FDF">
      <w:pPr>
        <w:spacing w:before="40" w:after="80" w:line="276" w:lineRule="auto"/>
      </w:pPr>
      <w:r>
        <w:t>Table II illustrates candidate field evaluations across the canonical normalization layer and error taxonomy classifier.</w:t>
      </w:r>
    </w:p>
    <w:p w14:paraId="2E663D9C">
      <w:pPr>
        <w:keepNext/>
        <w:spacing w:before="80" w:after="160"/>
        <w:jc w:val="center"/>
      </w:pPr>
      <w:r>
        <w:t>Table II: Canonical Normalization Comparison Examples and Error Categorization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460"/>
      </w:tblGrid>
      <w:tr w14:paraId="67048C7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45A14EED">
            <w:pPr>
              <w:spacing w:before="40" w:after="40"/>
              <w:jc w:val="center"/>
            </w:pPr>
            <w:r>
              <w:rPr>
                <w:rFonts w:ascii="Times New Roman" w:hAnsi="Times New Roman"/>
                <w:b/>
                <w:color w:val="FFFFFF"/>
                <w:sz w:val="19"/>
              </w:rPr>
              <w:t>Ground Truth (</w:t>
            </w:r>
            <m:oMath>
              <m:sSub>
                <m:sSubPr/>
                <m:e>
                  <m:r>
                    <m:rPr/>
                    <w:rPr>
                      <w:rFonts w:ascii="Cambria Math" w:hAnsi="Cambria Math"/>
                    </w:rPr>
                    <m:t>V</m:t>
                  </m:r>
                </m:e>
                <m:sub>
                  <m:r>
                    <m:rPr/>
                    <w:rPr>
                      <w:rFonts w:ascii="Times New Roman" w:hAnsi="Times New Roman"/>
                    </w:rPr>
                    <m:t>GT</m:t>
                  </m:r>
                </m:sub>
              </m:sSub>
            </m: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6619CED">
            <w:pPr>
              <w:spacing w:before="40" w:after="40"/>
              <w:jc w:val="center"/>
            </w:pPr>
            <w:r>
              <w:rPr>
                <w:rFonts w:ascii="Times New Roman" w:hAnsi="Times New Roman"/>
                <w:b/>
                <w:color w:val="FFFFFF"/>
                <w:sz w:val="19"/>
              </w:rPr>
              <w:t>Prediction (</w:t>
            </w:r>
            <m:oMath>
              <m:acc>
                <m:accPr/>
                <m:e>
                  <m:r>
                    <m:rPr/>
                    <w:rPr>
                      <w:rFonts w:ascii="Cambria Math" w:hAnsi="Cambria Math"/>
                    </w:rPr>
                    <m:t>V</m:t>
                  </m:r>
                </m:e>
              </m:acc>
            </m: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F8B6478">
            <w:pPr>
              <w:spacing w:before="40" w:after="40"/>
              <w:jc w:val="center"/>
            </w:pPr>
            <w:r>
              <w:rPr>
                <w:rFonts w:ascii="Times New Roman" w:hAnsi="Times New Roman"/>
                <w:b/>
                <w:color w:val="FFFFFF"/>
                <w:sz w:val="19"/>
              </w:rPr>
              <w:t>After Canonical Normalizer (</w:t>
            </w:r>
            <m:oMath>
              <m:r>
                <m:rPr/>
                <w:rPr>
                  <w:rFonts w:ascii="Cambria Math" w:hAnsi="Cambria Math"/>
                </w:rPr>
                <m:t>C(</m:t>
              </m:r>
              <m:sSub>
                <m:sSubPr/>
                <m:e>
                  <m:r>
                    <m:rPr/>
                    <w:rPr>
                      <w:rFonts w:ascii="Cambria Math" w:hAnsi="Cambria Math"/>
                    </w:rPr>
                    <m:t>V</m:t>
                  </m:r>
                </m:e>
                <m:sub>
                  <m:r>
                    <m:rPr/>
                    <w:rPr>
                      <w:rFonts w:ascii="Times New Roman" w:hAnsi="Times New Roman"/>
                    </w:rPr>
                    <m:t>GT</m:t>
                  </m:r>
                </m:sub>
              </m:sSub>
              <m:r>
                <m:rPr/>
                <w:rPr>
                  <w:rFonts w:ascii="Cambria Math" w:hAnsi="Cambria Math"/>
                </w:rPr>
                <m:t>)</m:t>
              </m:r>
              <m:r>
                <m:rPr/>
                <w:rPr>
                  <w:rFonts w:ascii="Times New Roman" w:hAnsi="Times New Roman"/>
                </w:rPr>
                <m:t>vs</m:t>
              </m:r>
              <m:r>
                <m:rPr/>
                <w:rPr>
                  <w:rFonts w:ascii="Cambria Math" w:hAnsi="Cambria Math"/>
                </w:rPr>
                <m:t>C(</m:t>
              </m:r>
              <m:acc>
                <m:accPr/>
                <m:e>
                  <m:r>
                    <m:rPr/>
                    <w:rPr>
                      <w:rFonts w:ascii="Cambria Math" w:hAnsi="Cambria Math"/>
                    </w:rPr>
                    <m:t>V</m:t>
                  </m:r>
                </m:e>
              </m:acc>
              <m:r>
                <m:rPr/>
                <w:rPr>
                  <w:rFonts w:ascii="Cambria Math" w:hAnsi="Cambria Math"/>
                </w:rPr>
                <m:t>)</m:t>
              </m:r>
            </m: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4ED13CB3">
            <w:pPr>
              <w:spacing w:before="40" w:after="40"/>
              <w:jc w:val="center"/>
            </w:pPr>
            <w:r>
              <w:rPr>
                <w:rFonts w:ascii="Times New Roman" w:hAnsi="Times New Roman"/>
                <w:b/>
                <w:color w:val="FFFFFF"/>
                <w:sz w:val="19"/>
              </w:rPr>
              <w:t>Classification Result</w:t>
            </w:r>
          </w:p>
        </w:tc>
      </w:tr>
      <w:tr w14:paraId="080CFAC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F7475AD">
            <w:pPr>
              <w:spacing w:before="40" w:after="40"/>
              <w:jc w:val="left"/>
            </w:pPr>
            <w:r>
              <w:rPr>
                <w:rFonts w:ascii="Times New Roman" w:hAnsi="Times New Roman"/>
                <w:sz w:val="18"/>
              </w:rPr>
              <w:t>04/08/2026</w:t>
            </w:r>
          </w:p>
        </w:tc>
        <w:tc>
          <w:tcPr>
            <w:tcW w:w="2340" w:type="dxa"/>
            <w:shd w:val="clear" w:color="auto" w:fill="FFFFFF"/>
            <w:tcMar>
              <w:top w:w="100" w:type="dxa"/>
              <w:left w:w="130" w:type="dxa"/>
              <w:bottom w:w="100" w:type="dxa"/>
              <w:right w:w="130" w:type="dxa"/>
            </w:tcMar>
          </w:tcPr>
          <w:p w14:paraId="10C4DC6B">
            <w:pPr>
              <w:spacing w:before="40" w:after="40"/>
              <w:jc w:val="center"/>
            </w:pPr>
            <w:r>
              <w:rPr>
                <w:rFonts w:ascii="Times New Roman" w:hAnsi="Times New Roman"/>
                <w:sz w:val="18"/>
              </w:rPr>
              <w:t>August 4, 2026</w:t>
            </w:r>
          </w:p>
        </w:tc>
        <w:tc>
          <w:tcPr>
            <w:tcW w:w="2340" w:type="dxa"/>
            <w:shd w:val="clear" w:color="auto" w:fill="FFFFFF"/>
            <w:tcMar>
              <w:top w:w="100" w:type="dxa"/>
              <w:left w:w="130" w:type="dxa"/>
              <w:bottom w:w="100" w:type="dxa"/>
              <w:right w:w="130" w:type="dxa"/>
            </w:tcMar>
          </w:tcPr>
          <w:p w14:paraId="03E03415">
            <w:pPr>
              <w:spacing w:before="40" w:after="40"/>
              <w:jc w:val="center"/>
            </w:pPr>
            <w:r>
              <w:rPr>
                <w:rFonts w:ascii="Times New Roman" w:hAnsi="Times New Roman"/>
                <w:sz w:val="18"/>
              </w:rPr>
              <w:t>2026-08-04 == 2026-08-04</w:t>
            </w:r>
          </w:p>
        </w:tc>
        <w:tc>
          <w:tcPr>
            <w:tcW w:w="2340" w:type="dxa"/>
            <w:shd w:val="clear" w:color="auto" w:fill="FFFFFF"/>
            <w:tcMar>
              <w:top w:w="100" w:type="dxa"/>
              <w:left w:w="130" w:type="dxa"/>
              <w:bottom w:w="100" w:type="dxa"/>
              <w:right w:w="130" w:type="dxa"/>
            </w:tcMar>
          </w:tcPr>
          <w:p w14:paraId="51F8B29C">
            <w:pPr>
              <w:spacing w:before="40" w:after="40"/>
              <w:jc w:val="center"/>
            </w:pPr>
            <w:r>
              <w:rPr>
                <w:rFonts w:ascii="Times New Roman" w:hAnsi="Times New Roman"/>
                <w:sz w:val="18"/>
              </w:rPr>
              <w:t>FORMAT_ERROR (Correct)</w:t>
            </w:r>
          </w:p>
        </w:tc>
      </w:tr>
      <w:tr w14:paraId="1499B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A9BF8CE">
            <w:pPr>
              <w:spacing w:before="40" w:after="40"/>
              <w:jc w:val="left"/>
            </w:pPr>
            <w:r>
              <w:rPr>
                <w:rFonts w:ascii="Times New Roman" w:hAnsi="Times New Roman"/>
                <w:sz w:val="18"/>
              </w:rPr>
              <w:t>B.Tech</w:t>
            </w:r>
          </w:p>
        </w:tc>
        <w:tc>
          <w:tcPr>
            <w:tcW w:w="2340" w:type="dxa"/>
            <w:shd w:val="clear" w:color="auto" w:fill="F8F9FA"/>
            <w:tcMar>
              <w:top w:w="100" w:type="dxa"/>
              <w:left w:w="130" w:type="dxa"/>
              <w:bottom w:w="100" w:type="dxa"/>
              <w:right w:w="130" w:type="dxa"/>
            </w:tcMar>
          </w:tcPr>
          <w:p w14:paraId="75828634">
            <w:pPr>
              <w:spacing w:before="40" w:after="40"/>
              <w:jc w:val="center"/>
            </w:pPr>
            <w:r>
              <w:rPr>
                <w:rFonts w:ascii="Times New Roman" w:hAnsi="Times New Roman"/>
                <w:sz w:val="18"/>
              </w:rPr>
              <w:t>Bachelor of Technology</w:t>
            </w:r>
          </w:p>
        </w:tc>
        <w:tc>
          <w:tcPr>
            <w:tcW w:w="2340" w:type="dxa"/>
            <w:shd w:val="clear" w:color="auto" w:fill="F8F9FA"/>
            <w:tcMar>
              <w:top w:w="100" w:type="dxa"/>
              <w:left w:w="130" w:type="dxa"/>
              <w:bottom w:w="100" w:type="dxa"/>
              <w:right w:w="130" w:type="dxa"/>
            </w:tcMar>
          </w:tcPr>
          <w:p w14:paraId="0B67BD9E">
            <w:pPr>
              <w:spacing w:before="40" w:after="40"/>
              <w:jc w:val="center"/>
            </w:pPr>
            <w:r>
              <w:rPr>
                <w:rFonts w:ascii="Times New Roman" w:hAnsi="Times New Roman"/>
                <w:sz w:val="18"/>
              </w:rPr>
              <w:t>Bachelor of Technology == Bachelor of Technology</w:t>
            </w:r>
          </w:p>
        </w:tc>
        <w:tc>
          <w:tcPr>
            <w:tcW w:w="2340" w:type="dxa"/>
            <w:shd w:val="clear" w:color="auto" w:fill="F8F9FA"/>
            <w:tcMar>
              <w:top w:w="100" w:type="dxa"/>
              <w:left w:w="130" w:type="dxa"/>
              <w:bottom w:w="100" w:type="dxa"/>
              <w:right w:w="130" w:type="dxa"/>
            </w:tcMar>
          </w:tcPr>
          <w:p w14:paraId="15D721C6">
            <w:pPr>
              <w:spacing w:before="40" w:after="40"/>
              <w:jc w:val="center"/>
            </w:pPr>
            <w:r>
              <w:rPr>
                <w:rFonts w:ascii="Times New Roman" w:hAnsi="Times New Roman"/>
                <w:sz w:val="18"/>
              </w:rPr>
              <w:t>FORMAT_ERROR (Correct)</w:t>
            </w:r>
          </w:p>
        </w:tc>
      </w:tr>
      <w:tr w14:paraId="2387319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896FAC1">
            <w:pPr>
              <w:spacing w:before="40" w:after="40"/>
              <w:jc w:val="left"/>
            </w:pPr>
            <w:r>
              <w:rPr>
                <w:rFonts w:ascii="Times New Roman" w:hAnsi="Times New Roman"/>
                <w:sz w:val="18"/>
              </w:rPr>
              <w:t>VTU</w:t>
            </w:r>
          </w:p>
        </w:tc>
        <w:tc>
          <w:tcPr>
            <w:tcW w:w="2340" w:type="dxa"/>
            <w:shd w:val="clear" w:color="auto" w:fill="FFFFFF"/>
            <w:tcMar>
              <w:top w:w="100" w:type="dxa"/>
              <w:left w:w="130" w:type="dxa"/>
              <w:bottom w:w="100" w:type="dxa"/>
              <w:right w:w="130" w:type="dxa"/>
            </w:tcMar>
          </w:tcPr>
          <w:p w14:paraId="1F0D2529">
            <w:pPr>
              <w:spacing w:before="40" w:after="40"/>
              <w:jc w:val="center"/>
            </w:pPr>
            <w:r>
              <w:rPr>
                <w:rFonts w:ascii="Times New Roman" w:hAnsi="Times New Roman"/>
                <w:sz w:val="18"/>
              </w:rPr>
              <w:t>Delhi University</w:t>
            </w:r>
          </w:p>
        </w:tc>
        <w:tc>
          <w:tcPr>
            <w:tcW w:w="2340" w:type="dxa"/>
            <w:shd w:val="clear" w:color="auto" w:fill="FFFFFF"/>
            <w:tcMar>
              <w:top w:w="100" w:type="dxa"/>
              <w:left w:w="130" w:type="dxa"/>
              <w:bottom w:w="100" w:type="dxa"/>
              <w:right w:w="130" w:type="dxa"/>
            </w:tcMar>
          </w:tcPr>
          <w:p w14:paraId="4EB56FC2">
            <w:pPr>
              <w:spacing w:before="40" w:after="40"/>
              <w:jc w:val="center"/>
            </w:pPr>
            <w:r>
              <w:rPr>
                <w:rFonts w:ascii="Times New Roman" w:hAnsi="Times New Roman"/>
                <w:sz w:val="18"/>
              </w:rPr>
              <w:t xml:space="preserve">Vivekananda Technical University </w:t>
            </w:r>
            <m:oMath>
              <m:r>
                <m:rPr/>
                <w:rPr>
                  <w:rFonts w:ascii="Cambria Math" w:hAnsi="Cambria Math"/>
                </w:rPr>
                <m:t>≠</m:t>
              </m:r>
            </m:oMath>
            <w:r>
              <w:rPr>
                <w:rFonts w:ascii="Times New Roman" w:hAnsi="Times New Roman"/>
                <w:sz w:val="18"/>
              </w:rPr>
              <w:t xml:space="preserve"> Delhi University</w:t>
            </w:r>
          </w:p>
        </w:tc>
        <w:tc>
          <w:tcPr>
            <w:tcW w:w="2340" w:type="dxa"/>
            <w:shd w:val="clear" w:color="auto" w:fill="FFFFFF"/>
            <w:tcMar>
              <w:top w:w="100" w:type="dxa"/>
              <w:left w:w="130" w:type="dxa"/>
              <w:bottom w:w="100" w:type="dxa"/>
              <w:right w:w="130" w:type="dxa"/>
            </w:tcMar>
          </w:tcPr>
          <w:p w14:paraId="626476FB">
            <w:pPr>
              <w:spacing w:before="40" w:after="40"/>
              <w:jc w:val="center"/>
            </w:pPr>
            <w:r>
              <w:rPr>
                <w:rFonts w:ascii="Times New Roman" w:hAnsi="Times New Roman"/>
                <w:sz w:val="18"/>
              </w:rPr>
              <w:t>NORMALIZATION_ERROR</w:t>
            </w:r>
          </w:p>
        </w:tc>
      </w:tr>
      <w:tr w14:paraId="6E175AA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7E161CDB">
            <w:pPr>
              <w:spacing w:before="40" w:after="40"/>
              <w:jc w:val="left"/>
            </w:pPr>
            <w:r>
              <w:rPr>
                <w:rFonts w:ascii="Times New Roman" w:hAnsi="Times New Roman"/>
                <w:sz w:val="18"/>
              </w:rPr>
              <w:t>2021-IT-00150</w:t>
            </w:r>
          </w:p>
        </w:tc>
        <w:tc>
          <w:tcPr>
            <w:tcW w:w="2340" w:type="dxa"/>
            <w:shd w:val="clear" w:color="auto" w:fill="F8F9FA"/>
            <w:tcMar>
              <w:top w:w="100" w:type="dxa"/>
              <w:left w:w="130" w:type="dxa"/>
              <w:bottom w:w="100" w:type="dxa"/>
              <w:right w:w="130" w:type="dxa"/>
            </w:tcMar>
          </w:tcPr>
          <w:p w14:paraId="25033F2A">
            <w:pPr>
              <w:spacing w:before="40" w:after="40"/>
              <w:jc w:val="center"/>
            </w:pPr>
            <w:r>
              <w:rPr>
                <w:rFonts w:ascii="Times New Roman" w:hAnsi="Times New Roman"/>
                <w:sz w:val="18"/>
              </w:rPr>
              <w:t>2021IT00999</w:t>
            </w:r>
          </w:p>
        </w:tc>
        <w:tc>
          <w:tcPr>
            <w:tcW w:w="2340" w:type="dxa"/>
            <w:shd w:val="clear" w:color="auto" w:fill="F8F9FA"/>
            <w:tcMar>
              <w:top w:w="100" w:type="dxa"/>
              <w:left w:w="130" w:type="dxa"/>
              <w:bottom w:w="100" w:type="dxa"/>
              <w:right w:w="130" w:type="dxa"/>
            </w:tcMar>
          </w:tcPr>
          <w:p w14:paraId="632B461A">
            <w:pPr>
              <w:spacing w:before="40" w:after="40"/>
              <w:jc w:val="center"/>
            </w:pPr>
            <w:r>
              <w:rPr>
                <w:rFonts w:ascii="Times New Roman" w:hAnsi="Times New Roman"/>
                <w:sz w:val="18"/>
              </w:rPr>
              <w:t xml:space="preserve">2021IT00150 </w:t>
            </w:r>
            <m:oMath>
              <m:r>
                <m:rPr/>
                <w:rPr>
                  <w:rFonts w:ascii="Cambria Math" w:hAnsi="Cambria Math"/>
                </w:rPr>
                <m:t>≠</m:t>
              </m:r>
            </m:oMath>
            <w:r>
              <w:rPr>
                <w:rFonts w:ascii="Times New Roman" w:hAnsi="Times New Roman"/>
                <w:sz w:val="18"/>
              </w:rPr>
              <w:t xml:space="preserve"> 2021IT00999</w:t>
            </w:r>
          </w:p>
        </w:tc>
        <w:tc>
          <w:tcPr>
            <w:tcW w:w="2340" w:type="dxa"/>
            <w:shd w:val="clear" w:color="auto" w:fill="F8F9FA"/>
            <w:tcMar>
              <w:top w:w="100" w:type="dxa"/>
              <w:left w:w="130" w:type="dxa"/>
              <w:bottom w:w="100" w:type="dxa"/>
              <w:right w:w="130" w:type="dxa"/>
            </w:tcMar>
          </w:tcPr>
          <w:p w14:paraId="75D18AFF">
            <w:pPr>
              <w:spacing w:before="40" w:after="40"/>
              <w:jc w:val="center"/>
            </w:pPr>
            <w:r>
              <w:rPr>
                <w:rFonts w:ascii="Times New Roman" w:hAnsi="Times New Roman"/>
                <w:sz w:val="18"/>
              </w:rPr>
              <w:t>NORMALIZATION_ERROR</w:t>
            </w:r>
          </w:p>
        </w:tc>
      </w:tr>
    </w:tbl>
    <w:p w14:paraId="22D66C74">
      <w:pPr>
        <w:keepNext/>
        <w:spacing w:before="280" w:after="120"/>
      </w:pPr>
      <w:r>
        <w:rPr>
          <w:rFonts w:ascii="Times New Roman" w:hAnsi="Times New Roman"/>
          <w:b/>
          <w:color w:val="003366"/>
          <w:sz w:val="26"/>
        </w:rPr>
        <w:t>4. Experimental Setup</w:t>
      </w:r>
    </w:p>
    <w:p w14:paraId="558E0DC4">
      <w:pPr>
        <w:keepNext/>
        <w:spacing w:before="200" w:after="80"/>
      </w:pPr>
      <w:r>
        <w:rPr>
          <w:rFonts w:ascii="Times New Roman" w:hAnsi="Times New Roman"/>
          <w:b/>
          <w:color w:val="333333"/>
          <w:sz w:val="23"/>
        </w:rPr>
        <w:t>4.1 Dataset Composition (`AU_DIC_Benchmark_v1.0`)</w:t>
      </w:r>
    </w:p>
    <w:p w14:paraId="2A49B2C2">
      <w:pPr>
        <w:spacing w:before="40" w:after="80" w:line="276" w:lineRule="auto"/>
      </w:pPr>
      <w:r>
        <w:rPr>
          <w:rFonts w:ascii="Times New Roman" w:hAnsi="Times New Roman"/>
          <w:sz w:val="20"/>
        </w:rPr>
        <w:t xml:space="preserve">The evaluation dataset consists of 360 image specimens (3 document categories </w:t>
      </w:r>
      <m:oMath>
        <m:r>
          <m:rPr/>
          <w:rPr>
            <w:rFonts w:ascii="Cambria Math" w:hAnsi="Cambria Math"/>
          </w:rPr>
          <m:t>×</m:t>
        </m:r>
      </m:oMath>
      <w:r>
        <w:rPr>
          <w:rFonts w:ascii="Times New Roman" w:hAnsi="Times New Roman"/>
          <w:sz w:val="20"/>
        </w:rPr>
        <w:t xml:space="preserve"> 30 unique document instances </w:t>
      </w:r>
      <m:oMath>
        <m:r>
          <m:rPr/>
          <w:rPr>
            <w:rFonts w:ascii="Cambria Math" w:hAnsi="Cambria Math"/>
          </w:rPr>
          <m:t>×</m:t>
        </m:r>
      </m:oMath>
      <w:r>
        <w:rPr>
          <w:rFonts w:ascii="Times New Roman" w:hAnsi="Times New Roman"/>
          <w:sz w:val="20"/>
        </w:rPr>
        <w:t xml:space="preserve"> 4 quality profiles). Each sample contains corresponding PDF, PNG, Ground Truth JSON, and Metadata JSON files [26].</w:t>
      </w:r>
    </w:p>
    <w:p w14:paraId="0B637798">
      <w:pPr>
        <w:keepNext/>
        <w:spacing w:before="200" w:after="80"/>
      </w:pPr>
      <w:r>
        <w:rPr>
          <w:rFonts w:ascii="Times New Roman" w:hAnsi="Times New Roman"/>
          <w:b/>
          <w:color w:val="333333"/>
          <w:sz w:val="23"/>
        </w:rPr>
        <w:t>4.2 Evaluation Protocol</w:t>
      </w:r>
    </w:p>
    <w:p w14:paraId="1CE7DA95">
      <w:pPr>
        <w:spacing w:before="40" w:after="80" w:line="276" w:lineRule="auto"/>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In benchmark runs, specimen images and ground truth JSON files are ingested headlessly, invoking prediction adapters (AuDicPredictionAdapter) to compute field-level extraction accuracy metrics without executing write operations on production data stores [31].</w:t>
      </w:r>
    </w:p>
    <w:p w14:paraId="08566FC3">
      <w:pPr>
        <w:keepNext/>
        <w:spacing w:before="200" w:after="80"/>
      </w:pPr>
      <w:r>
        <w:rPr>
          <w:rFonts w:ascii="Times New Roman" w:hAnsi="Times New Roman"/>
          <w:b/>
          <w:color w:val="333333"/>
          <w:sz w:val="23"/>
        </w:rPr>
        <w:t>4.3 Evaluation Metrics</w:t>
      </w:r>
    </w:p>
    <w:p w14:paraId="6B1C18D9">
      <w:pPr>
        <w:spacing w:before="40" w:after="80" w:line="276" w:lineRule="auto"/>
      </w:pPr>
      <w:r>
        <w:rPr>
          <w:rFonts w:ascii="Times New Roman" w:hAnsi="Times New Roman"/>
          <w:sz w:val="20"/>
        </w:rPr>
        <w:t>The computed quantitative metrics are defined as follows:</w:t>
      </w:r>
    </w:p>
    <w:p w14:paraId="71941F13">
      <w:pPr>
        <w:spacing w:before="20" w:after="40"/>
        <w:ind w:left="360"/>
      </w:pPr>
      <m:oMath>
        <m:sSub>
          <m:sSubPr/>
          <m:e>
            <m:acc>
              <m:accPr/>
              <m:e>
                <m:r>
                  <m:rPr/>
                  <w:rPr>
                    <w:rFonts w:ascii="Cambria Math" w:hAnsi="Cambria Math"/>
                  </w:rPr>
                  <m:t>C</m:t>
                </m:r>
              </m:e>
            </m:acc>
          </m:e>
          <m:sub>
            <m:r>
              <m:rPr/>
              <w:rPr>
                <w:rFonts w:ascii="Cambria Math" w:hAnsi="Cambria Math"/>
              </w:rPr>
              <m:t>i</m:t>
            </m:r>
          </m:sub>
        </m:sSub>
        <m:sSub>
          <m:sSubPr/>
          <m:e>
            <m:r>
              <m:rPr/>
              <w:rPr>
                <w:rFonts w:ascii="Cambria Math" w:hAnsi="Cambria Math"/>
              </w:rPr>
              <m:t>C</m:t>
            </m:r>
          </m:e>
          <m:sub>
            <m:r>
              <m:rPr/>
              <w:rPr>
                <w:rFonts w:ascii="Cambria Math" w:hAnsi="Cambria Math"/>
              </w:rPr>
              <m:t>i</m:t>
            </m:r>
          </m:sub>
        </m:sSub>
      </m:oMath>
      <w:r>
        <w:t>1. Category Classification Accuracy (1): The proportion of specimens where the predicted document category (y_hat) matches the ground truth category (y):
   Acc_cat = (1 / N) * sum_{i=1}^N I(y_hat_i = y_i)   (1)</w:t>
      </w:r>
    </w:p>
    <w:p w14:paraId="0B6F120C">
      <w:pPr>
        <w:spacing w:before="40" w:after="80" w:line="276" w:lineRule="auto"/>
      </w:pPr>
      <w:r>
        <w:rPr>
          <w:rFonts w:ascii="Times New Roman" w:hAnsi="Times New Roman"/>
          <w:sz w:val="20"/>
        </w:rPr>
        <w:t xml:space="preserve">where </w:t>
      </w:r>
      <m:oMath>
        <m:r>
          <m:rPr/>
          <w:rPr>
            <w:rFonts w:ascii="Cambria Math" w:hAnsi="Cambria Math"/>
          </w:rPr>
          <m:t>N=360</m:t>
        </m:r>
      </m:oMath>
      <w:r>
        <w:rPr>
          <w:rFonts w:ascii="Times New Roman" w:hAnsi="Times New Roman"/>
          <w:sz w:val="20"/>
        </w:rPr>
        <w:t xml:space="preserve"> total evaluated specimens.</w:t>
      </w:r>
    </w:p>
    <w:p w14:paraId="3A5AC0ED">
      <w:pPr>
        <w:spacing w:before="20" w:after="40"/>
        <w:ind w:left="360"/>
      </w:pPr>
      <m:oMath>
        <m:r>
          <m:rPr/>
          <w:rPr>
            <w:rFonts w:ascii="Cambria Math" w:hAnsi="Cambria Math"/>
          </w:rPr>
          <m:t>PR</m:t>
        </m:r>
        <m:sSub>
          <m:sSubPr/>
          <m:e>
            <m:r>
              <m:rPr/>
              <w:rPr>
                <w:rFonts w:ascii="Cambria Math" w:hAnsi="Cambria Math"/>
              </w:rPr>
              <m:t>F</m:t>
            </m:r>
          </m:e>
          <m:sub>
            <m:r>
              <m:rPr/>
              <w:rPr>
                <w:rFonts w:ascii="Cambria Math" w:hAnsi="Cambria Math"/>
              </w:rPr>
              <m:t>1</m:t>
            </m:r>
          </m:sub>
        </m:sSub>
      </m:oMath>
      <w:r>
        <w:t>2. Field Extraction Precision, Recall, and F1 Score (2): Macro-averaged key-value field extraction metrics across all extracted target entities:
   Precision = TP / (TP + FP), Recall = TP / (TP + FN), F1 = (2 * Precision * Recall) / (Precision + Recall)   (2)</w:t>
      </w:r>
    </w:p>
    <w:p w14:paraId="3096A6D7">
      <w:pPr>
        <w:spacing w:before="20" w:after="40"/>
        <w:ind w:left="360"/>
      </w:pPr>
      <m:oMath>
        <m:sSub>
          <m:sSubPr/>
          <m:e>
            <m:r>
              <m:rPr/>
              <w:rPr>
                <w:rFonts w:ascii="Cambria Math" w:hAnsi="Cambria Math"/>
              </w:rPr>
              <m:t>L</m:t>
            </m:r>
          </m:e>
          <m:sub>
            <m:r>
              <m:rPr/>
              <w:rPr>
                <w:rFonts w:ascii="Times New Roman" w:hAnsi="Times New Roman"/>
              </w:rPr>
              <m:t>GT</m:t>
            </m:r>
          </m:sub>
        </m:sSub>
      </m:oMath>
      <w:r>
        <w:t>3. Character Error Rate (CER) (3): Levenshtein character edit distance [21] between canonically normalized predicted field strings and expected ground truth field strings, normalized by total ground truth character length (L_char):
   CER = D_char(s_hat, s) / |s|   (3)</w:t>
      </w:r>
    </w:p>
    <w:p w14:paraId="28D3FA95">
      <w:pPr>
        <w:spacing w:before="20" w:after="40"/>
        <w:ind w:left="360"/>
      </w:pPr>
      <m:oMath>
        <m:sSub>
          <m:sSubPr/>
          <m:e>
            <m:r>
              <m:rPr/>
              <w:rPr>
                <w:rFonts w:ascii="Cambria Math" w:hAnsi="Cambria Math"/>
              </w:rPr>
              <m:t>W</m:t>
            </m:r>
          </m:e>
          <m:sub>
            <m:r>
              <m:rPr/>
              <w:rPr>
                <w:rFonts w:ascii="Times New Roman" w:hAnsi="Times New Roman"/>
              </w:rPr>
              <m:t>GT</m:t>
            </m:r>
          </m:sub>
        </m:sSub>
      </m:oMath>
      <w:r>
        <w:t>4. Word Error Rate (WER) (4): Tokenized word-level edit distance [20] between predicted field strings and ground truth field strings, normalized by total ground truth word count (L_word):
   WER = D_word(w_hat, w) / |w|   (4)</w:t>
      </w:r>
    </w:p>
    <w:p w14:paraId="22B41161">
      <w:pPr>
        <w:spacing w:before="20" w:after="40"/>
        <w:ind w:left="360"/>
      </w:pPr>
      <w:r>
        <w:t>5. Joint Record Exact Match Rate (EM) (5): The percentage of specimens that achieve both 100% key-value field extraction AND correct top-level category classification simultaneously:
   EM = (1 / N) * sum_{i=1}^N I(y_hat_i = y_i AND F1_i = 1.0)   (5)</w:t>
      </w:r>
    </w:p>
    <w:p w14:paraId="4D33CC89">
      <w:pPr>
        <w:spacing w:before="20" w:after="40"/>
        <w:ind w:left="360"/>
      </w:pPr>
      <m:oMath>
        <m:r>
          <m:rPr/>
          <w:rPr>
            <w:rFonts w:ascii="Times New Roman" w:hAnsi="Times New Roman"/>
          </w:rPr>
          <m:t>ms/samplesamples/sec</m:t>
        </m:r>
      </m:oMath>
      <w:r>
        <w:t>6. Latency &amp; Throughput (6): Execution latency per specimen (L_proc) and framework processing throughput (TH):
   L_proc = T_total / N, TH = N / T_total   (6)</w:t>
      </w:r>
    </w:p>
    <w:p w14:paraId="08A8335A">
      <w:pPr>
        <w:keepNext/>
        <w:spacing w:before="280" w:after="120"/>
      </w:pPr>
      <w:r>
        <w:rPr>
          <w:rFonts w:ascii="Times New Roman" w:hAnsi="Times New Roman"/>
          <w:b/>
          <w:color w:val="003366"/>
          <w:sz w:val="26"/>
        </w:rPr>
        <w:t>5. Results &amp; Empirical Validation</w:t>
      </w:r>
    </w:p>
    <w:p w14:paraId="55088229">
      <w:pPr>
        <w:keepNext/>
        <w:spacing w:before="200" w:after="80"/>
      </w:pPr>
      <w:r>
        <w:rPr>
          <w:rFonts w:ascii="Times New Roman" w:hAnsi="Times New Roman"/>
          <w:b/>
          <w:color w:val="333333"/>
          <w:sz w:val="23"/>
        </w:rPr>
        <w:t>5.1 Distinction Between Framework Validation, Benchmark Validation, and Model Performance</w:t>
      </w:r>
    </w:p>
    <w:p w14:paraId="6A01D444">
      <w:pPr>
        <w:spacing w:before="40" w:after="80" w:line="276" w:lineRule="auto"/>
      </w:pPr>
      <w:r>
        <w:rPr>
          <w:rFonts w:ascii="Times New Roman" w:hAnsi="Times New Roman"/>
          <w:sz w:val="20"/>
        </w:rPr>
        <w:t>To ensure complete scientific integrity, we explicitly distinguish between three evaluation dimensions:</w:t>
      </w:r>
    </w:p>
    <w:p w14:paraId="4AF1F604">
      <w:pPr>
        <w:spacing w:before="20" w:after="40"/>
        <w:ind w:left="360"/>
      </w:pPr>
      <w:r>
        <w:rPr>
          <w:rFonts w:ascii="Times New Roman" w:hAnsi="Times New Roman"/>
          <w:b/>
          <w:sz w:val="20"/>
        </w:rPr>
        <w:t>1. 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 [31].</w:t>
      </w:r>
    </w:p>
    <w:p w14:paraId="2C98B077">
      <w:pPr>
        <w:spacing w:before="20" w:after="40"/>
        <w:ind w:left="360"/>
      </w:pPr>
      <w:r>
        <w:rPr>
          <w:rFonts w:ascii="Times New Roman" w:hAnsi="Times New Roman"/>
          <w:b/>
          <w:sz w:val="20"/>
        </w:rPr>
        <w:t>2. 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14:paraId="3F18B735">
      <w:pPr>
        <w:spacing w:before="20" w:after="40"/>
        <w:ind w:left="360"/>
      </w:pPr>
      <w:r>
        <w:rPr>
          <w:rFonts w:ascii="Times New Roman" w:hAnsi="Times New Roman"/>
          <w:b/>
          <w:sz w:val="20"/>
        </w:rPr>
        <w:t>3. Model Extraction Performance (Model Evaluation)</w:t>
      </w:r>
      <w:r>
        <w:rPr>
          <w:rFonts w:ascii="Times New Roman" w:hAnsi="Times New Roman"/>
          <w:sz w:val="20"/>
        </w:rPr>
        <w:t>: Measures extraction performance metrics (Precision, Recall, F1, CER, WER) across live neural models.</w:t>
      </w:r>
    </w:p>
    <w:p w14:paraId="6B94BD40">
      <w:pPr>
        <w:keepNext/>
        <w:spacing w:before="200" w:after="80"/>
      </w:pPr>
      <w:r>
        <w:rPr>
          <w:rFonts w:ascii="Times New Roman" w:hAnsi="Times New Roman"/>
          <w:b/>
          <w:color w:val="333333"/>
          <w:sz w:val="23"/>
        </w:rPr>
        <w:t>5.2 Framework Execution &amp; System Verification Metrics</w:t>
      </w:r>
    </w:p>
    <w:p w14:paraId="665D21BC">
      <w:pPr>
        <w:spacing w:before="40" w:after="80" w:line="276" w:lineRule="auto"/>
      </w:pPr>
      <w:r>
        <w:t>Table III summarizes the framework system verification metrics evaluated across the 360 benchmark specimens (AU_DIC_Benchmark_v1.0).</w:t>
      </w:r>
    </w:p>
    <w:p w14:paraId="71A92F66">
      <w:pPr>
        <w:keepNext/>
        <w:spacing w:before="80" w:after="160"/>
        <w:jc w:val="center"/>
      </w:pPr>
      <w:r>
        <w:t>Table III: Framework Verification Metrics (Dry-Run Infrastructure Validation on AU DIC Benchmark v1.0)</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144"/>
        <w:gridCol w:w="1361"/>
        <w:gridCol w:w="1231"/>
        <w:gridCol w:w="1118"/>
        <w:gridCol w:w="1133"/>
        <w:gridCol w:w="1096"/>
        <w:gridCol w:w="1097"/>
      </w:tblGrid>
      <w:tr w14:paraId="43AFB74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709BD96A">
            <w:pPr>
              <w:spacing w:before="40" w:after="40"/>
              <w:jc w:val="center"/>
            </w:pPr>
            <w:r>
              <w:t>Quality Profile</w:t>
            </w:r>
          </w:p>
        </w:tc>
        <w:tc>
          <w:tcPr>
            <w:tcW w:w="1170" w:type="dxa"/>
            <w:shd w:val="clear" w:color="auto" w:fill="003366"/>
            <w:tcMar>
              <w:top w:w="100" w:type="dxa"/>
              <w:left w:w="130" w:type="dxa"/>
              <w:bottom w:w="100" w:type="dxa"/>
              <w:right w:w="130" w:type="dxa"/>
            </w:tcMar>
          </w:tcPr>
          <w:p w14:paraId="17177FED">
            <w:pPr>
              <w:spacing w:before="40" w:after="40"/>
              <w:jc w:val="center"/>
            </w:pPr>
            <w:r>
              <w:t>Samples</w:t>
            </w:r>
          </w:p>
        </w:tc>
        <w:tc>
          <w:tcPr>
            <w:tcW w:w="1170" w:type="dxa"/>
            <w:shd w:val="clear" w:color="auto" w:fill="003366"/>
            <w:tcMar>
              <w:top w:w="100" w:type="dxa"/>
              <w:left w:w="130" w:type="dxa"/>
              <w:bottom w:w="100" w:type="dxa"/>
              <w:right w:w="130" w:type="dxa"/>
            </w:tcMar>
          </w:tcPr>
          <w:p w14:paraId="1D758CA0">
            <w:pPr>
              <w:spacing w:before="40" w:after="40"/>
              <w:jc w:val="center"/>
            </w:pPr>
            <w:r>
              <w:t>Framework Acc (Dry-Run)*</w:t>
            </w:r>
          </w:p>
        </w:tc>
        <w:tc>
          <w:tcPr>
            <w:tcW w:w="1170" w:type="dxa"/>
            <w:shd w:val="clear" w:color="auto" w:fill="003366"/>
            <w:tcMar>
              <w:top w:w="100" w:type="dxa"/>
              <w:left w:w="130" w:type="dxa"/>
              <w:bottom w:w="100" w:type="dxa"/>
              <w:right w:w="130" w:type="dxa"/>
            </w:tcMar>
          </w:tcPr>
          <w:p w14:paraId="6DD2ED62">
            <w:pPr>
              <w:spacing w:before="40" w:after="40"/>
              <w:jc w:val="center"/>
            </w:pPr>
            <w:r>
              <w:t>Precision*</w:t>
            </w:r>
          </w:p>
        </w:tc>
        <w:tc>
          <w:tcPr>
            <w:tcW w:w="1170" w:type="dxa"/>
            <w:shd w:val="clear" w:color="auto" w:fill="003366"/>
            <w:tcMar>
              <w:top w:w="100" w:type="dxa"/>
              <w:left w:w="130" w:type="dxa"/>
              <w:bottom w:w="100" w:type="dxa"/>
              <w:right w:w="130" w:type="dxa"/>
            </w:tcMar>
          </w:tcPr>
          <w:p w14:paraId="148D6DDA">
            <w:pPr>
              <w:spacing w:before="40" w:after="40"/>
              <w:jc w:val="center"/>
            </w:pPr>
            <w:r>
              <w:t>Recall*</w:t>
            </w:r>
          </w:p>
        </w:tc>
        <w:tc>
          <w:tcPr>
            <w:tcW w:w="1170" w:type="dxa"/>
            <w:shd w:val="clear" w:color="auto" w:fill="003366"/>
            <w:tcMar>
              <w:top w:w="100" w:type="dxa"/>
              <w:left w:w="130" w:type="dxa"/>
              <w:bottom w:w="100" w:type="dxa"/>
              <w:right w:w="130" w:type="dxa"/>
            </w:tcMar>
          </w:tcPr>
          <w:p w14:paraId="6E0B802A">
            <w:pPr>
              <w:spacing w:before="40" w:after="40"/>
              <w:jc w:val="center"/>
            </w:pPr>
            <w:r>
              <w:t>F1 Score*</w:t>
            </w:r>
          </w:p>
        </w:tc>
        <w:tc>
          <w:tcPr>
            <w:tcW w:w="1170" w:type="dxa"/>
            <w:shd w:val="clear" w:color="auto" w:fill="003366"/>
            <w:tcMar>
              <w:top w:w="100" w:type="dxa"/>
              <w:left w:w="130" w:type="dxa"/>
              <w:bottom w:w="100" w:type="dxa"/>
              <w:right w:w="130" w:type="dxa"/>
            </w:tcMar>
          </w:tcPr>
          <w:p w14:paraId="780474C8">
            <w:pPr>
              <w:spacing w:before="40" w:after="40"/>
              <w:jc w:val="center"/>
            </w:pPr>
            <w:r>
              <w:t>Mean CER*</w:t>
            </w:r>
          </w:p>
        </w:tc>
        <w:tc>
          <w:tcPr>
            <w:tcW w:w="1170" w:type="dxa"/>
            <w:shd w:val="clear" w:color="auto" w:fill="003366"/>
            <w:tcMar>
              <w:top w:w="100" w:type="dxa"/>
              <w:left w:w="130" w:type="dxa"/>
              <w:bottom w:w="100" w:type="dxa"/>
              <w:right w:w="130" w:type="dxa"/>
            </w:tcMar>
          </w:tcPr>
          <w:p w14:paraId="1A773B1A">
            <w:pPr>
              <w:spacing w:before="40" w:after="40"/>
              <w:jc w:val="center"/>
            </w:pPr>
            <w:r>
              <w:t>Mean WER*</w:t>
            </w:r>
          </w:p>
        </w:tc>
      </w:tr>
      <w:tr w14:paraId="567A0C0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8BEB654">
            <w:pPr>
              <w:spacing w:before="40" w:after="40"/>
              <w:jc w:val="left"/>
            </w:pPr>
            <w:r>
              <w:rPr>
                <w:rFonts w:ascii="Times New Roman" w:hAnsi="Times New Roman"/>
                <w:b/>
                <w:sz w:val="18"/>
              </w:rPr>
              <w:t>clean</w:t>
            </w:r>
          </w:p>
        </w:tc>
        <w:tc>
          <w:tcPr>
            <w:tcW w:w="1170" w:type="dxa"/>
            <w:shd w:val="clear" w:color="auto" w:fill="FFFFFF"/>
            <w:tcMar>
              <w:top w:w="100" w:type="dxa"/>
              <w:left w:w="130" w:type="dxa"/>
              <w:bottom w:w="100" w:type="dxa"/>
              <w:right w:w="130" w:type="dxa"/>
            </w:tcMar>
          </w:tcPr>
          <w:p w14:paraId="5ED1A06A">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57F89F7">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3A1102F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F630DBE">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BEBE993">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1ADC2FFF">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06A17204">
            <w:pPr>
              <w:spacing w:before="40" w:after="40"/>
              <w:jc w:val="center"/>
            </w:pPr>
            <w:r>
              <w:rPr>
                <w:rFonts w:ascii="Times New Roman" w:hAnsi="Times New Roman"/>
                <w:sz w:val="18"/>
              </w:rPr>
              <w:t>0.00%*</w:t>
            </w:r>
          </w:p>
        </w:tc>
      </w:tr>
      <w:tr w14:paraId="65BD880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7646F598">
            <w:pPr>
              <w:spacing w:before="40" w:after="40"/>
              <w:jc w:val="left"/>
            </w:pPr>
            <w:r>
              <w:rPr>
                <w:rFonts w:ascii="Times New Roman" w:hAnsi="Times New Roman"/>
                <w:b/>
                <w:sz w:val="18"/>
              </w:rPr>
              <w:t>scanner_copy</w:t>
            </w:r>
          </w:p>
        </w:tc>
        <w:tc>
          <w:tcPr>
            <w:tcW w:w="1170" w:type="dxa"/>
            <w:shd w:val="clear" w:color="auto" w:fill="F8F9FA"/>
            <w:tcMar>
              <w:top w:w="100" w:type="dxa"/>
              <w:left w:w="130" w:type="dxa"/>
              <w:bottom w:w="100" w:type="dxa"/>
              <w:right w:w="130" w:type="dxa"/>
            </w:tcMar>
          </w:tcPr>
          <w:p w14:paraId="1FC7D9AF">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3E222475">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F3BD264">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8D18A16">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C59D9B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56D92BA">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64E7DAED">
            <w:pPr>
              <w:spacing w:before="40" w:after="40"/>
              <w:jc w:val="center"/>
            </w:pPr>
            <w:r>
              <w:rPr>
                <w:rFonts w:ascii="Times New Roman" w:hAnsi="Times New Roman"/>
                <w:sz w:val="18"/>
              </w:rPr>
              <w:t>0.00%*</w:t>
            </w:r>
          </w:p>
        </w:tc>
      </w:tr>
      <w:tr w14:paraId="2456C9E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4A1993A7">
            <w:pPr>
              <w:spacing w:before="40" w:after="40"/>
              <w:jc w:val="left"/>
            </w:pPr>
            <w:r>
              <w:rPr>
                <w:rFonts w:ascii="Times New Roman" w:hAnsi="Times New Roman"/>
                <w:b/>
                <w:sz w:val="18"/>
              </w:rPr>
              <w:t>mobile_camera</w:t>
            </w:r>
          </w:p>
        </w:tc>
        <w:tc>
          <w:tcPr>
            <w:tcW w:w="1170" w:type="dxa"/>
            <w:shd w:val="clear" w:color="auto" w:fill="FFFFFF"/>
            <w:tcMar>
              <w:top w:w="100" w:type="dxa"/>
              <w:left w:w="130" w:type="dxa"/>
              <w:bottom w:w="100" w:type="dxa"/>
              <w:right w:w="130" w:type="dxa"/>
            </w:tcMar>
          </w:tcPr>
          <w:p w14:paraId="483763EF">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1E8BC4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00F61245">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DC7E80A">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5EEF2E61">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442F642">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4D1C5F23">
            <w:pPr>
              <w:spacing w:before="40" w:after="40"/>
              <w:jc w:val="center"/>
            </w:pPr>
            <w:r>
              <w:rPr>
                <w:rFonts w:ascii="Times New Roman" w:hAnsi="Times New Roman"/>
                <w:sz w:val="18"/>
              </w:rPr>
              <w:t>0.00%*</w:t>
            </w:r>
          </w:p>
        </w:tc>
      </w:tr>
      <w:tr w14:paraId="49F60EB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B7B4C1">
            <w:pPr>
              <w:spacing w:before="40" w:after="40"/>
              <w:jc w:val="left"/>
            </w:pPr>
            <w:r>
              <w:rPr>
                <w:rFonts w:ascii="Times New Roman" w:hAnsi="Times New Roman"/>
                <w:b/>
                <w:sz w:val="18"/>
              </w:rPr>
              <w:t>rotated_90</w:t>
            </w:r>
          </w:p>
        </w:tc>
        <w:tc>
          <w:tcPr>
            <w:tcW w:w="1170" w:type="dxa"/>
            <w:shd w:val="clear" w:color="auto" w:fill="F8F9FA"/>
            <w:tcMar>
              <w:top w:w="100" w:type="dxa"/>
              <w:left w:w="130" w:type="dxa"/>
              <w:bottom w:w="100" w:type="dxa"/>
              <w:right w:w="130" w:type="dxa"/>
            </w:tcMar>
          </w:tcPr>
          <w:p w14:paraId="3CB3B3E6">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61AB0503">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0EA18C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F294B7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2EB270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D0A2B99">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7D760920">
            <w:pPr>
              <w:spacing w:before="40" w:after="40"/>
              <w:jc w:val="center"/>
            </w:pPr>
            <w:r>
              <w:rPr>
                <w:rFonts w:ascii="Times New Roman" w:hAnsi="Times New Roman"/>
                <w:sz w:val="18"/>
              </w:rPr>
              <w:t>0.00%*</w:t>
            </w:r>
          </w:p>
        </w:tc>
      </w:tr>
      <w:tr w14:paraId="1C33CCE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5134C29">
            <w:pPr>
              <w:spacing w:before="40" w:after="40"/>
              <w:jc w:val="left"/>
            </w:pPr>
            <w:r>
              <w:rPr>
                <w:rFonts w:ascii="Times New Roman" w:hAnsi="Times New Roman"/>
                <w:b/>
                <w:sz w:val="18"/>
              </w:rPr>
              <w:t>Overall Total</w:t>
            </w:r>
          </w:p>
        </w:tc>
        <w:tc>
          <w:tcPr>
            <w:tcW w:w="1170" w:type="dxa"/>
            <w:shd w:val="clear" w:color="auto" w:fill="FFFFFF"/>
            <w:tcMar>
              <w:top w:w="100" w:type="dxa"/>
              <w:left w:w="130" w:type="dxa"/>
              <w:bottom w:w="100" w:type="dxa"/>
              <w:right w:w="130" w:type="dxa"/>
            </w:tcMar>
          </w:tcPr>
          <w:p w14:paraId="5172DB03">
            <w:pPr>
              <w:spacing w:before="40" w:after="40"/>
              <w:jc w:val="center"/>
            </w:pPr>
            <w:r>
              <w:rPr>
                <w:rFonts w:ascii="Times New Roman" w:hAnsi="Times New Roman"/>
                <w:b/>
                <w:sz w:val="18"/>
              </w:rPr>
              <w:t>360</w:t>
            </w:r>
          </w:p>
        </w:tc>
        <w:tc>
          <w:tcPr>
            <w:tcW w:w="1170" w:type="dxa"/>
            <w:shd w:val="clear" w:color="auto" w:fill="FFFFFF"/>
            <w:tcMar>
              <w:top w:w="100" w:type="dxa"/>
              <w:left w:w="130" w:type="dxa"/>
              <w:bottom w:w="100" w:type="dxa"/>
              <w:right w:w="130" w:type="dxa"/>
            </w:tcMar>
          </w:tcPr>
          <w:p w14:paraId="33471237">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6A238882">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A25CC4E">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C251926">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3314F2F9">
            <w:pPr>
              <w:spacing w:before="40" w:after="40"/>
              <w:jc w:val="center"/>
            </w:pPr>
            <w:r>
              <w:rPr>
                <w:rFonts w:ascii="Times New Roman" w:hAnsi="Times New Roman"/>
                <w:b/>
                <w:sz w:val="18"/>
              </w:rPr>
              <w:t>0.00%</w:t>
            </w:r>
          </w:p>
        </w:tc>
        <w:tc>
          <w:tcPr>
            <w:tcW w:w="1170" w:type="dxa"/>
            <w:shd w:val="clear" w:color="auto" w:fill="FFFFFF"/>
            <w:tcMar>
              <w:top w:w="100" w:type="dxa"/>
              <w:left w:w="130" w:type="dxa"/>
              <w:bottom w:w="100" w:type="dxa"/>
              <w:right w:w="130" w:type="dxa"/>
            </w:tcMar>
          </w:tcPr>
          <w:p w14:paraId="590ABE5F">
            <w:pPr>
              <w:spacing w:before="40" w:after="40"/>
              <w:jc w:val="center"/>
            </w:pPr>
            <w:r>
              <w:rPr>
                <w:rFonts w:ascii="Times New Roman" w:hAnsi="Times New Roman"/>
                <w:b/>
                <w:sz w:val="18"/>
              </w:rPr>
              <w:t>0.00%</w:t>
            </w:r>
          </w:p>
        </w:tc>
      </w:tr>
    </w:tbl>
    <w:p w14:paraId="5B8ADE72">
      <w:pPr>
        <w:spacing w:before="40" w:after="80" w:line="276" w:lineRule="auto"/>
      </w:pPr>
      <w:r>
        <w:rPr>
          <w:rFonts w:ascii="Times New Roman" w:hAnsi="Times New Roman"/>
          <w:i/>
          <w:sz w:val="20"/>
        </w:rPr>
        <w:t>\</w:t>
      </w:r>
      <w:r>
        <w:rPr>
          <w:rFonts w:ascii="Times New Roman" w:hAnsi="Times New Roman"/>
          <w:sz w:val="20"/>
        </w:rPr>
        <w:t>Denotes framework system verification metrics (dry-run baseline reference).*</w:t>
      </w:r>
    </w:p>
    <w:p w14:paraId="7EFF2A81">
      <w:pPr>
        <w:keepNext/>
        <w:spacing w:before="200" w:after="80"/>
      </w:pPr>
      <w:r>
        <w:rPr>
          <w:rFonts w:ascii="Times New Roman" w:hAnsi="Times New Roman"/>
          <w:b/>
          <w:color w:val="333333"/>
          <w:sz w:val="23"/>
        </w:rPr>
        <w:t>5.3 System Throughput &amp; Execution Latency</w:t>
      </w:r>
    </w:p>
    <w:p w14:paraId="7A2085D3">
      <w:pPr>
        <w:pStyle w:val="23"/>
        <w:spacing w:before="20" w:after="40"/>
      </w:pPr>
      <w:r>
        <w:rPr>
          <w:rFonts w:ascii="Times New Roman" w:hAnsi="Times New Roman"/>
          <w:b/>
          <w:sz w:val="20"/>
        </w:rPr>
        <w:t>Total Samples Evaluated</w:t>
      </w:r>
      <w:r>
        <w:rPr>
          <w:rFonts w:ascii="Times New Roman" w:hAnsi="Times New Roman"/>
          <w:sz w:val="20"/>
        </w:rPr>
        <w:t>: 360</w:t>
      </w:r>
    </w:p>
    <w:p w14:paraId="67806D57">
      <w:pPr>
        <w:pStyle w:val="23"/>
        <w:spacing w:before="20" w:after="40"/>
      </w:pPr>
      <w:r>
        <w:rPr>
          <w:rFonts w:ascii="Times New Roman" w:hAnsi="Times New Roman"/>
          <w:b/>
          <w:sz w:val="20"/>
        </w:rPr>
        <w:t>Successful / Failed Ratio</w:t>
      </w:r>
      <w:r>
        <w:rPr>
          <w:rFonts w:ascii="Times New Roman" w:hAnsi="Times New Roman"/>
          <w:sz w:val="20"/>
        </w:rPr>
        <w:t>: 360 / 0</w:t>
      </w:r>
    </w:p>
    <w:p w14:paraId="21B6BFD9">
      <w:pPr>
        <w:pStyle w:val="23"/>
        <w:spacing w:before="20" w:after="40"/>
      </w:pPr>
      <w:r>
        <w:rPr>
          <w:rFonts w:ascii="Times New Roman" w:hAnsi="Times New Roman"/>
          <w:b/>
          <w:sz w:val="20"/>
        </w:rPr>
        <w:t>Total System Verification Execution Time</w:t>
      </w:r>
      <w:r>
        <w:rPr>
          <w:rFonts w:ascii="Times New Roman" w:hAnsi="Times New Roman"/>
          <w:sz w:val="20"/>
        </w:rPr>
        <w:t>: 1.48 seconds</w:t>
      </w:r>
    </w:p>
    <w:p w14:paraId="51FE4A7B">
      <w:pPr>
        <w:pStyle w:val="23"/>
        <w:spacing w:before="20" w:after="40"/>
      </w:pPr>
      <w:r>
        <w:rPr>
          <w:rFonts w:ascii="Times New Roman" w:hAnsi="Times New Roman"/>
          <w:b/>
          <w:sz w:val="20"/>
        </w:rPr>
        <w:t>System Verification Throughput</w:t>
      </w:r>
      <w:r>
        <w:rPr>
          <w:rFonts w:ascii="Times New Roman" w:hAnsi="Times New Roman"/>
          <w:sz w:val="20"/>
        </w:rPr>
        <w:t>: 242.59 samples/sec</w:t>
      </w:r>
    </w:p>
    <w:p w14:paraId="5B6CD603">
      <w:pPr>
        <w:pStyle w:val="23"/>
        <w:spacing w:before="20" w:after="40"/>
      </w:pPr>
      <w:r>
        <w:rPr>
          <w:rFonts w:ascii="Times New Roman" w:hAnsi="Times New Roman"/>
          <w:b/>
          <w:sz w:val="20"/>
        </w:rPr>
        <w:t>Mean System Processing Latency</w:t>
      </w:r>
      <w:r>
        <w:rPr>
          <w:rFonts w:ascii="Times New Roman" w:hAnsi="Times New Roman"/>
          <w:sz w:val="20"/>
        </w:rPr>
        <w:t>: 4.12 ms/sample (</w:t>
      </w:r>
      <m:oMath>
        <m:r>
          <m:rPr/>
          <w:rPr>
            <w:rFonts w:ascii="Cambria Math" w:hAnsi="Cambria Math"/>
          </w:rPr>
          <m:t>σ=0.45</m:t>
        </m:r>
        <m:r>
          <m:rPr/>
          <w:rPr>
            <w:rFonts w:ascii="Times New Roman" w:hAnsi="Times New Roman"/>
          </w:rPr>
          <m:t>ms</m:t>
        </m:r>
      </m:oMath>
      <w:r>
        <w:rPr>
          <w:rFonts w:ascii="Times New Roman" w:hAnsi="Times New Roman"/>
          <w:sz w:val="20"/>
        </w:rPr>
        <w:t>)</w:t>
      </w:r>
    </w:p>
    <w:p w14:paraId="145AA5B8">
      <w:pPr>
        <w:keepNext/>
        <w:spacing w:before="200" w:after="80"/>
      </w:pPr>
      <w:r>
        <w:rPr>
          <w:rFonts w:ascii="Times New Roman" w:hAnsi="Times New Roman"/>
          <w:b/>
          <w:color w:val="333333"/>
          <w:sz w:val="23"/>
        </w:rPr>
        <w:t>5.4 Empirical Live Neural Model Evaluation Results</w:t>
      </w:r>
    </w:p>
    <w:p w14:paraId="383DFBB1">
      <w:pPr>
        <w:spacing w:before="40" w:after="80" w:line="276" w:lineRule="auto"/>
      </w:pP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w:t>
      </w:r>
    </w:p>
    <w:p w14:paraId="109404D0">
      <w:pPr>
        <w:keepNext/>
        <w:spacing w:before="160" w:after="40"/>
      </w:pPr>
      <w:r>
        <w:t>5.4.1 End-to-End Evaluation Pipeline (Option A)</w:t>
      </w:r>
    </w:p>
    <w:p w14:paraId="7661D404">
      <w:pPr>
        <w:spacing w:before="40" w:after="80" w:line="276" w:lineRule="auto"/>
      </w:pPr>
      <w:r>
        <w:t>The evaluation pipeline operates under Option A (End-to-End Neural Document Intelligence Evaluation):</w:t>
      </w:r>
    </w:p>
    <w:p w14:paraId="7B658E96">
      <w:pPr>
        <w:spacing w:before="160" w:after="80" w:line="240" w:lineRule="atLeast"/>
        <w:jc w:val="center"/>
      </w:pPr>
      <w:r>
        <w:drawing>
          <wp:inline distT="0" distB="0" distL="0" distR="0">
            <wp:extent cx="5943600" cy="2806700"/>
            <wp:effectExtent l="0" t="0" r="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943600" cy="2806700"/>
                    </a:xfrm>
                    <a:prstGeom prst="rect">
                      <a:avLst/>
                    </a:prstGeom>
                  </pic:spPr>
                </pic:pic>
              </a:graphicData>
            </a:graphic>
          </wp:inline>
        </w:drawing>
      </w:r>
    </w:p>
    <w:p w14:paraId="62752EBD">
      <w:pPr>
        <w:spacing w:after="160"/>
        <w:jc w:val="center"/>
      </w:pPr>
      <w:r>
        <w:t>Fig. 3. Option A End-to-End Neural Document Intelligence Evaluation Pipeline Architecture.</w:t>
      </w:r>
    </w:p>
    <w:p w14:paraId="109F1399">
      <w:pPr>
        <w:spacing w:before="40" w:after="80" w:line="276" w:lineRule="auto"/>
      </w:pPr>
      <w:r>
        <w:t>Fig. 3 depicts the Option A end-to-end neural document intelligence evaluation pipeline architecture. Document specimens across all four optical degradation profiles (clean, scanner_copy, mobile_camera, rotated_90) are processed through the neural analysis engine for classification and entity extraction. While category classification achieved 100.00% accuracy across all profiles, field-level extraction performance (17.19% F1, 82.76% CER, 89.27% field-level CER) reveals significant room for improvement in zero-shot structured information extraction from academic documents.</w:t>
      </w:r>
    </w:p>
    <w:p w14:paraId="21FBA05F">
      <w:pPr>
        <w:spacing w:before="40" w:after="80" w:line="276" w:lineRule="auto"/>
      </w:pPr>
      <w:r>
        <w:t>Table IV details live model extraction and document category classification performance evaluated on Groq Cloud Llama 3.1 8B Instant.</w:t>
      </w:r>
    </w:p>
    <w:p w14:paraId="29D205C5">
      <w:pPr>
        <w:keepNext/>
        <w:spacing w:before="80" w:after="160"/>
        <w:jc w:val="center"/>
      </w:pPr>
      <w:r>
        <w:t>Table IV: Live Model Extraction &amp; Classification Performance (Groq Llama 3.1 8B Instant Baseline)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608"/>
        <w:gridCol w:w="1148"/>
        <w:gridCol w:w="1073"/>
        <w:gridCol w:w="1091"/>
        <w:gridCol w:w="951"/>
        <w:gridCol w:w="951"/>
        <w:gridCol w:w="951"/>
        <w:gridCol w:w="951"/>
        <w:gridCol w:w="896"/>
      </w:tblGrid>
      <w:tr w14:paraId="2D262B5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003366"/>
            <w:tcMar>
              <w:top w:w="100" w:type="dxa"/>
              <w:left w:w="130" w:type="dxa"/>
              <w:bottom w:w="100" w:type="dxa"/>
              <w:right w:w="130" w:type="dxa"/>
            </w:tcMar>
          </w:tcPr>
          <w:p w14:paraId="67A2219D">
            <w:pPr>
              <w:spacing w:before="40" w:after="40"/>
              <w:jc w:val="center"/>
            </w:pPr>
            <w:r>
              <w:t>Quality Profile</w:t>
            </w:r>
          </w:p>
        </w:tc>
        <w:tc>
          <w:tcPr>
            <w:tcW w:w="1040" w:type="dxa"/>
            <w:shd w:val="clear" w:color="auto" w:fill="003366"/>
            <w:tcMar>
              <w:top w:w="100" w:type="dxa"/>
              <w:left w:w="130" w:type="dxa"/>
              <w:bottom w:w="100" w:type="dxa"/>
              <w:right w:w="130" w:type="dxa"/>
            </w:tcMar>
          </w:tcPr>
          <w:p w14:paraId="41A3B7D6">
            <w:pPr>
              <w:spacing w:before="40" w:after="40"/>
              <w:jc w:val="center"/>
            </w:pPr>
            <w:r>
              <w:t>Evaluated Samples</w:t>
            </w:r>
          </w:p>
        </w:tc>
        <w:tc>
          <w:tcPr>
            <w:tcW w:w="1040" w:type="dxa"/>
            <w:shd w:val="clear" w:color="auto" w:fill="003366"/>
            <w:tcMar>
              <w:top w:w="100" w:type="dxa"/>
              <w:left w:w="130" w:type="dxa"/>
              <w:bottom w:w="100" w:type="dxa"/>
              <w:right w:w="130" w:type="dxa"/>
            </w:tcMar>
          </w:tcPr>
          <w:p w14:paraId="56E8116F">
            <w:pPr>
              <w:spacing w:before="40" w:after="40"/>
              <w:jc w:val="center"/>
            </w:pPr>
            <w:r>
              <w:t>Category Accuracy</w:t>
            </w:r>
          </w:p>
        </w:tc>
        <w:tc>
          <w:tcPr>
            <w:tcW w:w="1040" w:type="dxa"/>
            <w:shd w:val="clear" w:color="auto" w:fill="003366"/>
            <w:tcMar>
              <w:top w:w="100" w:type="dxa"/>
              <w:left w:w="130" w:type="dxa"/>
              <w:bottom w:w="100" w:type="dxa"/>
              <w:right w:w="130" w:type="dxa"/>
            </w:tcMar>
          </w:tcPr>
          <w:p w14:paraId="2E4AD2DC">
            <w:pPr>
              <w:spacing w:before="40" w:after="40"/>
              <w:jc w:val="center"/>
            </w:pPr>
            <w:r>
              <w:t>Field Precision</w:t>
            </w:r>
          </w:p>
        </w:tc>
        <w:tc>
          <w:tcPr>
            <w:tcW w:w="1040" w:type="dxa"/>
            <w:shd w:val="clear" w:color="auto" w:fill="003366"/>
            <w:tcMar>
              <w:top w:w="100" w:type="dxa"/>
              <w:left w:w="130" w:type="dxa"/>
              <w:bottom w:w="100" w:type="dxa"/>
              <w:right w:w="130" w:type="dxa"/>
            </w:tcMar>
          </w:tcPr>
          <w:p w14:paraId="5342BC65">
            <w:pPr>
              <w:spacing w:before="40" w:after="40"/>
              <w:jc w:val="center"/>
            </w:pPr>
            <w:r>
              <w:t>Field Recall</w:t>
            </w:r>
          </w:p>
        </w:tc>
        <w:tc>
          <w:tcPr>
            <w:tcW w:w="1040" w:type="dxa"/>
            <w:shd w:val="clear" w:color="auto" w:fill="003366"/>
            <w:tcMar>
              <w:top w:w="100" w:type="dxa"/>
              <w:left w:w="130" w:type="dxa"/>
              <w:bottom w:w="100" w:type="dxa"/>
              <w:right w:w="130" w:type="dxa"/>
            </w:tcMar>
          </w:tcPr>
          <w:p w14:paraId="55DB299B">
            <w:pPr>
              <w:spacing w:before="40" w:after="40"/>
              <w:jc w:val="center"/>
            </w:pPr>
            <w:r>
              <w:t>Field F1 Score</w:t>
            </w:r>
          </w:p>
        </w:tc>
        <w:tc>
          <w:tcPr>
            <w:tcW w:w="1040" w:type="dxa"/>
            <w:shd w:val="clear" w:color="auto" w:fill="003366"/>
            <w:tcMar>
              <w:top w:w="100" w:type="dxa"/>
              <w:left w:w="130" w:type="dxa"/>
              <w:bottom w:w="100" w:type="dxa"/>
              <w:right w:w="130" w:type="dxa"/>
            </w:tcMar>
          </w:tcPr>
          <w:p w14:paraId="696F3181">
            <w:pPr>
              <w:spacing w:before="40" w:after="40"/>
              <w:jc w:val="center"/>
            </w:pPr>
            <w:r>
              <w:t>Mean CER</w:t>
            </w:r>
          </w:p>
        </w:tc>
        <w:tc>
          <w:tcPr>
            <w:tcW w:w="1040" w:type="dxa"/>
            <w:shd w:val="clear" w:color="auto" w:fill="003366"/>
            <w:tcMar>
              <w:top w:w="100" w:type="dxa"/>
              <w:left w:w="130" w:type="dxa"/>
              <w:bottom w:w="100" w:type="dxa"/>
              <w:right w:w="130" w:type="dxa"/>
            </w:tcMar>
          </w:tcPr>
          <w:p w14:paraId="293CE496">
            <w:pPr>
              <w:spacing w:before="40" w:after="40"/>
              <w:jc w:val="center"/>
            </w:pPr>
            <w:r>
              <w:t>Mean WER</w:t>
            </w:r>
          </w:p>
        </w:tc>
        <w:tc>
          <w:tcPr>
            <w:tcW w:w="1040" w:type="dxa"/>
            <w:shd w:val="clear" w:color="auto" w:fill="003366"/>
            <w:tcMar>
              <w:top w:w="100" w:type="dxa"/>
              <w:left w:w="130" w:type="dxa"/>
              <w:bottom w:w="100" w:type="dxa"/>
              <w:right w:w="130" w:type="dxa"/>
            </w:tcMar>
          </w:tcPr>
          <w:p w14:paraId="10FE9E63">
            <w:pPr>
              <w:spacing w:before="40" w:after="40"/>
              <w:jc w:val="center"/>
            </w:pPr>
            <w:r>
              <w:t>Joint Record EM</w:t>
            </w:r>
          </w:p>
        </w:tc>
      </w:tr>
      <w:tr w14:paraId="52AD8D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09B4FFDE">
            <w:pPr>
              <w:spacing w:before="40" w:after="40"/>
              <w:jc w:val="left"/>
            </w:pPr>
            <w:r>
              <w:t>clean</w:t>
            </w:r>
          </w:p>
        </w:tc>
        <w:tc>
          <w:tcPr>
            <w:tcW w:w="1040" w:type="dxa"/>
            <w:shd w:val="clear" w:color="auto" w:fill="FFFFFF"/>
            <w:tcMar>
              <w:top w:w="100" w:type="dxa"/>
              <w:left w:w="130" w:type="dxa"/>
              <w:bottom w:w="100" w:type="dxa"/>
              <w:right w:w="130" w:type="dxa"/>
            </w:tcMar>
          </w:tcPr>
          <w:p w14:paraId="263E7BEB">
            <w:pPr>
              <w:spacing w:before="40" w:after="40"/>
              <w:jc w:val="center"/>
            </w:pPr>
            <w:r>
              <w:t>90</w:t>
            </w:r>
          </w:p>
        </w:tc>
        <w:tc>
          <w:tcPr>
            <w:tcW w:w="1040" w:type="dxa"/>
            <w:shd w:val="clear" w:color="auto" w:fill="FFFFFF"/>
            <w:tcMar>
              <w:top w:w="100" w:type="dxa"/>
              <w:left w:w="130" w:type="dxa"/>
              <w:bottom w:w="100" w:type="dxa"/>
              <w:right w:w="130" w:type="dxa"/>
            </w:tcMar>
          </w:tcPr>
          <w:p w14:paraId="6B1D8298">
            <w:pPr>
              <w:spacing w:before="40" w:after="40"/>
              <w:jc w:val="center"/>
            </w:pPr>
            <w:r>
              <w:t>100.00%</w:t>
            </w:r>
          </w:p>
        </w:tc>
        <w:tc>
          <w:tcPr>
            <w:tcW w:w="1040" w:type="dxa"/>
            <w:shd w:val="clear" w:color="auto" w:fill="FFFFFF"/>
            <w:tcMar>
              <w:top w:w="100" w:type="dxa"/>
              <w:left w:w="130" w:type="dxa"/>
              <w:bottom w:w="100" w:type="dxa"/>
              <w:right w:w="130" w:type="dxa"/>
            </w:tcMar>
          </w:tcPr>
          <w:p w14:paraId="66FFFC07">
            <w:pPr>
              <w:spacing w:before="40" w:after="40"/>
              <w:jc w:val="center"/>
            </w:pPr>
            <w:r>
              <w:t>18.05%</w:t>
            </w:r>
          </w:p>
        </w:tc>
        <w:tc>
          <w:tcPr>
            <w:tcW w:w="1040" w:type="dxa"/>
            <w:shd w:val="clear" w:color="auto" w:fill="FFFFFF"/>
            <w:tcMar>
              <w:top w:w="100" w:type="dxa"/>
              <w:left w:w="130" w:type="dxa"/>
              <w:bottom w:w="100" w:type="dxa"/>
              <w:right w:w="130" w:type="dxa"/>
            </w:tcMar>
          </w:tcPr>
          <w:p w14:paraId="7B61E416">
            <w:pPr>
              <w:spacing w:before="40" w:after="40"/>
              <w:jc w:val="center"/>
            </w:pPr>
            <w:r>
              <w:t>18.05%</w:t>
            </w:r>
          </w:p>
        </w:tc>
        <w:tc>
          <w:tcPr>
            <w:tcW w:w="1040" w:type="dxa"/>
            <w:shd w:val="clear" w:color="auto" w:fill="FFFFFF"/>
            <w:tcMar>
              <w:top w:w="100" w:type="dxa"/>
              <w:left w:w="130" w:type="dxa"/>
              <w:bottom w:w="100" w:type="dxa"/>
              <w:right w:w="130" w:type="dxa"/>
            </w:tcMar>
          </w:tcPr>
          <w:p w14:paraId="306CA889">
            <w:pPr>
              <w:spacing w:before="40" w:after="40"/>
              <w:jc w:val="center"/>
            </w:pPr>
            <w:r>
              <w:t>18.05%</w:t>
            </w:r>
          </w:p>
        </w:tc>
        <w:tc>
          <w:tcPr>
            <w:tcW w:w="1040" w:type="dxa"/>
            <w:shd w:val="clear" w:color="auto" w:fill="FFFFFF"/>
            <w:tcMar>
              <w:top w:w="100" w:type="dxa"/>
              <w:left w:w="130" w:type="dxa"/>
              <w:bottom w:w="100" w:type="dxa"/>
              <w:right w:w="130" w:type="dxa"/>
            </w:tcMar>
          </w:tcPr>
          <w:p w14:paraId="33FED810">
            <w:pPr>
              <w:spacing w:before="40" w:after="40"/>
              <w:jc w:val="center"/>
            </w:pPr>
            <w:r>
              <w:t>81.88%</w:t>
            </w:r>
          </w:p>
        </w:tc>
        <w:tc>
          <w:tcPr>
            <w:tcW w:w="1040" w:type="dxa"/>
            <w:shd w:val="clear" w:color="auto" w:fill="FFFFFF"/>
            <w:tcMar>
              <w:top w:w="100" w:type="dxa"/>
              <w:left w:w="130" w:type="dxa"/>
              <w:bottom w:w="100" w:type="dxa"/>
              <w:right w:w="130" w:type="dxa"/>
            </w:tcMar>
          </w:tcPr>
          <w:p w14:paraId="441A060A">
            <w:pPr>
              <w:spacing w:before="40" w:after="40"/>
              <w:jc w:val="center"/>
            </w:pPr>
            <w:r>
              <w:t>82.80%</w:t>
            </w:r>
          </w:p>
        </w:tc>
        <w:tc>
          <w:tcPr>
            <w:tcW w:w="1040" w:type="dxa"/>
            <w:shd w:val="clear" w:color="auto" w:fill="FFFFFF"/>
            <w:tcMar>
              <w:top w:w="100" w:type="dxa"/>
              <w:left w:w="130" w:type="dxa"/>
              <w:bottom w:w="100" w:type="dxa"/>
              <w:right w:w="130" w:type="dxa"/>
            </w:tcMar>
          </w:tcPr>
          <w:p w14:paraId="43F52F76">
            <w:pPr>
              <w:spacing w:before="40" w:after="40"/>
              <w:jc w:val="center"/>
            </w:pPr>
            <w:r>
              <w:t>0.00%</w:t>
            </w:r>
          </w:p>
        </w:tc>
      </w:tr>
      <w:tr w14:paraId="6BD7543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73E83F5D">
            <w:pPr>
              <w:spacing w:before="40" w:after="40"/>
              <w:jc w:val="left"/>
            </w:pPr>
            <w:r>
              <w:t>scanner_copy</w:t>
            </w:r>
          </w:p>
        </w:tc>
        <w:tc>
          <w:tcPr>
            <w:tcW w:w="1040" w:type="dxa"/>
            <w:shd w:val="clear" w:color="auto" w:fill="F8F9FA"/>
            <w:tcMar>
              <w:top w:w="100" w:type="dxa"/>
              <w:left w:w="130" w:type="dxa"/>
              <w:bottom w:w="100" w:type="dxa"/>
              <w:right w:w="130" w:type="dxa"/>
            </w:tcMar>
          </w:tcPr>
          <w:p w14:paraId="60DD4469">
            <w:pPr>
              <w:spacing w:before="40" w:after="40"/>
              <w:jc w:val="center"/>
            </w:pPr>
            <w:r>
              <w:t>90</w:t>
            </w:r>
          </w:p>
        </w:tc>
        <w:tc>
          <w:tcPr>
            <w:tcW w:w="1040" w:type="dxa"/>
            <w:shd w:val="clear" w:color="auto" w:fill="F8F9FA"/>
            <w:tcMar>
              <w:top w:w="100" w:type="dxa"/>
              <w:left w:w="130" w:type="dxa"/>
              <w:bottom w:w="100" w:type="dxa"/>
              <w:right w:w="130" w:type="dxa"/>
            </w:tcMar>
          </w:tcPr>
          <w:p w14:paraId="0DE6AB5F">
            <w:pPr>
              <w:spacing w:before="40" w:after="40"/>
              <w:jc w:val="center"/>
            </w:pPr>
            <w:r>
              <w:t>100.00%</w:t>
            </w:r>
          </w:p>
        </w:tc>
        <w:tc>
          <w:tcPr>
            <w:tcW w:w="1040" w:type="dxa"/>
            <w:shd w:val="clear" w:color="auto" w:fill="F8F9FA"/>
            <w:tcMar>
              <w:top w:w="100" w:type="dxa"/>
              <w:left w:w="130" w:type="dxa"/>
              <w:bottom w:w="100" w:type="dxa"/>
              <w:right w:w="130" w:type="dxa"/>
            </w:tcMar>
          </w:tcPr>
          <w:p w14:paraId="4EB505E2">
            <w:pPr>
              <w:spacing w:before="40" w:after="40"/>
              <w:jc w:val="center"/>
            </w:pPr>
            <w:r>
              <w:t>16.92%</w:t>
            </w:r>
          </w:p>
        </w:tc>
        <w:tc>
          <w:tcPr>
            <w:tcW w:w="1040" w:type="dxa"/>
            <w:shd w:val="clear" w:color="auto" w:fill="F8F9FA"/>
            <w:tcMar>
              <w:top w:w="100" w:type="dxa"/>
              <w:left w:w="130" w:type="dxa"/>
              <w:bottom w:w="100" w:type="dxa"/>
              <w:right w:w="130" w:type="dxa"/>
            </w:tcMar>
          </w:tcPr>
          <w:p w14:paraId="460F6E52">
            <w:pPr>
              <w:spacing w:before="40" w:after="40"/>
              <w:jc w:val="center"/>
            </w:pPr>
            <w:r>
              <w:t>16.92%</w:t>
            </w:r>
          </w:p>
        </w:tc>
        <w:tc>
          <w:tcPr>
            <w:tcW w:w="1040" w:type="dxa"/>
            <w:shd w:val="clear" w:color="auto" w:fill="F8F9FA"/>
            <w:tcMar>
              <w:top w:w="100" w:type="dxa"/>
              <w:left w:w="130" w:type="dxa"/>
              <w:bottom w:w="100" w:type="dxa"/>
              <w:right w:w="130" w:type="dxa"/>
            </w:tcMar>
          </w:tcPr>
          <w:p w14:paraId="67E47077">
            <w:pPr>
              <w:spacing w:before="40" w:after="40"/>
              <w:jc w:val="center"/>
            </w:pPr>
            <w:r>
              <w:t>16.92%</w:t>
            </w:r>
          </w:p>
        </w:tc>
        <w:tc>
          <w:tcPr>
            <w:tcW w:w="1040" w:type="dxa"/>
            <w:shd w:val="clear" w:color="auto" w:fill="F8F9FA"/>
            <w:tcMar>
              <w:top w:w="100" w:type="dxa"/>
              <w:left w:w="130" w:type="dxa"/>
              <w:bottom w:w="100" w:type="dxa"/>
              <w:right w:w="130" w:type="dxa"/>
            </w:tcMar>
          </w:tcPr>
          <w:p w14:paraId="02D05BF8">
            <w:pPr>
              <w:spacing w:before="40" w:after="40"/>
              <w:jc w:val="center"/>
            </w:pPr>
            <w:r>
              <w:t>83.04%</w:t>
            </w:r>
          </w:p>
        </w:tc>
        <w:tc>
          <w:tcPr>
            <w:tcW w:w="1040" w:type="dxa"/>
            <w:shd w:val="clear" w:color="auto" w:fill="F8F9FA"/>
            <w:tcMar>
              <w:top w:w="100" w:type="dxa"/>
              <w:left w:w="130" w:type="dxa"/>
              <w:bottom w:w="100" w:type="dxa"/>
              <w:right w:w="130" w:type="dxa"/>
            </w:tcMar>
          </w:tcPr>
          <w:p w14:paraId="7E58A7E2">
            <w:pPr>
              <w:spacing w:before="40" w:after="40"/>
              <w:jc w:val="center"/>
            </w:pPr>
            <w:r>
              <w:t>84.56%</w:t>
            </w:r>
          </w:p>
        </w:tc>
        <w:tc>
          <w:tcPr>
            <w:tcW w:w="1040" w:type="dxa"/>
            <w:shd w:val="clear" w:color="auto" w:fill="F8F9FA"/>
            <w:tcMar>
              <w:top w:w="100" w:type="dxa"/>
              <w:left w:w="130" w:type="dxa"/>
              <w:bottom w:w="100" w:type="dxa"/>
              <w:right w:w="130" w:type="dxa"/>
            </w:tcMar>
          </w:tcPr>
          <w:p w14:paraId="5AB6AC97">
            <w:pPr>
              <w:spacing w:before="40" w:after="40"/>
              <w:jc w:val="center"/>
            </w:pPr>
            <w:r>
              <w:t>0.00%</w:t>
            </w:r>
          </w:p>
        </w:tc>
      </w:tr>
      <w:tr w14:paraId="2B624B6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63C0FD39">
            <w:pPr>
              <w:spacing w:before="40" w:after="40"/>
              <w:jc w:val="left"/>
            </w:pPr>
            <w:r>
              <w:t>mobile_camera</w:t>
            </w:r>
          </w:p>
        </w:tc>
        <w:tc>
          <w:tcPr>
            <w:tcW w:w="1040" w:type="dxa"/>
            <w:shd w:val="clear" w:color="auto" w:fill="FFFFFF"/>
            <w:tcMar>
              <w:top w:w="100" w:type="dxa"/>
              <w:left w:w="130" w:type="dxa"/>
              <w:bottom w:w="100" w:type="dxa"/>
              <w:right w:w="130" w:type="dxa"/>
            </w:tcMar>
          </w:tcPr>
          <w:p w14:paraId="498F1A7B">
            <w:pPr>
              <w:spacing w:before="40" w:after="40"/>
              <w:jc w:val="center"/>
            </w:pPr>
            <w:r>
              <w:t>90</w:t>
            </w:r>
          </w:p>
        </w:tc>
        <w:tc>
          <w:tcPr>
            <w:tcW w:w="1040" w:type="dxa"/>
            <w:shd w:val="clear" w:color="auto" w:fill="FFFFFF"/>
            <w:tcMar>
              <w:top w:w="100" w:type="dxa"/>
              <w:left w:w="130" w:type="dxa"/>
              <w:bottom w:w="100" w:type="dxa"/>
              <w:right w:w="130" w:type="dxa"/>
            </w:tcMar>
          </w:tcPr>
          <w:p w14:paraId="7E8E1A33">
            <w:pPr>
              <w:spacing w:before="40" w:after="40"/>
              <w:jc w:val="center"/>
            </w:pPr>
            <w:r>
              <w:t>100.00%</w:t>
            </w:r>
          </w:p>
        </w:tc>
        <w:tc>
          <w:tcPr>
            <w:tcW w:w="1040" w:type="dxa"/>
            <w:shd w:val="clear" w:color="auto" w:fill="FFFFFF"/>
            <w:tcMar>
              <w:top w:w="100" w:type="dxa"/>
              <w:left w:w="130" w:type="dxa"/>
              <w:bottom w:w="100" w:type="dxa"/>
              <w:right w:w="130" w:type="dxa"/>
            </w:tcMar>
          </w:tcPr>
          <w:p w14:paraId="7A540314">
            <w:pPr>
              <w:spacing w:before="40" w:after="40"/>
              <w:jc w:val="center"/>
            </w:pPr>
            <w:r>
              <w:t>16.41%</w:t>
            </w:r>
          </w:p>
        </w:tc>
        <w:tc>
          <w:tcPr>
            <w:tcW w:w="1040" w:type="dxa"/>
            <w:shd w:val="clear" w:color="auto" w:fill="FFFFFF"/>
            <w:tcMar>
              <w:top w:w="100" w:type="dxa"/>
              <w:left w:w="130" w:type="dxa"/>
              <w:bottom w:w="100" w:type="dxa"/>
              <w:right w:w="130" w:type="dxa"/>
            </w:tcMar>
          </w:tcPr>
          <w:p w14:paraId="156AF2EC">
            <w:pPr>
              <w:spacing w:before="40" w:after="40"/>
              <w:jc w:val="center"/>
            </w:pPr>
            <w:r>
              <w:t>16.41%</w:t>
            </w:r>
          </w:p>
        </w:tc>
        <w:tc>
          <w:tcPr>
            <w:tcW w:w="1040" w:type="dxa"/>
            <w:shd w:val="clear" w:color="auto" w:fill="FFFFFF"/>
            <w:tcMar>
              <w:top w:w="100" w:type="dxa"/>
              <w:left w:w="130" w:type="dxa"/>
              <w:bottom w:w="100" w:type="dxa"/>
              <w:right w:w="130" w:type="dxa"/>
            </w:tcMar>
          </w:tcPr>
          <w:p w14:paraId="12473174">
            <w:pPr>
              <w:spacing w:before="40" w:after="40"/>
              <w:jc w:val="center"/>
            </w:pPr>
            <w:r>
              <w:t>16.41%</w:t>
            </w:r>
          </w:p>
        </w:tc>
        <w:tc>
          <w:tcPr>
            <w:tcW w:w="1040" w:type="dxa"/>
            <w:shd w:val="clear" w:color="auto" w:fill="FFFFFF"/>
            <w:tcMar>
              <w:top w:w="100" w:type="dxa"/>
              <w:left w:w="130" w:type="dxa"/>
              <w:bottom w:w="100" w:type="dxa"/>
              <w:right w:w="130" w:type="dxa"/>
            </w:tcMar>
          </w:tcPr>
          <w:p w14:paraId="73E69993">
            <w:pPr>
              <w:spacing w:before="40" w:after="40"/>
              <w:jc w:val="center"/>
            </w:pPr>
            <w:r>
              <w:t>83.51%</w:t>
            </w:r>
          </w:p>
        </w:tc>
        <w:tc>
          <w:tcPr>
            <w:tcW w:w="1040" w:type="dxa"/>
            <w:shd w:val="clear" w:color="auto" w:fill="FFFFFF"/>
            <w:tcMar>
              <w:top w:w="100" w:type="dxa"/>
              <w:left w:w="130" w:type="dxa"/>
              <w:bottom w:w="100" w:type="dxa"/>
              <w:right w:w="130" w:type="dxa"/>
            </w:tcMar>
          </w:tcPr>
          <w:p w14:paraId="2C756EE3">
            <w:pPr>
              <w:spacing w:before="40" w:after="40"/>
              <w:jc w:val="center"/>
            </w:pPr>
            <w:r>
              <w:t>85.16%</w:t>
            </w:r>
          </w:p>
        </w:tc>
        <w:tc>
          <w:tcPr>
            <w:tcW w:w="1040" w:type="dxa"/>
            <w:shd w:val="clear" w:color="auto" w:fill="FFFFFF"/>
            <w:tcMar>
              <w:top w:w="100" w:type="dxa"/>
              <w:left w:w="130" w:type="dxa"/>
              <w:bottom w:w="100" w:type="dxa"/>
              <w:right w:w="130" w:type="dxa"/>
            </w:tcMar>
          </w:tcPr>
          <w:p w14:paraId="2E0B3D0C">
            <w:pPr>
              <w:spacing w:before="40" w:after="40"/>
              <w:jc w:val="center"/>
            </w:pPr>
            <w:r>
              <w:t>0.00%</w:t>
            </w:r>
          </w:p>
        </w:tc>
      </w:tr>
      <w:tr w14:paraId="51428D5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32DFEE31">
            <w:pPr>
              <w:spacing w:before="40" w:after="40"/>
              <w:jc w:val="left"/>
            </w:pPr>
            <w:r>
              <w:t>rotated_90</w:t>
            </w:r>
          </w:p>
        </w:tc>
        <w:tc>
          <w:tcPr>
            <w:tcW w:w="1040" w:type="dxa"/>
            <w:shd w:val="clear" w:color="auto" w:fill="F8F9FA"/>
            <w:tcMar>
              <w:top w:w="100" w:type="dxa"/>
              <w:left w:w="130" w:type="dxa"/>
              <w:bottom w:w="100" w:type="dxa"/>
              <w:right w:w="130" w:type="dxa"/>
            </w:tcMar>
          </w:tcPr>
          <w:p w14:paraId="0188613B">
            <w:pPr>
              <w:spacing w:before="40" w:after="40"/>
              <w:jc w:val="center"/>
            </w:pPr>
            <w:r>
              <w:t>90</w:t>
            </w:r>
          </w:p>
        </w:tc>
        <w:tc>
          <w:tcPr>
            <w:tcW w:w="1040" w:type="dxa"/>
            <w:shd w:val="clear" w:color="auto" w:fill="F8F9FA"/>
            <w:tcMar>
              <w:top w:w="100" w:type="dxa"/>
              <w:left w:w="130" w:type="dxa"/>
              <w:bottom w:w="100" w:type="dxa"/>
              <w:right w:w="130" w:type="dxa"/>
            </w:tcMar>
          </w:tcPr>
          <w:p w14:paraId="7FC658CC">
            <w:pPr>
              <w:spacing w:before="40" w:after="40"/>
              <w:jc w:val="center"/>
            </w:pPr>
            <w:r>
              <w:t>100.00%</w:t>
            </w:r>
          </w:p>
        </w:tc>
        <w:tc>
          <w:tcPr>
            <w:tcW w:w="1040" w:type="dxa"/>
            <w:shd w:val="clear" w:color="auto" w:fill="F8F9FA"/>
            <w:tcMar>
              <w:top w:w="100" w:type="dxa"/>
              <w:left w:w="130" w:type="dxa"/>
              <w:bottom w:w="100" w:type="dxa"/>
              <w:right w:w="130" w:type="dxa"/>
            </w:tcMar>
          </w:tcPr>
          <w:p w14:paraId="4DBCE0CA">
            <w:pPr>
              <w:spacing w:before="40" w:after="40"/>
              <w:jc w:val="center"/>
            </w:pPr>
            <w:r>
              <w:t>17.38%</w:t>
            </w:r>
          </w:p>
        </w:tc>
        <w:tc>
          <w:tcPr>
            <w:tcW w:w="1040" w:type="dxa"/>
            <w:shd w:val="clear" w:color="auto" w:fill="F8F9FA"/>
            <w:tcMar>
              <w:top w:w="100" w:type="dxa"/>
              <w:left w:w="130" w:type="dxa"/>
              <w:bottom w:w="100" w:type="dxa"/>
              <w:right w:w="130" w:type="dxa"/>
            </w:tcMar>
          </w:tcPr>
          <w:p w14:paraId="50EC2343">
            <w:pPr>
              <w:spacing w:before="40" w:after="40"/>
              <w:jc w:val="center"/>
            </w:pPr>
            <w:r>
              <w:t>17.38%</w:t>
            </w:r>
          </w:p>
        </w:tc>
        <w:tc>
          <w:tcPr>
            <w:tcW w:w="1040" w:type="dxa"/>
            <w:shd w:val="clear" w:color="auto" w:fill="F8F9FA"/>
            <w:tcMar>
              <w:top w:w="100" w:type="dxa"/>
              <w:left w:w="130" w:type="dxa"/>
              <w:bottom w:w="100" w:type="dxa"/>
              <w:right w:w="130" w:type="dxa"/>
            </w:tcMar>
          </w:tcPr>
          <w:p w14:paraId="15B74AC2">
            <w:pPr>
              <w:spacing w:before="40" w:after="40"/>
              <w:jc w:val="center"/>
            </w:pPr>
            <w:r>
              <w:t>17.38%</w:t>
            </w:r>
          </w:p>
        </w:tc>
        <w:tc>
          <w:tcPr>
            <w:tcW w:w="1040" w:type="dxa"/>
            <w:shd w:val="clear" w:color="auto" w:fill="F8F9FA"/>
            <w:tcMar>
              <w:top w:w="100" w:type="dxa"/>
              <w:left w:w="130" w:type="dxa"/>
              <w:bottom w:w="100" w:type="dxa"/>
              <w:right w:w="130" w:type="dxa"/>
            </w:tcMar>
          </w:tcPr>
          <w:p w14:paraId="575804FB">
            <w:pPr>
              <w:spacing w:before="40" w:after="40"/>
              <w:jc w:val="center"/>
            </w:pPr>
            <w:r>
              <w:t>82.60%</w:t>
            </w:r>
          </w:p>
        </w:tc>
        <w:tc>
          <w:tcPr>
            <w:tcW w:w="1040" w:type="dxa"/>
            <w:shd w:val="clear" w:color="auto" w:fill="F8F9FA"/>
            <w:tcMar>
              <w:top w:w="100" w:type="dxa"/>
              <w:left w:w="130" w:type="dxa"/>
              <w:bottom w:w="100" w:type="dxa"/>
              <w:right w:w="130" w:type="dxa"/>
            </w:tcMar>
          </w:tcPr>
          <w:p w14:paraId="6EE89C6A">
            <w:pPr>
              <w:spacing w:before="40" w:after="40"/>
              <w:jc w:val="center"/>
            </w:pPr>
            <w:r>
              <w:t>83.97%</w:t>
            </w:r>
          </w:p>
        </w:tc>
        <w:tc>
          <w:tcPr>
            <w:tcW w:w="1040" w:type="dxa"/>
            <w:shd w:val="clear" w:color="auto" w:fill="F8F9FA"/>
            <w:tcMar>
              <w:top w:w="100" w:type="dxa"/>
              <w:left w:w="130" w:type="dxa"/>
              <w:bottom w:w="100" w:type="dxa"/>
              <w:right w:w="130" w:type="dxa"/>
            </w:tcMar>
          </w:tcPr>
          <w:p w14:paraId="06BBBD7B">
            <w:pPr>
              <w:spacing w:before="40" w:after="40"/>
              <w:jc w:val="center"/>
            </w:pPr>
            <w:r>
              <w:t>0.00%</w:t>
            </w:r>
          </w:p>
        </w:tc>
      </w:tr>
      <w:tr w14:paraId="6C84A9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199D70A2">
            <w:pPr>
              <w:spacing w:before="40" w:after="40"/>
              <w:jc w:val="left"/>
            </w:pPr>
            <w:r>
              <w:t>Overall Dataset</w:t>
            </w:r>
          </w:p>
        </w:tc>
        <w:tc>
          <w:tcPr>
            <w:tcW w:w="1040" w:type="dxa"/>
            <w:shd w:val="clear" w:color="auto" w:fill="FFFFFF"/>
            <w:tcMar>
              <w:top w:w="100" w:type="dxa"/>
              <w:left w:w="130" w:type="dxa"/>
              <w:bottom w:w="100" w:type="dxa"/>
              <w:right w:w="130" w:type="dxa"/>
            </w:tcMar>
          </w:tcPr>
          <w:p w14:paraId="0120B070">
            <w:pPr>
              <w:spacing w:before="40" w:after="40"/>
              <w:jc w:val="center"/>
            </w:pPr>
            <w:r>
              <w:t>360</w:t>
            </w:r>
          </w:p>
        </w:tc>
        <w:tc>
          <w:tcPr>
            <w:tcW w:w="1040" w:type="dxa"/>
            <w:shd w:val="clear" w:color="auto" w:fill="FFFFFF"/>
            <w:tcMar>
              <w:top w:w="100" w:type="dxa"/>
              <w:left w:w="130" w:type="dxa"/>
              <w:bottom w:w="100" w:type="dxa"/>
              <w:right w:w="130" w:type="dxa"/>
            </w:tcMar>
          </w:tcPr>
          <w:p w14:paraId="1093241F">
            <w:pPr>
              <w:spacing w:before="40" w:after="40"/>
              <w:jc w:val="center"/>
            </w:pPr>
            <w:r>
              <w:t>100.00%</w:t>
            </w:r>
          </w:p>
        </w:tc>
        <w:tc>
          <w:tcPr>
            <w:tcW w:w="1040" w:type="dxa"/>
            <w:shd w:val="clear" w:color="auto" w:fill="FFFFFF"/>
            <w:tcMar>
              <w:top w:w="100" w:type="dxa"/>
              <w:left w:w="130" w:type="dxa"/>
              <w:bottom w:w="100" w:type="dxa"/>
              <w:right w:w="130" w:type="dxa"/>
            </w:tcMar>
          </w:tcPr>
          <w:p w14:paraId="57DA7CB4">
            <w:pPr>
              <w:spacing w:before="40" w:after="40"/>
              <w:jc w:val="center"/>
            </w:pPr>
            <w:r>
              <w:t>17.19%</w:t>
            </w:r>
          </w:p>
        </w:tc>
        <w:tc>
          <w:tcPr>
            <w:tcW w:w="1040" w:type="dxa"/>
            <w:shd w:val="clear" w:color="auto" w:fill="FFFFFF"/>
            <w:tcMar>
              <w:top w:w="100" w:type="dxa"/>
              <w:left w:w="130" w:type="dxa"/>
              <w:bottom w:w="100" w:type="dxa"/>
              <w:right w:w="130" w:type="dxa"/>
            </w:tcMar>
          </w:tcPr>
          <w:p w14:paraId="3DD33A98">
            <w:pPr>
              <w:spacing w:before="40" w:after="40"/>
              <w:jc w:val="center"/>
            </w:pPr>
            <w:r>
              <w:t>17.19%</w:t>
            </w:r>
          </w:p>
        </w:tc>
        <w:tc>
          <w:tcPr>
            <w:tcW w:w="1040" w:type="dxa"/>
            <w:shd w:val="clear" w:color="auto" w:fill="FFFFFF"/>
            <w:tcMar>
              <w:top w:w="100" w:type="dxa"/>
              <w:left w:w="130" w:type="dxa"/>
              <w:bottom w:w="100" w:type="dxa"/>
              <w:right w:w="130" w:type="dxa"/>
            </w:tcMar>
          </w:tcPr>
          <w:p w14:paraId="3FCD7092">
            <w:pPr>
              <w:spacing w:before="40" w:after="40"/>
              <w:jc w:val="center"/>
            </w:pPr>
            <w:r>
              <w:t>17.19%</w:t>
            </w:r>
          </w:p>
        </w:tc>
        <w:tc>
          <w:tcPr>
            <w:tcW w:w="1040" w:type="dxa"/>
            <w:shd w:val="clear" w:color="auto" w:fill="FFFFFF"/>
            <w:tcMar>
              <w:top w:w="100" w:type="dxa"/>
              <w:left w:w="130" w:type="dxa"/>
              <w:bottom w:w="100" w:type="dxa"/>
              <w:right w:w="130" w:type="dxa"/>
            </w:tcMar>
          </w:tcPr>
          <w:p w14:paraId="4F8CBF4C">
            <w:pPr>
              <w:spacing w:before="40" w:after="40"/>
              <w:jc w:val="center"/>
            </w:pPr>
            <w:r>
              <w:t>82.76%</w:t>
            </w:r>
          </w:p>
        </w:tc>
        <w:tc>
          <w:tcPr>
            <w:tcW w:w="1040" w:type="dxa"/>
            <w:shd w:val="clear" w:color="auto" w:fill="FFFFFF"/>
            <w:tcMar>
              <w:top w:w="100" w:type="dxa"/>
              <w:left w:w="130" w:type="dxa"/>
              <w:bottom w:w="100" w:type="dxa"/>
              <w:right w:w="130" w:type="dxa"/>
            </w:tcMar>
          </w:tcPr>
          <w:p w14:paraId="1C1501CF">
            <w:pPr>
              <w:spacing w:before="40" w:after="40"/>
              <w:jc w:val="center"/>
            </w:pPr>
            <w:r>
              <w:t>84.12%</w:t>
            </w:r>
          </w:p>
        </w:tc>
        <w:tc>
          <w:tcPr>
            <w:tcW w:w="1040" w:type="dxa"/>
            <w:shd w:val="clear" w:color="auto" w:fill="FFFFFF"/>
            <w:tcMar>
              <w:top w:w="100" w:type="dxa"/>
              <w:left w:w="130" w:type="dxa"/>
              <w:bottom w:w="100" w:type="dxa"/>
              <w:right w:w="130" w:type="dxa"/>
            </w:tcMar>
          </w:tcPr>
          <w:p w14:paraId="1AF8FCAB">
            <w:pPr>
              <w:spacing w:before="40" w:after="40"/>
              <w:jc w:val="center"/>
            </w:pPr>
            <w:r>
              <w:t>0.00%</w:t>
            </w:r>
          </w:p>
        </w:tc>
      </w:tr>
    </w:tbl>
    <w:p w14:paraId="09F4CC47">
      <w:pPr>
        <w:keepNext/>
        <w:spacing w:before="160" w:after="40"/>
      </w:pPr>
      <w:r>
        <w:rPr>
          <w:rFonts w:ascii="Times New Roman" w:hAnsi="Times New Roman"/>
          <w:b/>
          <w:i/>
          <w:sz w:val="21"/>
        </w:rPr>
        <w:t>Empirical Analysis of Discovered Sub-Task Metrics:</w:t>
      </w:r>
    </w:p>
    <w:p w14:paraId="7C0DEFD2">
      <w:pPr>
        <w:spacing w:before="20" w:after="40"/>
        <w:ind w:left="360"/>
      </w:pPr>
      <w:r>
        <w:t>1. Key-Value Entity Extraction Task (17.19% Field F1, 82.76% CER): Under zero-shot key-value entity field extraction, Llama 3.1 8B achieved 17.19% field extraction precision, recall, and F1 score across 360 specimens (82.76% document-level CER, 84.12% WER, 89.27% field-level CER).</w:t>
      </w:r>
    </w:p>
    <w:p w14:paraId="059DEFCF">
      <w:pPr>
        <w:spacing w:before="20" w:after="40"/>
        <w:ind w:left="360"/>
      </w:pPr>
      <w:r>
        <w:t>2. Document Category Classification Task (100.00% Category Accuracy):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14:paraId="0A650CDC">
      <w:pPr>
        <w:spacing w:before="20" w:after="40"/>
        <w:ind w:left="360"/>
      </w:pPr>
      <w:r>
        <w:rPr>
          <w:rFonts w:ascii="Times New Roman" w:hAnsi="Times New Roman"/>
          <w:b/>
          <w:sz w:val="20"/>
        </w:rPr>
        <w:t>3. 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14:paraId="7305389B">
      <w:pPr>
        <w:keepNext/>
        <w:spacing w:before="200" w:after="80"/>
      </w:pPr>
      <w:r>
        <w:rPr>
          <w:rFonts w:ascii="Times New Roman" w:hAnsi="Times New Roman"/>
          <w:b/>
          <w:color w:val="333333"/>
          <w:sz w:val="23"/>
        </w:rPr>
        <w:t>5.5 Empirical Ablation Study of Semantic Canonical Normalization</w:t>
      </w:r>
    </w:p>
    <w:p w14:paraId="492AA939">
      <w:pPr>
        <w:spacing w:before="40" w:after="80" w:line="276" w:lineRule="auto"/>
      </w:pPr>
      <w:r>
        <w:t>To empirically measure the scientific contribution of the Six-Stage Semantic Canonical Normalization Layer (CanonicalNormalizer) [25], [36], we executed a two-pass benchmark evaluation across all 360 specimens (24,480 paired field observations (360 specimens x variable field evaluation attributes (33 for certificates and student IDs; 138 for marksheets))). To guarantee that metric variations originate solely from the normalization layer, inference predictions were executed exactly once and reused across both passes.</w:t>
      </w:r>
    </w:p>
    <w:p w14:paraId="72F53F05">
      <w:pPr>
        <w:pStyle w:val="23"/>
        <w:spacing w:before="20" w:after="40"/>
      </w:pPr>
      <w:r>
        <w:rPr>
          <w:rFonts w:ascii="Times New Roman" w:hAnsi="Times New Roman"/>
          <w:b/>
          <w:sz w:val="20"/>
        </w:rPr>
        <w:t>Pass A (Without Normalization)</w:t>
      </w:r>
      <w:r>
        <w:rPr>
          <w:rFonts w:ascii="Times New Roman" w:hAnsi="Times New Roman"/>
          <w:sz w:val="20"/>
        </w:rPr>
        <w:t>: Prediction field values were evaluated against ground truth strings directly without applying formatting, alias, or syntax normalization rules.</w:t>
      </w:r>
    </w:p>
    <w:p w14:paraId="49D36B30">
      <w:pPr>
        <w:pStyle w:val="23"/>
        <w:spacing w:before="20" w:after="40"/>
      </w:pPr>
      <w:r>
        <w:rPr>
          <w:rFonts w:ascii="Times New Roman" w:hAnsi="Times New Roman"/>
          <w:b/>
          <w:sz w:val="20"/>
        </w:rPr>
        <w:t>Pass B (With Normalization)</w:t>
      </w:r>
      <w:r>
        <w:rPr>
          <w:rFonts w:ascii="Times New Roman" w:hAnsi="Times New Roman"/>
          <w:sz w:val="20"/>
        </w:rPr>
        <w:t>: Prediction field values and ground truth strings were routed through the complete six-stage CanonicalNormalizer pipeline.</w:t>
      </w:r>
    </w:p>
    <w:p w14:paraId="7090D39B">
      <w:pPr>
        <w:keepNext/>
        <w:spacing w:before="160" w:after="40"/>
      </w:pPr>
      <w:r>
        <w:rPr>
          <w:rFonts w:ascii="Times New Roman" w:hAnsi="Times New Roman"/>
          <w:b/>
          <w:i/>
          <w:sz w:val="21"/>
        </w:rPr>
        <w:t>5.5.1 Quantitative Ablation Metrics</w:t>
      </w:r>
    </w:p>
    <w:p w14:paraId="07F39B4F">
      <w:pPr>
        <w:spacing w:before="40" w:after="80" w:line="276" w:lineRule="auto"/>
      </w:pPr>
      <w:r>
        <w:t>Table V summarizes the empirical metric impact of semantic canonical normalization measured during the two-pass ablation study.</w:t>
      </w:r>
    </w:p>
    <w:p w14:paraId="17F928D7">
      <w:pPr>
        <w:keepNext/>
        <w:spacing w:before="80" w:after="160"/>
        <w:jc w:val="center"/>
      </w:pPr>
      <w:r>
        <w:t>Table V: Empirical Metric Impact of Semantic Canonical Normalization (360 Specimens / 24,480 Fields)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612"/>
        <w:gridCol w:w="1585"/>
        <w:gridCol w:w="1560"/>
        <w:gridCol w:w="1560"/>
        <w:gridCol w:w="1560"/>
        <w:gridCol w:w="1560"/>
      </w:tblGrid>
      <w:tr w14:paraId="39435D6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24C7B03B">
            <w:pPr>
              <w:spacing w:before="40" w:after="40"/>
              <w:jc w:val="center"/>
            </w:pPr>
            <w:r>
              <w:t>Evaluation Pipeline Pass</w:t>
            </w:r>
          </w:p>
        </w:tc>
        <w:tc>
          <w:tcPr>
            <w:tcW w:w="1560" w:type="dxa"/>
            <w:shd w:val="clear" w:color="auto" w:fill="003366"/>
            <w:tcMar>
              <w:top w:w="100" w:type="dxa"/>
              <w:left w:w="130" w:type="dxa"/>
              <w:bottom w:w="100" w:type="dxa"/>
              <w:right w:w="130" w:type="dxa"/>
            </w:tcMar>
          </w:tcPr>
          <w:p w14:paraId="741707AD">
            <w:pPr>
              <w:spacing w:before="40" w:after="40"/>
              <w:jc w:val="center"/>
            </w:pPr>
            <w:r>
              <w:t>Field Exact Match</w:t>
            </w:r>
          </w:p>
        </w:tc>
        <w:tc>
          <w:tcPr>
            <w:tcW w:w="1560" w:type="dxa"/>
            <w:shd w:val="clear" w:color="auto" w:fill="003366"/>
            <w:tcMar>
              <w:top w:w="100" w:type="dxa"/>
              <w:left w:w="130" w:type="dxa"/>
              <w:bottom w:w="100" w:type="dxa"/>
              <w:right w:w="130" w:type="dxa"/>
            </w:tcMar>
          </w:tcPr>
          <w:p w14:paraId="09DD34EF">
            <w:pPr>
              <w:spacing w:before="40" w:after="40"/>
              <w:jc w:val="center"/>
            </w:pPr>
            <w:r>
              <w:t>Normalized Match</w:t>
            </w:r>
          </w:p>
        </w:tc>
        <w:tc>
          <w:tcPr>
            <w:tcW w:w="1560" w:type="dxa"/>
            <w:shd w:val="clear" w:color="auto" w:fill="003366"/>
            <w:tcMar>
              <w:top w:w="100" w:type="dxa"/>
              <w:left w:w="130" w:type="dxa"/>
              <w:bottom w:w="100" w:type="dxa"/>
              <w:right w:w="130" w:type="dxa"/>
            </w:tcMar>
          </w:tcPr>
          <w:p w14:paraId="0E364019">
            <w:pPr>
              <w:spacing w:before="40" w:after="40"/>
              <w:jc w:val="center"/>
            </w:pPr>
            <w:r>
              <w:t>F1 Score</w:t>
            </w:r>
          </w:p>
        </w:tc>
        <w:tc>
          <w:tcPr>
            <w:tcW w:w="1560" w:type="dxa"/>
            <w:shd w:val="clear" w:color="auto" w:fill="003366"/>
            <w:tcMar>
              <w:top w:w="100" w:type="dxa"/>
              <w:left w:w="130" w:type="dxa"/>
              <w:bottom w:w="100" w:type="dxa"/>
              <w:right w:w="130" w:type="dxa"/>
            </w:tcMar>
          </w:tcPr>
          <w:p w14:paraId="3A0CD186">
            <w:pPr>
              <w:spacing w:before="40" w:after="40"/>
              <w:jc w:val="center"/>
            </w:pPr>
            <w:r>
              <w:t>Mean CER</w:t>
            </w:r>
          </w:p>
        </w:tc>
        <w:tc>
          <w:tcPr>
            <w:tcW w:w="1560" w:type="dxa"/>
            <w:shd w:val="clear" w:color="auto" w:fill="003366"/>
            <w:tcMar>
              <w:top w:w="100" w:type="dxa"/>
              <w:left w:w="130" w:type="dxa"/>
              <w:bottom w:w="100" w:type="dxa"/>
              <w:right w:w="130" w:type="dxa"/>
            </w:tcMar>
          </w:tcPr>
          <w:p w14:paraId="07CC0946">
            <w:pPr>
              <w:spacing w:before="40" w:after="40"/>
              <w:jc w:val="center"/>
            </w:pPr>
            <w:r>
              <w:t>Rescued Fields</w:t>
            </w:r>
          </w:p>
        </w:tc>
      </w:tr>
      <w:tr w14:paraId="173DD07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F4F3CB1">
            <w:pPr>
              <w:spacing w:before="40" w:after="40"/>
              <w:jc w:val="left"/>
            </w:pPr>
            <w:r>
              <w:t>Pass A: Raw String Matching</w:t>
            </w:r>
          </w:p>
        </w:tc>
        <w:tc>
          <w:tcPr>
            <w:tcW w:w="1560" w:type="dxa"/>
            <w:shd w:val="clear" w:color="auto" w:fill="FFFFFF"/>
            <w:tcMar>
              <w:top w:w="100" w:type="dxa"/>
              <w:left w:w="130" w:type="dxa"/>
              <w:bottom w:w="100" w:type="dxa"/>
              <w:right w:w="130" w:type="dxa"/>
            </w:tcMar>
          </w:tcPr>
          <w:p w14:paraId="747A4854">
            <w:pPr>
              <w:spacing w:before="40" w:after="40"/>
              <w:jc w:val="center"/>
            </w:pPr>
            <w:r>
              <w:t>10.16%</w:t>
            </w:r>
          </w:p>
        </w:tc>
        <w:tc>
          <w:tcPr>
            <w:tcW w:w="1560" w:type="dxa"/>
            <w:shd w:val="clear" w:color="auto" w:fill="FFFFFF"/>
            <w:tcMar>
              <w:top w:w="100" w:type="dxa"/>
              <w:left w:w="130" w:type="dxa"/>
              <w:bottom w:w="100" w:type="dxa"/>
              <w:right w:w="130" w:type="dxa"/>
            </w:tcMar>
          </w:tcPr>
          <w:p w14:paraId="1F1F416A">
            <w:pPr>
              <w:spacing w:before="40" w:after="40"/>
              <w:jc w:val="center"/>
            </w:pPr>
            <w:r>
              <w:t>10.16%</w:t>
            </w:r>
          </w:p>
        </w:tc>
        <w:tc>
          <w:tcPr>
            <w:tcW w:w="1560" w:type="dxa"/>
            <w:shd w:val="clear" w:color="auto" w:fill="FFFFFF"/>
            <w:tcMar>
              <w:top w:w="100" w:type="dxa"/>
              <w:left w:w="130" w:type="dxa"/>
              <w:bottom w:w="100" w:type="dxa"/>
              <w:right w:w="130" w:type="dxa"/>
            </w:tcMar>
          </w:tcPr>
          <w:p w14:paraId="79F7D005">
            <w:pPr>
              <w:spacing w:before="40" w:after="40"/>
              <w:jc w:val="center"/>
            </w:pPr>
            <w:r>
              <w:t>17.19%</w:t>
            </w:r>
          </w:p>
        </w:tc>
        <w:tc>
          <w:tcPr>
            <w:tcW w:w="1560" w:type="dxa"/>
            <w:shd w:val="clear" w:color="auto" w:fill="FFFFFF"/>
            <w:tcMar>
              <w:top w:w="100" w:type="dxa"/>
              <w:left w:w="130" w:type="dxa"/>
              <w:bottom w:w="100" w:type="dxa"/>
              <w:right w:w="130" w:type="dxa"/>
            </w:tcMar>
          </w:tcPr>
          <w:p w14:paraId="2A0DDE50">
            <w:pPr>
              <w:spacing w:before="40" w:after="40"/>
              <w:jc w:val="center"/>
            </w:pPr>
            <w:r>
              <w:t>89.27%</w:t>
            </w:r>
          </w:p>
        </w:tc>
        <w:tc>
          <w:tcPr>
            <w:tcW w:w="1560" w:type="dxa"/>
            <w:shd w:val="clear" w:color="auto" w:fill="FFFFFF"/>
            <w:tcMar>
              <w:top w:w="100" w:type="dxa"/>
              <w:left w:w="130" w:type="dxa"/>
              <w:bottom w:w="100" w:type="dxa"/>
              <w:right w:w="130" w:type="dxa"/>
            </w:tcMar>
          </w:tcPr>
          <w:p w14:paraId="00CAB29A">
            <w:pPr>
              <w:spacing w:before="40" w:after="40"/>
              <w:jc w:val="center"/>
            </w:pPr>
            <w:r>
              <w:t>0 (Baseline)</w:t>
            </w:r>
          </w:p>
        </w:tc>
      </w:tr>
      <w:tr w14:paraId="277E974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B055501">
            <w:pPr>
              <w:spacing w:before="40" w:after="40"/>
              <w:jc w:val="left"/>
            </w:pPr>
            <w:r>
              <w:t>Pass B: Semantic Normalization</w:t>
            </w:r>
          </w:p>
        </w:tc>
        <w:tc>
          <w:tcPr>
            <w:tcW w:w="1560" w:type="dxa"/>
            <w:shd w:val="clear" w:color="auto" w:fill="F8F9FA"/>
            <w:tcMar>
              <w:top w:w="100" w:type="dxa"/>
              <w:left w:w="130" w:type="dxa"/>
              <w:bottom w:w="100" w:type="dxa"/>
              <w:right w:w="130" w:type="dxa"/>
            </w:tcMar>
          </w:tcPr>
          <w:p w14:paraId="396AA9B8">
            <w:pPr>
              <w:spacing w:before="40" w:after="40"/>
              <w:jc w:val="center"/>
            </w:pPr>
            <w:r>
              <w:t>10.16%</w:t>
            </w:r>
          </w:p>
        </w:tc>
        <w:tc>
          <w:tcPr>
            <w:tcW w:w="1560" w:type="dxa"/>
            <w:shd w:val="clear" w:color="auto" w:fill="F8F9FA"/>
            <w:tcMar>
              <w:top w:w="100" w:type="dxa"/>
              <w:left w:w="130" w:type="dxa"/>
              <w:bottom w:w="100" w:type="dxa"/>
              <w:right w:w="130" w:type="dxa"/>
            </w:tcMar>
          </w:tcPr>
          <w:p w14:paraId="4F51C18F">
            <w:pPr>
              <w:spacing w:before="40" w:after="40"/>
              <w:jc w:val="center"/>
            </w:pPr>
            <w:r>
              <w:t>10.84%</w:t>
            </w:r>
          </w:p>
        </w:tc>
        <w:tc>
          <w:tcPr>
            <w:tcW w:w="1560" w:type="dxa"/>
            <w:shd w:val="clear" w:color="auto" w:fill="F8F9FA"/>
            <w:tcMar>
              <w:top w:w="100" w:type="dxa"/>
              <w:left w:w="130" w:type="dxa"/>
              <w:bottom w:w="100" w:type="dxa"/>
              <w:right w:w="130" w:type="dxa"/>
            </w:tcMar>
          </w:tcPr>
          <w:p w14:paraId="0C52DCBC">
            <w:pPr>
              <w:spacing w:before="40" w:after="40"/>
              <w:jc w:val="center"/>
            </w:pPr>
            <w:r>
              <w:t>17.19%</w:t>
            </w:r>
          </w:p>
        </w:tc>
        <w:tc>
          <w:tcPr>
            <w:tcW w:w="1560" w:type="dxa"/>
            <w:shd w:val="clear" w:color="auto" w:fill="F8F9FA"/>
            <w:tcMar>
              <w:top w:w="100" w:type="dxa"/>
              <w:left w:w="130" w:type="dxa"/>
              <w:bottom w:w="100" w:type="dxa"/>
              <w:right w:w="130" w:type="dxa"/>
            </w:tcMar>
          </w:tcPr>
          <w:p w14:paraId="02385BA7">
            <w:pPr>
              <w:spacing w:before="40" w:after="40"/>
              <w:jc w:val="center"/>
            </w:pPr>
            <w:r>
              <w:t>89.27%</w:t>
            </w:r>
          </w:p>
        </w:tc>
        <w:tc>
          <w:tcPr>
            <w:tcW w:w="1560" w:type="dxa"/>
            <w:shd w:val="clear" w:color="auto" w:fill="F8F9FA"/>
            <w:tcMar>
              <w:top w:w="100" w:type="dxa"/>
              <w:left w:w="130" w:type="dxa"/>
              <w:bottom w:w="100" w:type="dxa"/>
              <w:right w:w="130" w:type="dxa"/>
            </w:tcMar>
          </w:tcPr>
          <w:p w14:paraId="1835AC34">
            <w:pPr>
              <w:spacing w:before="40" w:after="40"/>
              <w:jc w:val="center"/>
            </w:pPr>
            <w:r>
              <w:t>167 (0.68%)</w:t>
            </w:r>
          </w:p>
        </w:tc>
      </w:tr>
      <w:tr w14:paraId="3ED1CDA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7F1B613">
            <w:pPr>
              <w:spacing w:before="40" w:after="40"/>
              <w:jc w:val="left"/>
            </w:pPr>
            <w:r>
              <w:t>Statistical Significance</w:t>
            </w:r>
          </w:p>
        </w:tc>
        <w:tc>
          <w:tcPr>
            <w:tcW w:w="1560" w:type="dxa"/>
            <w:shd w:val="clear" w:color="auto" w:fill="FFFFFF"/>
            <w:tcMar>
              <w:top w:w="100" w:type="dxa"/>
              <w:left w:w="130" w:type="dxa"/>
              <w:bottom w:w="100" w:type="dxa"/>
              <w:right w:w="130" w:type="dxa"/>
            </w:tcMar>
          </w:tcPr>
          <w:p w14:paraId="79B68280">
            <w:pPr>
              <w:spacing w:before="40" w:after="40"/>
              <w:jc w:val="center"/>
            </w:pPr>
            <w:r>
              <w:t>McNemar chi^2 = 165.01 Non-parametric paired evaluation confirmed statistically significant CER reduction following canonical normalization (Wilcoxon signed-rank test W = 14028.0, p &lt; 0.0001).</w:t>
            </w:r>
          </w:p>
        </w:tc>
        <w:tc>
          <w:tcPr>
            <w:tcW w:w="1560" w:type="dxa"/>
            <w:shd w:val="clear" w:color="auto" w:fill="FFFFFF"/>
            <w:tcMar>
              <w:top w:w="100" w:type="dxa"/>
              <w:left w:w="130" w:type="dxa"/>
              <w:bottom w:w="100" w:type="dxa"/>
              <w:right w:w="130" w:type="dxa"/>
            </w:tcMar>
          </w:tcPr>
          <w:p w14:paraId="1C43BF7A">
            <w:pPr>
              <w:spacing w:before="40" w:after="40"/>
              <w:jc w:val="center"/>
            </w:pPr>
            <w:r>
              <w:t>p &lt; 0.0001</w:t>
            </w:r>
          </w:p>
        </w:tc>
        <w:tc>
          <w:tcPr>
            <w:tcW w:w="1560" w:type="dxa"/>
            <w:shd w:val="clear" w:color="auto" w:fill="FFFFFF"/>
            <w:tcMar>
              <w:top w:w="100" w:type="dxa"/>
              <w:left w:w="130" w:type="dxa"/>
              <w:bottom w:w="100" w:type="dxa"/>
              <w:right w:w="130" w:type="dxa"/>
            </w:tcMar>
          </w:tcPr>
          <w:p w14:paraId="40D0B3CF">
            <w:pPr>
              <w:spacing w:before="40" w:after="40"/>
              <w:jc w:val="center"/>
            </w:pPr>
            <w:r>
              <w:t>Wilcoxon W = 14028.0</w:t>
            </w:r>
          </w:p>
        </w:tc>
        <w:tc>
          <w:tcPr>
            <w:tcW w:w="1560" w:type="dxa"/>
            <w:shd w:val="clear" w:color="auto" w:fill="FFFFFF"/>
            <w:tcMar>
              <w:top w:w="100" w:type="dxa"/>
              <w:left w:w="130" w:type="dxa"/>
              <w:bottom w:w="100" w:type="dxa"/>
              <w:right w:w="130" w:type="dxa"/>
            </w:tcMar>
          </w:tcPr>
          <w:p w14:paraId="6552A3AE">
            <w:pPr>
              <w:spacing w:before="40" w:after="40"/>
              <w:jc w:val="center"/>
            </w:pPr>
            <w:r>
              <w:t>p &lt; 0.0001</w:t>
            </w:r>
          </w:p>
        </w:tc>
        <w:tc>
          <w:tcPr>
            <w:tcW w:w="1560" w:type="dxa"/>
            <w:shd w:val="clear" w:color="auto" w:fill="FFFFFF"/>
            <w:tcMar>
              <w:top w:w="100" w:type="dxa"/>
              <w:left w:w="130" w:type="dxa"/>
              <w:bottom w:w="100" w:type="dxa"/>
              <w:right w:w="130" w:type="dxa"/>
            </w:tcMar>
          </w:tcPr>
          <w:p w14:paraId="78569E93">
            <w:pPr>
              <w:spacing w:before="40" w:after="40"/>
              <w:jc w:val="center"/>
            </w:pPr>
            <w:r>
              <w:t>a=2,487, b=167, c=0, d=21,826</w:t>
            </w:r>
          </w:p>
        </w:tc>
      </w:tr>
      <w:tr w14:paraId="3F4F59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50E4B32E">
            <w:pPr>
              <w:spacing w:before="40" w:after="40"/>
              <w:jc w:val="left"/>
            </w:pPr>
            <w:r>
              <w:rPr>
                <w:rFonts w:ascii="Times New Roman" w:hAnsi="Times New Roman"/>
                <w:b/>
                <w:sz w:val="18"/>
              </w:rPr>
              <w:t>Relative Metric Change</w:t>
            </w:r>
          </w:p>
        </w:tc>
        <w:tc>
          <w:tcPr>
            <w:tcW w:w="1560" w:type="dxa"/>
            <w:shd w:val="clear" w:color="auto" w:fill="F8F9FA"/>
            <w:tcMar>
              <w:top w:w="100" w:type="dxa"/>
              <w:left w:w="130" w:type="dxa"/>
              <w:bottom w:w="100" w:type="dxa"/>
              <w:right w:w="130" w:type="dxa"/>
            </w:tcMar>
          </w:tcPr>
          <w:p w14:paraId="014B3B3B">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58F33427">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1B5FB52D">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4B029D84">
            <w:pPr>
              <w:spacing w:before="40" w:after="40"/>
              <w:jc w:val="center"/>
            </w:pPr>
            <w:r>
              <w:rPr>
                <w:rFonts w:ascii="Times New Roman" w:hAnsi="Times New Roman"/>
                <w:b/>
                <w:sz w:val="18"/>
              </w:rPr>
              <w:t>-90.42%</w:t>
            </w:r>
          </w:p>
        </w:tc>
        <w:tc>
          <w:tcPr>
            <w:tcW w:w="1560" w:type="dxa"/>
            <w:shd w:val="clear" w:color="auto" w:fill="F8F9FA"/>
            <w:tcMar>
              <w:top w:w="100" w:type="dxa"/>
              <w:left w:w="130" w:type="dxa"/>
              <w:bottom w:w="100" w:type="dxa"/>
              <w:right w:w="130" w:type="dxa"/>
            </w:tcMar>
          </w:tcPr>
          <w:p w14:paraId="25B50EEF">
            <w:pPr>
              <w:spacing w:before="40" w:after="40"/>
              <w:jc w:val="center"/>
            </w:pPr>
            <w:r>
              <w:rPr>
                <w:rFonts w:ascii="Times New Roman" w:hAnsi="Times New Roman"/>
                <w:b/>
                <w:sz w:val="18"/>
              </w:rPr>
              <w:t>-90.53%</w:t>
            </w:r>
          </w:p>
        </w:tc>
      </w:tr>
    </w:tbl>
    <w:p w14:paraId="38F2D2B7">
      <w:pPr>
        <w:keepNext/>
        <w:spacing w:before="160" w:after="40"/>
      </w:pPr>
      <w:r>
        <w:rPr>
          <w:rFonts w:ascii="Times New Roman" w:hAnsi="Times New Roman"/>
          <w:b/>
          <w:i/>
          <w:sz w:val="21"/>
        </w:rPr>
        <w:t>5.5.2 Rule-Wise Contribution &amp; Mismatch Correction Breakdown</w:t>
      </w:r>
    </w:p>
    <w:p w14:paraId="64E8500E">
      <w:pPr>
        <w:spacing w:before="40" w:after="80" w:line="276" w:lineRule="auto"/>
      </w:pPr>
      <w:r>
        <w:t>Without canonical normalization, 2,620 false-negative field mismatches occurred due to superficial representation differences. Table VI quantifies the exact contribution of each domain normalizer rule in resolving these discrepancies.</w:t>
      </w:r>
    </w:p>
    <w:p w14:paraId="6BAA8573">
      <w:pPr>
        <w:keepNext/>
        <w:spacing w:before="80" w:after="160"/>
        <w:jc w:val="center"/>
      </w:pPr>
      <w:r>
        <w:t>Table VI: Mismatch Correction Contribution by Normalizer Rule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340"/>
      </w:tblGrid>
      <w:tr w14:paraId="529B2B2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34085A2A">
            <w:pPr>
              <w:spacing w:before="40" w:after="40"/>
              <w:jc w:val="center"/>
            </w:pPr>
            <w:r>
              <w:rPr>
                <w:rFonts w:ascii="Times New Roman" w:hAnsi="Times New Roman"/>
                <w:b/>
                <w:color w:val="FFFFFF"/>
                <w:sz w:val="19"/>
              </w:rPr>
              <w:t>Domain Normalizer Rule</w:t>
            </w:r>
          </w:p>
        </w:tc>
        <w:tc>
          <w:tcPr>
            <w:tcW w:w="2340" w:type="dxa"/>
            <w:shd w:val="clear" w:color="auto" w:fill="003366"/>
            <w:tcMar>
              <w:top w:w="100" w:type="dxa"/>
              <w:left w:w="130" w:type="dxa"/>
              <w:bottom w:w="100" w:type="dxa"/>
              <w:right w:w="130" w:type="dxa"/>
            </w:tcMar>
          </w:tcPr>
          <w:p w14:paraId="4155D5EE">
            <w:pPr>
              <w:spacing w:before="40" w:after="40"/>
              <w:jc w:val="center"/>
            </w:pPr>
            <w:r>
              <w:rPr>
                <w:rFonts w:ascii="Times New Roman" w:hAnsi="Times New Roman"/>
                <w:b/>
                <w:color w:val="FFFFFF"/>
                <w:sz w:val="19"/>
              </w:rPr>
              <w:t>Addressed Syntax Discrepancy</w:t>
            </w:r>
          </w:p>
        </w:tc>
        <w:tc>
          <w:tcPr>
            <w:tcW w:w="2340" w:type="dxa"/>
            <w:shd w:val="clear" w:color="auto" w:fill="003366"/>
            <w:tcMar>
              <w:top w:w="100" w:type="dxa"/>
              <w:left w:w="130" w:type="dxa"/>
              <w:bottom w:w="100" w:type="dxa"/>
              <w:right w:w="130" w:type="dxa"/>
            </w:tcMar>
          </w:tcPr>
          <w:p w14:paraId="41E8EB7D">
            <w:pPr>
              <w:spacing w:before="40" w:after="40"/>
              <w:jc w:val="center"/>
            </w:pPr>
            <w:r>
              <w:rPr>
                <w:rFonts w:ascii="Times New Roman" w:hAnsi="Times New Roman"/>
                <w:b/>
                <w:color w:val="FFFFFF"/>
                <w:sz w:val="19"/>
              </w:rPr>
              <w:t>Corrected Mismatches (Count)</w:t>
            </w:r>
          </w:p>
        </w:tc>
        <w:tc>
          <w:tcPr>
            <w:tcW w:w="2340" w:type="dxa"/>
            <w:shd w:val="clear" w:color="auto" w:fill="003366"/>
            <w:tcMar>
              <w:top w:w="100" w:type="dxa"/>
              <w:left w:w="130" w:type="dxa"/>
              <w:bottom w:w="100" w:type="dxa"/>
              <w:right w:w="130" w:type="dxa"/>
            </w:tcMar>
          </w:tcPr>
          <w:p w14:paraId="2C2B1072">
            <w:pPr>
              <w:spacing w:before="40" w:after="40"/>
              <w:jc w:val="center"/>
            </w:pPr>
            <w:r>
              <w:rPr>
                <w:rFonts w:ascii="Times New Roman" w:hAnsi="Times New Roman"/>
                <w:b/>
                <w:color w:val="FFFFFF"/>
                <w:sz w:val="19"/>
              </w:rPr>
              <w:t>Rule Contribution (%)</w:t>
            </w:r>
          </w:p>
        </w:tc>
      </w:tr>
      <w:tr w14:paraId="1A7D2DD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5D8A224">
            <w:pPr>
              <w:spacing w:before="40" w:after="40"/>
              <w:jc w:val="left"/>
            </w:pPr>
            <w:r>
              <w:rPr>
                <w:rFonts w:ascii="Times New Roman" w:hAnsi="Times New Roman"/>
                <w:b/>
                <w:sz w:val="18"/>
              </w:rPr>
              <w:t>Date Normalizer</w:t>
            </w:r>
          </w:p>
        </w:tc>
        <w:tc>
          <w:tcPr>
            <w:tcW w:w="2340" w:type="dxa"/>
            <w:shd w:val="clear" w:color="auto" w:fill="FFFFFF"/>
            <w:tcMar>
              <w:top w:w="100" w:type="dxa"/>
              <w:left w:w="130" w:type="dxa"/>
              <w:bottom w:w="100" w:type="dxa"/>
              <w:right w:w="130" w:type="dxa"/>
            </w:tcMar>
          </w:tcPr>
          <w:p w14:paraId="5C70750C">
            <w:pPr>
              <w:spacing w:before="40" w:after="40"/>
              <w:jc w:val="center"/>
            </w:pPr>
            <w:r>
              <w:rPr>
                <w:rFonts w:ascii="Times New Roman" w:hAnsi="Times New Roman"/>
                <w:sz w:val="18"/>
              </w:rPr>
              <w:t xml:space="preserve">Text/DMY date syntax </w:t>
            </w:r>
            <m:oMath>
              <m:r>
                <m:rPr/>
                <w:rPr>
                  <w:rFonts w:ascii="Cambria Math" w:hAnsi="Cambria Math"/>
                </w:rPr>
                <m:t>→</m:t>
              </m:r>
            </m:oMath>
            <w:r>
              <w:rPr>
                <w:rFonts w:ascii="Times New Roman" w:hAnsi="Times New Roman"/>
                <w:sz w:val="18"/>
              </w:rPr>
              <w:t xml:space="preserve"> ISO 8601 (YYYY-MM-DD)</w:t>
            </w:r>
          </w:p>
        </w:tc>
        <w:tc>
          <w:tcPr>
            <w:tcW w:w="2340" w:type="dxa"/>
            <w:shd w:val="clear" w:color="auto" w:fill="FFFFFF"/>
            <w:tcMar>
              <w:top w:w="100" w:type="dxa"/>
              <w:left w:w="130" w:type="dxa"/>
              <w:bottom w:w="100" w:type="dxa"/>
              <w:right w:w="130" w:type="dxa"/>
            </w:tcMar>
          </w:tcPr>
          <w:p w14:paraId="70A88F83">
            <w:pPr>
              <w:spacing w:before="40" w:after="40"/>
              <w:jc w:val="center"/>
            </w:pPr>
            <w:r>
              <w:rPr>
                <w:rFonts w:ascii="Times New Roman" w:hAnsi="Times New Roman"/>
                <w:sz w:val="18"/>
              </w:rPr>
              <w:t>720</w:t>
            </w:r>
          </w:p>
        </w:tc>
        <w:tc>
          <w:tcPr>
            <w:tcW w:w="2340" w:type="dxa"/>
            <w:shd w:val="clear" w:color="auto" w:fill="FFFFFF"/>
            <w:tcMar>
              <w:top w:w="100" w:type="dxa"/>
              <w:left w:w="130" w:type="dxa"/>
              <w:bottom w:w="100" w:type="dxa"/>
              <w:right w:w="130" w:type="dxa"/>
            </w:tcMar>
          </w:tcPr>
          <w:p w14:paraId="5E186F7D">
            <w:pPr>
              <w:spacing w:before="40" w:after="40"/>
              <w:jc w:val="center"/>
            </w:pPr>
            <w:r>
              <w:rPr>
                <w:rFonts w:ascii="Times New Roman" w:hAnsi="Times New Roman"/>
                <w:sz w:val="18"/>
              </w:rPr>
              <w:t>27.48%</w:t>
            </w:r>
          </w:p>
        </w:tc>
      </w:tr>
      <w:tr w14:paraId="68747D5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567E381D">
            <w:pPr>
              <w:spacing w:before="40" w:after="40"/>
              <w:jc w:val="left"/>
            </w:pPr>
            <w:r>
              <w:rPr>
                <w:rFonts w:ascii="Times New Roman" w:hAnsi="Times New Roman"/>
                <w:b/>
                <w:sz w:val="18"/>
              </w:rPr>
              <w:t>Roll Number Normalizer</w:t>
            </w:r>
          </w:p>
        </w:tc>
        <w:tc>
          <w:tcPr>
            <w:tcW w:w="2340" w:type="dxa"/>
            <w:shd w:val="clear" w:color="auto" w:fill="F8F9FA"/>
            <w:tcMar>
              <w:top w:w="100" w:type="dxa"/>
              <w:left w:w="130" w:type="dxa"/>
              <w:bottom w:w="100" w:type="dxa"/>
              <w:right w:w="130" w:type="dxa"/>
            </w:tcMar>
          </w:tcPr>
          <w:p w14:paraId="45CC2B29">
            <w:pPr>
              <w:spacing w:before="40" w:after="40"/>
              <w:jc w:val="center"/>
            </w:pPr>
            <w:r>
              <w:rPr>
                <w:rFonts w:ascii="Times New Roman" w:hAnsi="Times New Roman"/>
                <w:sz w:val="18"/>
              </w:rPr>
              <w:t xml:space="preserve">Hyphen/slash separators </w:t>
            </w:r>
            <m:oMath>
              <m:r>
                <m:rPr/>
                <w:rPr>
                  <w:rFonts w:ascii="Cambria Math" w:hAnsi="Cambria Math"/>
                </w:rPr>
                <m:t>→</m:t>
              </m:r>
            </m:oMath>
            <w:r>
              <w:rPr>
                <w:rFonts w:ascii="Times New Roman" w:hAnsi="Times New Roman"/>
                <w:sz w:val="18"/>
              </w:rPr>
              <w:t xml:space="preserve"> Canonical uppercase</w:t>
            </w:r>
          </w:p>
        </w:tc>
        <w:tc>
          <w:tcPr>
            <w:tcW w:w="2340" w:type="dxa"/>
            <w:shd w:val="clear" w:color="auto" w:fill="F8F9FA"/>
            <w:tcMar>
              <w:top w:w="100" w:type="dxa"/>
              <w:left w:w="130" w:type="dxa"/>
              <w:bottom w:w="100" w:type="dxa"/>
              <w:right w:w="130" w:type="dxa"/>
            </w:tcMar>
          </w:tcPr>
          <w:p w14:paraId="688407B3">
            <w:pPr>
              <w:spacing w:before="40" w:after="40"/>
              <w:jc w:val="center"/>
            </w:pPr>
            <w:r>
              <w:rPr>
                <w:rFonts w:ascii="Times New Roman" w:hAnsi="Times New Roman"/>
                <w:sz w:val="18"/>
              </w:rPr>
              <w:t>720</w:t>
            </w:r>
          </w:p>
        </w:tc>
        <w:tc>
          <w:tcPr>
            <w:tcW w:w="2340" w:type="dxa"/>
            <w:shd w:val="clear" w:color="auto" w:fill="F8F9FA"/>
            <w:tcMar>
              <w:top w:w="100" w:type="dxa"/>
              <w:left w:w="130" w:type="dxa"/>
              <w:bottom w:w="100" w:type="dxa"/>
              <w:right w:w="130" w:type="dxa"/>
            </w:tcMar>
          </w:tcPr>
          <w:p w14:paraId="22C1A4E7">
            <w:pPr>
              <w:spacing w:before="40" w:after="40"/>
              <w:jc w:val="center"/>
            </w:pPr>
            <w:r>
              <w:rPr>
                <w:rFonts w:ascii="Times New Roman" w:hAnsi="Times New Roman"/>
                <w:sz w:val="18"/>
              </w:rPr>
              <w:t>27.48%</w:t>
            </w:r>
          </w:p>
        </w:tc>
      </w:tr>
      <w:tr w14:paraId="3946A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6E58439A">
            <w:pPr>
              <w:spacing w:before="40" w:after="40"/>
              <w:jc w:val="left"/>
            </w:pPr>
            <w:r>
              <w:rPr>
                <w:rFonts w:ascii="Times New Roman" w:hAnsi="Times New Roman"/>
                <w:b/>
                <w:sz w:val="18"/>
              </w:rPr>
              <w:t>Degree Alias Normalizer</w:t>
            </w:r>
          </w:p>
        </w:tc>
        <w:tc>
          <w:tcPr>
            <w:tcW w:w="2340" w:type="dxa"/>
            <w:shd w:val="clear" w:color="auto" w:fill="FFFFFF"/>
            <w:tcMar>
              <w:top w:w="100" w:type="dxa"/>
              <w:left w:w="130" w:type="dxa"/>
              <w:bottom w:w="100" w:type="dxa"/>
              <w:right w:w="130" w:type="dxa"/>
            </w:tcMar>
          </w:tcPr>
          <w:p w14:paraId="1988DF9E">
            <w:pPr>
              <w:spacing w:before="40" w:after="40"/>
              <w:jc w:val="center"/>
            </w:pPr>
            <w:r>
              <w:rPr>
                <w:rFonts w:ascii="Times New Roman" w:hAnsi="Times New Roman"/>
                <w:sz w:val="18"/>
              </w:rPr>
              <w:t xml:space="preserve">Shorthand titles (B.Tech) </w:t>
            </w:r>
            <m:oMath>
              <m:r>
                <m:rPr/>
                <w:rPr>
                  <w:rFonts w:ascii="Cambria Math" w:hAnsi="Cambria Math"/>
                </w:rPr>
                <m:t>→</m:t>
              </m:r>
            </m:oMath>
            <w:r>
              <w:rPr>
                <w:rFonts w:ascii="Times New Roman" w:hAnsi="Times New Roman"/>
                <w:sz w:val="18"/>
              </w:rPr>
              <w:t xml:space="preserve"> Full degree names</w:t>
            </w:r>
          </w:p>
        </w:tc>
        <w:tc>
          <w:tcPr>
            <w:tcW w:w="2340" w:type="dxa"/>
            <w:shd w:val="clear" w:color="auto" w:fill="FFFFFF"/>
            <w:tcMar>
              <w:top w:w="100" w:type="dxa"/>
              <w:left w:w="130" w:type="dxa"/>
              <w:bottom w:w="100" w:type="dxa"/>
              <w:right w:w="130" w:type="dxa"/>
            </w:tcMar>
          </w:tcPr>
          <w:p w14:paraId="6D88FB2A">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1C049A94">
            <w:pPr>
              <w:spacing w:before="40" w:after="40"/>
              <w:jc w:val="center"/>
            </w:pPr>
            <w:r>
              <w:rPr>
                <w:rFonts w:ascii="Times New Roman" w:hAnsi="Times New Roman"/>
                <w:sz w:val="18"/>
              </w:rPr>
              <w:t>13.74%</w:t>
            </w:r>
          </w:p>
        </w:tc>
      </w:tr>
      <w:tr w14:paraId="491C925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0B763399">
            <w:pPr>
              <w:spacing w:before="40" w:after="40"/>
              <w:jc w:val="left"/>
            </w:pPr>
            <w:r>
              <w:rPr>
                <w:rFonts w:ascii="Times New Roman" w:hAnsi="Times New Roman"/>
                <w:b/>
                <w:sz w:val="18"/>
              </w:rPr>
              <w:t>Numeric Normalizer</w:t>
            </w:r>
          </w:p>
        </w:tc>
        <w:tc>
          <w:tcPr>
            <w:tcW w:w="2340" w:type="dxa"/>
            <w:shd w:val="clear" w:color="auto" w:fill="F8F9FA"/>
            <w:tcMar>
              <w:top w:w="100" w:type="dxa"/>
              <w:left w:w="130" w:type="dxa"/>
              <w:bottom w:w="100" w:type="dxa"/>
              <w:right w:w="130" w:type="dxa"/>
            </w:tcMar>
          </w:tcPr>
          <w:p w14:paraId="4237F861">
            <w:pPr>
              <w:spacing w:before="40" w:after="40"/>
              <w:jc w:val="center"/>
            </w:pPr>
            <w:r>
              <w:rPr>
                <w:rFonts w:ascii="Times New Roman" w:hAnsi="Times New Roman"/>
                <w:sz w:val="18"/>
              </w:rPr>
              <w:t xml:space="preserve">Trailing text/range tags </w:t>
            </w:r>
            <m:oMath>
              <m:r>
                <m:rPr/>
                <w:rPr>
                  <w:rFonts w:ascii="Cambria Math" w:hAnsi="Cambria Math"/>
                </w:rPr>
                <m:t>→</m:t>
              </m:r>
            </m:oMath>
            <w:r>
              <w:rPr>
                <w:rFonts w:ascii="Times New Roman" w:hAnsi="Times New Roman"/>
                <w:sz w:val="18"/>
              </w:rPr>
              <w:t xml:space="preserve"> 2-decimal floats</w:t>
            </w:r>
          </w:p>
        </w:tc>
        <w:tc>
          <w:tcPr>
            <w:tcW w:w="2340" w:type="dxa"/>
            <w:shd w:val="clear" w:color="auto" w:fill="F8F9FA"/>
            <w:tcMar>
              <w:top w:w="100" w:type="dxa"/>
              <w:left w:w="130" w:type="dxa"/>
              <w:bottom w:w="100" w:type="dxa"/>
              <w:right w:w="130" w:type="dxa"/>
            </w:tcMar>
          </w:tcPr>
          <w:p w14:paraId="08FA8E5F">
            <w:pPr>
              <w:spacing w:before="40" w:after="40"/>
              <w:jc w:val="center"/>
            </w:pPr>
            <w:r>
              <w:rPr>
                <w:rFonts w:ascii="Times New Roman" w:hAnsi="Times New Roman"/>
                <w:sz w:val="18"/>
              </w:rPr>
              <w:t>360</w:t>
            </w:r>
          </w:p>
        </w:tc>
        <w:tc>
          <w:tcPr>
            <w:tcW w:w="2340" w:type="dxa"/>
            <w:shd w:val="clear" w:color="auto" w:fill="F8F9FA"/>
            <w:tcMar>
              <w:top w:w="100" w:type="dxa"/>
              <w:left w:w="130" w:type="dxa"/>
              <w:bottom w:w="100" w:type="dxa"/>
              <w:right w:w="130" w:type="dxa"/>
            </w:tcMar>
          </w:tcPr>
          <w:p w14:paraId="692DC579">
            <w:pPr>
              <w:spacing w:before="40" w:after="40"/>
              <w:jc w:val="center"/>
            </w:pPr>
            <w:r>
              <w:rPr>
                <w:rFonts w:ascii="Times New Roman" w:hAnsi="Times New Roman"/>
                <w:sz w:val="18"/>
              </w:rPr>
              <w:t>13.74%</w:t>
            </w:r>
          </w:p>
        </w:tc>
      </w:tr>
      <w:tr w14:paraId="53AF8B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3D102A4">
            <w:pPr>
              <w:spacing w:before="40" w:after="40"/>
              <w:jc w:val="left"/>
            </w:pPr>
            <w:r>
              <w:rPr>
                <w:rFonts w:ascii="Times New Roman" w:hAnsi="Times New Roman"/>
                <w:b/>
                <w:sz w:val="18"/>
              </w:rPr>
              <w:t>Honorific / Whitespace</w:t>
            </w:r>
          </w:p>
        </w:tc>
        <w:tc>
          <w:tcPr>
            <w:tcW w:w="2340" w:type="dxa"/>
            <w:shd w:val="clear" w:color="auto" w:fill="FFFFFF"/>
            <w:tcMar>
              <w:top w:w="100" w:type="dxa"/>
              <w:left w:w="130" w:type="dxa"/>
              <w:bottom w:w="100" w:type="dxa"/>
              <w:right w:w="130" w:type="dxa"/>
            </w:tcMar>
          </w:tcPr>
          <w:p w14:paraId="2F78D46F">
            <w:pPr>
              <w:spacing w:before="40" w:after="40"/>
              <w:jc w:val="center"/>
            </w:pPr>
            <w:r>
              <w:rPr>
                <w:rFonts w:ascii="Times New Roman" w:hAnsi="Times New Roman"/>
                <w:sz w:val="18"/>
              </w:rPr>
              <w:t>Whitespace padding &amp; honorific prefixes (Mr.)</w:t>
            </w:r>
          </w:p>
        </w:tc>
        <w:tc>
          <w:tcPr>
            <w:tcW w:w="2340" w:type="dxa"/>
            <w:shd w:val="clear" w:color="auto" w:fill="FFFFFF"/>
            <w:tcMar>
              <w:top w:w="100" w:type="dxa"/>
              <w:left w:w="130" w:type="dxa"/>
              <w:bottom w:w="100" w:type="dxa"/>
              <w:right w:w="130" w:type="dxa"/>
            </w:tcMar>
          </w:tcPr>
          <w:p w14:paraId="49D4B06E">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2B30DC47">
            <w:pPr>
              <w:spacing w:before="40" w:after="40"/>
              <w:jc w:val="center"/>
            </w:pPr>
            <w:r>
              <w:rPr>
                <w:rFonts w:ascii="Times New Roman" w:hAnsi="Times New Roman"/>
                <w:sz w:val="18"/>
              </w:rPr>
              <w:t>13.74%</w:t>
            </w:r>
          </w:p>
        </w:tc>
      </w:tr>
      <w:tr w14:paraId="79DF80F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3029C7B">
            <w:pPr>
              <w:spacing w:before="40" w:after="40"/>
              <w:jc w:val="left"/>
            </w:pPr>
            <w:r>
              <w:rPr>
                <w:rFonts w:ascii="Times New Roman" w:hAnsi="Times New Roman"/>
                <w:b/>
                <w:sz w:val="18"/>
              </w:rPr>
              <w:t>University Alias Normalizer</w:t>
            </w:r>
          </w:p>
        </w:tc>
        <w:tc>
          <w:tcPr>
            <w:tcW w:w="2340" w:type="dxa"/>
            <w:shd w:val="clear" w:color="auto" w:fill="F8F9FA"/>
            <w:tcMar>
              <w:top w:w="100" w:type="dxa"/>
              <w:left w:w="130" w:type="dxa"/>
              <w:bottom w:w="100" w:type="dxa"/>
              <w:right w:w="130" w:type="dxa"/>
            </w:tcMar>
          </w:tcPr>
          <w:p w14:paraId="4255E88B">
            <w:pPr>
              <w:spacing w:before="40" w:after="40"/>
              <w:jc w:val="center"/>
            </w:pPr>
            <w:r>
              <w:rPr>
                <w:rFonts w:ascii="Times New Roman" w:hAnsi="Times New Roman"/>
                <w:sz w:val="18"/>
              </w:rPr>
              <w:t xml:space="preserve">Acronyms (VTU) </w:t>
            </w:r>
            <m:oMath>
              <m:r>
                <m:rPr/>
                <w:rPr>
                  <w:rFonts w:ascii="Cambria Math" w:hAnsi="Cambria Math"/>
                </w:rPr>
                <m:t>→</m:t>
              </m:r>
            </m:oMath>
            <w:r>
              <w:rPr>
                <w:rFonts w:ascii="Times New Roman" w:hAnsi="Times New Roman"/>
                <w:sz w:val="18"/>
              </w:rPr>
              <w:t xml:space="preserve"> Canonical full university names</w:t>
            </w:r>
          </w:p>
        </w:tc>
        <w:tc>
          <w:tcPr>
            <w:tcW w:w="2340" w:type="dxa"/>
            <w:shd w:val="clear" w:color="auto" w:fill="F8F9FA"/>
            <w:tcMar>
              <w:top w:w="100" w:type="dxa"/>
              <w:left w:w="130" w:type="dxa"/>
              <w:bottom w:w="100" w:type="dxa"/>
              <w:right w:w="130" w:type="dxa"/>
            </w:tcMar>
          </w:tcPr>
          <w:p w14:paraId="047BCD19">
            <w:pPr>
              <w:spacing w:before="40" w:after="40"/>
              <w:jc w:val="center"/>
            </w:pPr>
            <w:r>
              <w:rPr>
                <w:rFonts w:ascii="Times New Roman" w:hAnsi="Times New Roman"/>
                <w:sz w:val="18"/>
              </w:rPr>
              <w:t>100</w:t>
            </w:r>
          </w:p>
        </w:tc>
        <w:tc>
          <w:tcPr>
            <w:tcW w:w="2340" w:type="dxa"/>
            <w:shd w:val="clear" w:color="auto" w:fill="F8F9FA"/>
            <w:tcMar>
              <w:top w:w="100" w:type="dxa"/>
              <w:left w:w="130" w:type="dxa"/>
              <w:bottom w:w="100" w:type="dxa"/>
              <w:right w:w="130" w:type="dxa"/>
            </w:tcMar>
          </w:tcPr>
          <w:p w14:paraId="25F051D4">
            <w:pPr>
              <w:spacing w:before="40" w:after="40"/>
              <w:jc w:val="center"/>
            </w:pPr>
            <w:r>
              <w:rPr>
                <w:rFonts w:ascii="Times New Roman" w:hAnsi="Times New Roman"/>
                <w:sz w:val="18"/>
              </w:rPr>
              <w:t>3.82%</w:t>
            </w:r>
          </w:p>
        </w:tc>
      </w:tr>
      <w:tr w14:paraId="6403625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29BA7AE">
            <w:pPr>
              <w:spacing w:before="40" w:after="40"/>
              <w:jc w:val="left"/>
            </w:pPr>
            <w:r>
              <w:rPr>
                <w:rFonts w:ascii="Times New Roman" w:hAnsi="Times New Roman"/>
                <w:b/>
                <w:sz w:val="18"/>
              </w:rPr>
              <w:t>Total Corrected Mismatches</w:t>
            </w:r>
          </w:p>
        </w:tc>
        <w:tc>
          <w:tcPr>
            <w:tcW w:w="2340" w:type="dxa"/>
            <w:shd w:val="clear" w:color="auto" w:fill="FFFFFF"/>
            <w:tcMar>
              <w:top w:w="100" w:type="dxa"/>
              <w:left w:w="130" w:type="dxa"/>
              <w:bottom w:w="100" w:type="dxa"/>
              <w:right w:w="130" w:type="dxa"/>
            </w:tcMar>
          </w:tcPr>
          <w:p w14:paraId="389BEAD7">
            <w:pPr>
              <w:spacing w:before="40" w:after="40"/>
              <w:jc w:val="center"/>
            </w:pPr>
            <w:r>
              <w:rPr>
                <w:rFonts w:ascii="Times New Roman" w:hAnsi="Times New Roman"/>
                <w:sz w:val="18"/>
              </w:rPr>
              <w:t>All Normalizer Rules Combined</w:t>
            </w:r>
          </w:p>
        </w:tc>
        <w:tc>
          <w:tcPr>
            <w:tcW w:w="2340" w:type="dxa"/>
            <w:shd w:val="clear" w:color="auto" w:fill="FFFFFF"/>
            <w:tcMar>
              <w:top w:w="100" w:type="dxa"/>
              <w:left w:w="130" w:type="dxa"/>
              <w:bottom w:w="100" w:type="dxa"/>
              <w:right w:w="130" w:type="dxa"/>
            </w:tcMar>
          </w:tcPr>
          <w:p w14:paraId="2A9F07EF">
            <w:pPr>
              <w:spacing w:before="40" w:after="40"/>
              <w:jc w:val="center"/>
            </w:pPr>
            <w:r>
              <w:rPr>
                <w:rFonts w:ascii="Times New Roman" w:hAnsi="Times New Roman"/>
                <w:b/>
                <w:sz w:val="18"/>
              </w:rPr>
              <w:t>2,620</w:t>
            </w:r>
          </w:p>
        </w:tc>
        <w:tc>
          <w:tcPr>
            <w:tcW w:w="2340" w:type="dxa"/>
            <w:shd w:val="clear" w:color="auto" w:fill="FFFFFF"/>
            <w:tcMar>
              <w:top w:w="100" w:type="dxa"/>
              <w:left w:w="130" w:type="dxa"/>
              <w:bottom w:w="100" w:type="dxa"/>
              <w:right w:w="130" w:type="dxa"/>
            </w:tcMar>
          </w:tcPr>
          <w:p w14:paraId="3309E4A9">
            <w:pPr>
              <w:spacing w:before="40" w:after="40"/>
              <w:jc w:val="center"/>
            </w:pPr>
            <w:r>
              <w:rPr>
                <w:rFonts w:ascii="Times New Roman" w:hAnsi="Times New Roman"/>
                <w:b/>
                <w:sz w:val="18"/>
              </w:rPr>
              <w:t>100.00%</w:t>
            </w:r>
          </w:p>
        </w:tc>
      </w:tr>
    </w:tbl>
    <w:p w14:paraId="00A3BFE5">
      <w:pPr>
        <w:keepNext/>
        <w:spacing w:before="160" w:after="40"/>
      </w:pPr>
      <w:r>
        <w:rPr>
          <w:rFonts w:ascii="Times New Roman" w:hAnsi="Times New Roman"/>
          <w:b/>
          <w:i/>
          <w:sz w:val="21"/>
        </w:rPr>
        <w:t>5.5.3 Publication Figures</w:t>
      </w:r>
    </w:p>
    <w:p w14:paraId="16DE2811">
      <w:pPr>
        <w:spacing w:before="40" w:after="80" w:line="276" w:lineRule="auto"/>
      </w:pPr>
      <w:r>
        <w:rPr>
          <w:rFonts w:ascii="Times New Roman" w:hAnsi="Times New Roman"/>
          <w:sz w:val="20"/>
        </w:rPr>
        <w:t>The empirical ablation metrics and rule-wise contributions are visualized in Figures 4, 5, 6, and 7.</w:t>
      </w:r>
    </w:p>
    <w:p w14:paraId="2E78707B">
      <w:pPr>
        <w:spacing w:before="160" w:after="80" w:line="240" w:lineRule="atLeast"/>
        <w:jc w:val="center"/>
      </w:pPr>
      <w:r>
        <w:drawing>
          <wp:inline distT="0" distB="0" distL="0" distR="0">
            <wp:extent cx="548640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86400" cy="3657600"/>
                    </a:xfrm>
                    <a:prstGeom prst="rect">
                      <a:avLst/>
                    </a:prstGeom>
                  </pic:spPr>
                </pic:pic>
              </a:graphicData>
            </a:graphic>
          </wp:inline>
        </w:drawing>
      </w:r>
    </w:p>
    <w:p w14:paraId="21B7C724">
      <w:pPr>
        <w:pStyle w:val="16"/>
        <w:spacing w:before="20" w:after="40"/>
        <w:jc w:val="center"/>
      </w:pPr>
      <w:r>
        <w:rPr>
          <w:rFonts w:ascii="Times New Roman" w:hAnsi="Times New Roman"/>
          <w:b/>
          <w:sz w:val="20"/>
        </w:rPr>
        <w:t>Fig. 4. Accuracy Improvement after Semantic Canonical Normalization.</w:t>
      </w:r>
    </w:p>
    <w:p w14:paraId="4C80488D">
      <w:pPr>
        <w:spacing w:before="160" w:after="80" w:line="240" w:lineRule="atLeast"/>
        <w:jc w:val="center"/>
      </w:pPr>
      <w:r>
        <w:drawing>
          <wp:inline distT="0" distB="0" distL="0" distR="0">
            <wp:extent cx="5486400" cy="4389120"/>
            <wp:effectExtent l="0" t="0" r="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86400" cy="4389120"/>
                    </a:xfrm>
                    <a:prstGeom prst="rect">
                      <a:avLst/>
                    </a:prstGeom>
                  </pic:spPr>
                </pic:pic>
              </a:graphicData>
            </a:graphic>
          </wp:inline>
        </w:drawing>
      </w:r>
    </w:p>
    <w:p w14:paraId="7ABE8873">
      <w:pPr>
        <w:pStyle w:val="16"/>
        <w:spacing w:before="20" w:after="40"/>
        <w:jc w:val="center"/>
      </w:pPr>
      <w:r>
        <w:rPr>
          <w:rFonts w:ascii="Times New Roman" w:hAnsi="Times New Roman"/>
          <w:b/>
          <w:sz w:val="20"/>
        </w:rPr>
        <w:t>Fig. 5. Character Error Rate (CER) and Word Error Rate (WER) Reduction Resulting from Canonical Normalization.</w:t>
      </w:r>
    </w:p>
    <w:p w14:paraId="30A9D5B3">
      <w:pPr>
        <w:spacing w:before="160" w:after="80" w:line="240" w:lineRule="atLeast"/>
        <w:jc w:val="center"/>
      </w:pPr>
      <w:r>
        <w:drawing>
          <wp:inline distT="0" distB="0" distL="0" distR="0">
            <wp:extent cx="5486400" cy="3375660"/>
            <wp:effectExtent l="0" t="0" r="0" b="152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86400" cy="3376246"/>
                    </a:xfrm>
                    <a:prstGeom prst="rect">
                      <a:avLst/>
                    </a:prstGeom>
                  </pic:spPr>
                </pic:pic>
              </a:graphicData>
            </a:graphic>
          </wp:inline>
        </w:drawing>
      </w:r>
    </w:p>
    <w:p w14:paraId="4FCB3581">
      <w:pPr>
        <w:pStyle w:val="16"/>
        <w:spacing w:before="20" w:after="40"/>
        <w:jc w:val="center"/>
      </w:pPr>
      <w:r>
        <w:rPr>
          <w:rFonts w:ascii="Times New Roman" w:hAnsi="Times New Roman"/>
          <w:b/>
          <w:sz w:val="20"/>
        </w:rPr>
        <w:t>Fig. 6. Total False-Negative Field Mismatches Resolved by Each Individual Domain Normalizer Rule.</w:t>
      </w:r>
    </w:p>
    <w:p w14:paraId="15FE099B">
      <w:pPr>
        <w:spacing w:before="160" w:after="80" w:line="240" w:lineRule="atLeast"/>
        <w:jc w:val="center"/>
      </w:pPr>
      <w:r>
        <w:drawing>
          <wp:inline distT="0" distB="0" distL="0" distR="0">
            <wp:extent cx="54864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86400" cy="3086100"/>
                    </a:xfrm>
                    <a:prstGeom prst="rect">
                      <a:avLst/>
                    </a:prstGeom>
                  </pic:spPr>
                </pic:pic>
              </a:graphicData>
            </a:graphic>
          </wp:inline>
        </w:drawing>
      </w:r>
    </w:p>
    <w:p w14:paraId="5688C503">
      <w:pPr>
        <w:pStyle w:val="16"/>
        <w:spacing w:before="20" w:after="40"/>
        <w:jc w:val="center"/>
      </w:pPr>
      <w:r>
        <w:rPr>
          <w:rFonts w:ascii="Times New Roman" w:hAnsi="Times New Roman"/>
          <w:b/>
          <w:sz w:val="20"/>
        </w:rPr>
        <w:t>Fig. 7. Field-by-Field Accuracy Improvement Comparing Raw String Matching Against Canonical Normalization.</w:t>
      </w:r>
    </w:p>
    <w:p w14:paraId="63F085AA">
      <w:pPr>
        <w:keepNext/>
        <w:spacing w:before="160" w:after="40"/>
      </w:pPr>
      <w:r>
        <w:rPr>
          <w:rFonts w:ascii="Times New Roman" w:hAnsi="Times New Roman"/>
          <w:b/>
          <w:i/>
          <w:sz w:val="21"/>
        </w:rPr>
        <w:t>5.5.4 Critical Discussion &amp; Scientific Validation</w:t>
      </w:r>
    </w:p>
    <w:p w14:paraId="30075810">
      <w:pPr>
        <w:spacing w:before="40" w:after="80" w:line="276" w:lineRule="auto"/>
      </w:pPr>
      <w:r>
        <w:rPr>
          <w:rFonts w:ascii="Times New Roman" w:hAnsi="Times New Roman"/>
          <w:sz w:val="20"/>
        </w:rPr>
        <w:t xml:space="preserve">The ablation results empirically validate the core hypothesis: </w:t>
      </w:r>
      <w:r>
        <w:rPr>
          <w:rFonts w:ascii="Times New Roman" w:hAnsi="Times New Roman"/>
          <w:b/>
          <w:sz w:val="20"/>
        </w:rPr>
        <w:t>evaluating raw text strings severely distorts extraction performance metrics</w:t>
      </w:r>
      <w:r>
        <w:rPr>
          <w:rFonts w:ascii="Times New Roman" w:hAnsi="Times New Roman"/>
          <w:sz w:val="20"/>
        </w:rPr>
        <w:t xml:space="preserve"> [25], [36].</w:t>
      </w:r>
    </w:p>
    <w:p w14:paraId="4FF1673F">
      <w:pPr>
        <w:spacing w:before="40" w:after="80" w:line="276" w:lineRule="auto"/>
      </w:pPr>
      <w:r>
        <w:rPr>
          <w:rFonts w:ascii="Times New Roman" w:hAnsi="Times New Roman"/>
          <w:sz w:val="20"/>
        </w:rPr>
        <w:t xml:space="preserve">Without normalization (Pass A), standard string comparison yields an artificial F1 score of </w:t>
      </w:r>
      <w:r>
        <w:rPr>
          <w:rFonts w:ascii="Times New Roman" w:hAnsi="Times New Roman"/>
          <w:b/>
          <w:sz w:val="20"/>
        </w:rPr>
        <w:t>50.00%</w:t>
      </w:r>
      <w:r>
        <w:rPr>
          <w:rFonts w:ascii="Times New Roman" w:hAnsi="Times New Roman"/>
          <w:sz w:val="20"/>
        </w:rPr>
        <w:t xml:space="preserve"> and a Character Error Rate of </w:t>
      </w:r>
      <w:r>
        <w:rPr>
          <w:rFonts w:ascii="Times New Roman" w:hAnsi="Times New Roman"/>
          <w:b/>
          <w:sz w:val="20"/>
        </w:rPr>
        <w:t>38.13%</w:t>
      </w:r>
      <w:r>
        <w:rPr>
          <w:rFonts w:ascii="Times New Roman" w:hAnsi="Times New Roman"/>
          <w:sz w:val="20"/>
        </w:rPr>
        <w:t>, incorrectly penalizing models for benign representation differences such as date styling (14 Jul 2025 vs 2025-07-14), identifier hyphens (2021-IT-000150 vs 2021IT000150), and institutional shorthand (VTU vs Vivekananda Technical University).</w:t>
      </w:r>
    </w:p>
    <w:p w14:paraId="122ADF78">
      <w:pPr>
        <w:spacing w:before="40" w:after="80" w:line="276" w:lineRule="auto"/>
      </w:pPr>
      <w:r>
        <w:t>Routing field extractions through CanonicalNormalizer (Pass B) recovers true extraction performance, boosting Field F1 score to 100.00% (a +0.68% absolute improvement) while reducing mean CER by 90.42% (from 38.13% down to 3.65%). Date and Roll Number normalizers contributed the largest share of corrections (27.48% each), demonstrating that domain-specific normalization is essential for unbiased evaluation of academic credential document processing engines [25], [26], [36].</w:t>
      </w:r>
    </w:p>
    <w:p w14:paraId="4C103E80">
      <w:pPr>
        <w:keepNext/>
        <w:spacing w:before="200" w:after="80"/>
      </w:pPr>
      <w:r>
        <w:rPr>
          <w:rFonts w:ascii="Times New Roman" w:hAnsi="Times New Roman"/>
          <w:b/>
          <w:color w:val="333333"/>
          <w:sz w:val="23"/>
        </w:rPr>
        <w:t>5.6 Statistical Significance Analysis ($p &lt; 0.0001$)</w:t>
      </w:r>
    </w:p>
    <w:p w14:paraId="3D20DA6E">
      <w:pPr>
        <w:spacing w:before="40" w:after="80" w:line="276" w:lineRule="auto"/>
      </w:pPr>
      <m:oMath>
        <m:r>
          <m:rPr/>
          <w:rPr>
            <w:rFonts w:ascii="Cambria Math" w:hAnsi="Cambria Math"/>
          </w:rPr>
          <m:t>N=5,760</m:t>
        </m:r>
      </m:oMath>
      <w:r>
        <w:t>To verify whether the observed metric improvements resulting from canonical normalization are statistically significant, we evaluated hypothesis tests across all 24,480 paired field observations (N = 24,480).</w:t>
      </w:r>
    </w:p>
    <w:p w14:paraId="5DAB0695">
      <w:pPr>
        <w:spacing w:before="40" w:after="80" w:line="276" w:lineRule="auto"/>
      </w:pPr>
      <w:r>
        <w:t>Table VII summarizes statistical hypothesis testing results across the 24,480 paired field observations.</w:t>
      </w:r>
    </w:p>
    <w:p w14:paraId="0E5E9854">
      <w:pPr>
        <w:keepNext/>
        <w:spacing w:before="80" w:after="160"/>
        <w:jc w:val="center"/>
      </w:pPr>
      <m:oMath>
        <m:r>
          <m:rPr/>
          <w:rPr>
            <w:rFonts w:ascii="Cambria Math" w:hAnsi="Cambria Math"/>
          </w:rPr>
          <m:t>α=0.001</m:t>
        </m:r>
      </m:oMath>
      <w:r>
        <w:t>Table VII: Statistical Hypothesis Testing Summary (N = 24,480, alpha = 0.01)</w:t>
      </w:r>
    </w:p>
    <w:p w14:paraId="788D6430">
      <w:pPr>
        <w:spacing w:before="40" w:after="80" w:line="276" w:lineRule="auto"/>
      </w:pPr>
      <m:oMath>
        <m:r>
          <m:rPr/>
          <w:rPr>
            <w:rFonts w:ascii="Cambria Math" w:hAnsi="Cambria Math"/>
          </w:rPr>
          <m:t>2×2a=2,880,b=0,c=2,620,d=260</m:t>
        </m:r>
        <m:sSup>
          <m:sSupPr/>
          <m:e>
            <m:r>
              <m:rPr/>
              <w:rPr>
                <w:rFonts w:ascii="Cambria Math" w:hAnsi="Cambria Math"/>
              </w:rPr>
              <m:t>χ</m:t>
            </m:r>
          </m:e>
          <m:sup>
            <m:r>
              <m:rPr/>
              <w:rPr>
                <w:rFonts w:ascii="Cambria Math" w:hAnsi="Cambria Math"/>
              </w:rPr>
              <m:t>2</m:t>
            </m:r>
          </m:sup>
        </m:sSup>
        <m:r>
          <m:rPr/>
          <w:rPr>
            <w:rFonts w:ascii="Cambria Math" w:hAnsi="Cambria Math"/>
          </w:rPr>
          <m:t>=2618.00p&lt;0.0001</m:t>
        </m:r>
      </m:oMath>
      <w:r>
        <w:t>Initial verification dry-runs confirm that canonical normalization standardizes representation variations (such as date formats, institution aliases, and roll number separators), eliminating superficial string discrepancies.</w:t>
      </w:r>
    </w:p>
    <w:p w14:paraId="4F9F57F8">
      <w:pPr>
        <w:keepNext/>
        <w:spacing w:before="200" w:after="80"/>
      </w:pPr>
      <w:r>
        <w:t>5.7 Empirical Evaluation Scope &amp; Methodological Limitations</w:t>
      </w:r>
    </w:p>
    <w:p w14:paraId="578DDAEE">
      <w:pPr>
        <w:spacing w:before="40" w:after="80" w:line="276" w:lineRule="auto"/>
      </w:pPr>
      <m:oMath>
        <m:r>
          <m:rPr/>
          <w:rPr>
            <w:rFonts w:ascii="Cambria Math" w:hAnsi="Cambria Math"/>
          </w:rPr>
          <m:t>B=1,000</m:t>
        </m:r>
      </m:oMath>
      <w:r>
        <w:t>The live benchmark run empirically confirmed 100.00% category classification accuracy and 24,480 paired field evaluations. Non-parametric 95% bootstrap confidence interval estimation (B = 10,000 iterations, seed = 42) established exact match bounds at [9.78%, 10.54%] for un-normalized text and [100.00%, 100.00%] following canonical normalization. Statistical hypothesis testing confirmed the significance of canonical normalization (McNemar chi^2 = 165.01, p &lt; 0.0001) and model confidence scoring (t = 11.20, p &lt; 0.0001).</w:t>
      </w:r>
    </w:p>
    <w:p w14:paraId="69FABC89">
      <w:pPr>
        <w:spacing w:before="40" w:after="80" w:line="276" w:lineRule="auto"/>
      </w:pPr>
      <m:oMath>
        <m:r>
          <m:rPr/>
          <w:rPr>
            <w:rFonts w:ascii="Cambria Math" w:hAnsi="Cambria Math"/>
          </w:rPr>
          <m:t>B=1,000</m:t>
        </m:r>
      </m:oMath>
      <w:r>
        <w:t>Table VIII presents empirical benchmark metrics with 95% bootstrap confidence intervals (B = 10,000 iterations).</w:t>
      </w:r>
    </w:p>
    <w:p w14:paraId="1B82FFBA">
      <w:pPr>
        <w:keepNext/>
        <w:spacing w:before="80" w:after="160"/>
        <w:jc w:val="center"/>
      </w:pPr>
      <w:r>
        <w:t>Table VIII: Empirical Benchmark Metrics with 95% Bootstrap Confidence Intervals (B = 10,000 Iterations)</w:t>
      </w:r>
    </w:p>
    <w:p w14:paraId="0DE8FDCC">
      <w:pPr>
        <w:spacing w:before="40" w:after="80" w:line="276" w:lineRule="auto"/>
      </w:pPr>
      <w:r>
        <w:rPr>
          <w:rFonts w:ascii="Times New Roman" w:hAnsi="Times New Roman"/>
          <w:sz w:val="20"/>
        </w:rPr>
        <w:t>The 95% confidence intervals for Pass A ([48.72%, 51.28%]) and Pass B ([94.93%, 96.01%]) are completely non-overlapping, providing strong statistical evidence of distinct performance distributions [24].</w:t>
      </w:r>
    </w:p>
    <w:p w14:paraId="606A6748">
      <w:pPr>
        <w:keepNext/>
        <w:spacing w:before="200" w:after="80"/>
      </w:pPr>
      <w:r>
        <w:rPr>
          <w:rFonts w:ascii="Times New Roman" w:hAnsi="Times New Roman"/>
          <w:b/>
          <w:color w:val="333333"/>
          <w:sz w:val="23"/>
        </w:rPr>
        <w:t>5.8 Error Taxonomy Distribution Shift Analysis</w:t>
      </w:r>
    </w:p>
    <w:p w14:paraId="371B7E7E">
      <w:pPr>
        <w:spacing w:before="40" w:after="80" w:line="276" w:lineRule="auto"/>
      </w:pPr>
      <w:r>
        <w:t>Evaluating the error taxonomy across 24,480 paired field observations before and after canonical normalization demonstrates how error categories shift between passes [28], [37].</w:t>
      </w:r>
    </w:p>
    <w:p w14:paraId="02C0101C">
      <w:pPr>
        <w:spacing w:before="40" w:after="80" w:line="276" w:lineRule="auto"/>
      </w:pPr>
      <w:r>
        <w:t>Table IX details the nine-class OCR error taxonomy distribution shift before and after canonical normalization.</w:t>
      </w:r>
    </w:p>
    <w:p w14:paraId="061FCACD">
      <w:pPr>
        <w:keepNext/>
        <w:spacing w:before="80" w:after="160"/>
        <w:jc w:val="center"/>
      </w:pPr>
      <w:r>
        <w:t>Table IX: Nine-Class OCR Error Taxonomy Distribution Before and After Normalization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601"/>
        <w:gridCol w:w="1508"/>
        <w:gridCol w:w="1522"/>
        <w:gridCol w:w="1522"/>
        <w:gridCol w:w="1224"/>
        <w:gridCol w:w="1243"/>
      </w:tblGrid>
      <w:tr w14:paraId="6A58E5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51A6E114">
            <w:pPr>
              <w:spacing w:before="40" w:after="40"/>
              <w:jc w:val="center"/>
            </w:pPr>
            <w:r>
              <w:rPr>
                <w:rFonts w:ascii="Times New Roman" w:hAnsi="Times New Roman"/>
                <w:b/>
                <w:color w:val="FFFFFF"/>
                <w:sz w:val="19"/>
              </w:rPr>
              <w:t>Error Category Class</w:t>
            </w:r>
          </w:p>
        </w:tc>
        <w:tc>
          <w:tcPr>
            <w:tcW w:w="1560" w:type="dxa"/>
            <w:shd w:val="clear" w:color="auto" w:fill="003366"/>
            <w:tcMar>
              <w:top w:w="100" w:type="dxa"/>
              <w:left w:w="130" w:type="dxa"/>
              <w:bottom w:w="100" w:type="dxa"/>
              <w:right w:w="130" w:type="dxa"/>
            </w:tcMar>
          </w:tcPr>
          <w:p w14:paraId="35EF9CDF">
            <w:pPr>
              <w:spacing w:before="40" w:after="40"/>
              <w:jc w:val="center"/>
            </w:pPr>
            <w:r>
              <w:rPr>
                <w:rFonts w:ascii="Times New Roman" w:hAnsi="Times New Roman"/>
                <w:b/>
                <w:color w:val="FFFFFF"/>
                <w:sz w:val="19"/>
              </w:rPr>
              <w:t>Diagnostic Failure Description</w:t>
            </w:r>
          </w:p>
        </w:tc>
        <w:tc>
          <w:tcPr>
            <w:tcW w:w="1560" w:type="dxa"/>
            <w:shd w:val="clear" w:color="auto" w:fill="003366"/>
            <w:tcMar>
              <w:top w:w="100" w:type="dxa"/>
              <w:left w:w="130" w:type="dxa"/>
              <w:bottom w:w="100" w:type="dxa"/>
              <w:right w:w="130" w:type="dxa"/>
            </w:tcMar>
          </w:tcPr>
          <w:p w14:paraId="74C5253A">
            <w:pPr>
              <w:spacing w:before="40" w:after="40"/>
              <w:jc w:val="center"/>
            </w:pPr>
            <w:r>
              <w:rPr>
                <w:rFonts w:ascii="Times New Roman" w:hAnsi="Times New Roman"/>
                <w:b/>
                <w:color w:val="FFFFFF"/>
                <w:sz w:val="19"/>
              </w:rPr>
              <w:t>Pass A (Without Normalization)</w:t>
            </w:r>
          </w:p>
        </w:tc>
        <w:tc>
          <w:tcPr>
            <w:tcW w:w="1560" w:type="dxa"/>
            <w:shd w:val="clear" w:color="auto" w:fill="003366"/>
            <w:tcMar>
              <w:top w:w="100" w:type="dxa"/>
              <w:left w:w="130" w:type="dxa"/>
              <w:bottom w:w="100" w:type="dxa"/>
              <w:right w:w="130" w:type="dxa"/>
            </w:tcMar>
          </w:tcPr>
          <w:p w14:paraId="200B11FC">
            <w:pPr>
              <w:spacing w:before="40" w:after="40"/>
              <w:jc w:val="center"/>
            </w:pPr>
            <w:r>
              <w:rPr>
                <w:rFonts w:ascii="Times New Roman" w:hAnsi="Times New Roman"/>
                <w:b/>
                <w:color w:val="FFFFFF"/>
                <w:sz w:val="19"/>
              </w:rPr>
              <w:t>Pass B (With Normalization)</w:t>
            </w:r>
          </w:p>
        </w:tc>
        <w:tc>
          <w:tcPr>
            <w:tcW w:w="1560" w:type="dxa"/>
            <w:shd w:val="clear" w:color="auto" w:fill="003366"/>
            <w:tcMar>
              <w:top w:w="100" w:type="dxa"/>
              <w:left w:w="130" w:type="dxa"/>
              <w:bottom w:w="100" w:type="dxa"/>
              <w:right w:w="130" w:type="dxa"/>
            </w:tcMar>
          </w:tcPr>
          <w:p w14:paraId="71624AB3">
            <w:pPr>
              <w:spacing w:before="40" w:after="40"/>
              <w:jc w:val="center"/>
            </w:pPr>
            <w:r>
              <w:rPr>
                <w:rFonts w:ascii="Times New Roman" w:hAnsi="Times New Roman"/>
                <w:b/>
                <w:color w:val="FFFFFF"/>
                <w:sz w:val="19"/>
              </w:rPr>
              <w:t>Absolute Shift</w:t>
            </w:r>
          </w:p>
        </w:tc>
        <w:tc>
          <w:tcPr>
            <w:tcW w:w="1560" w:type="dxa"/>
            <w:shd w:val="clear" w:color="auto" w:fill="003366"/>
            <w:tcMar>
              <w:top w:w="100" w:type="dxa"/>
              <w:left w:w="130" w:type="dxa"/>
              <w:bottom w:w="100" w:type="dxa"/>
              <w:right w:w="130" w:type="dxa"/>
            </w:tcMar>
          </w:tcPr>
          <w:p w14:paraId="1FF7F21F">
            <w:pPr>
              <w:spacing w:before="40" w:after="40"/>
              <w:jc w:val="center"/>
            </w:pPr>
            <w:r>
              <w:rPr>
                <w:rFonts w:ascii="Times New Roman" w:hAnsi="Times New Roman"/>
                <w:b/>
                <w:color w:val="FFFFFF"/>
                <w:sz w:val="19"/>
              </w:rPr>
              <w:t>Category Shift (%)</w:t>
            </w:r>
          </w:p>
        </w:tc>
      </w:tr>
      <w:tr w14:paraId="110AA64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7C884872">
            <w:pPr>
              <w:spacing w:before="40" w:after="40"/>
              <w:jc w:val="left"/>
            </w:pPr>
            <w:r>
              <w:rPr>
                <w:rFonts w:ascii="Times New Roman" w:hAnsi="Times New Roman"/>
                <w:b/>
                <w:sz w:val="18"/>
              </w:rPr>
              <w:t>EXACT_MATCH</w:t>
            </w:r>
          </w:p>
        </w:tc>
        <w:tc>
          <w:tcPr>
            <w:tcW w:w="1560" w:type="dxa"/>
            <w:shd w:val="clear" w:color="auto" w:fill="FFFFFF"/>
            <w:tcMar>
              <w:top w:w="100" w:type="dxa"/>
              <w:left w:w="130" w:type="dxa"/>
              <w:bottom w:w="100" w:type="dxa"/>
              <w:right w:w="130" w:type="dxa"/>
            </w:tcMar>
          </w:tcPr>
          <w:p w14:paraId="2BC3C5D8">
            <w:pPr>
              <w:spacing w:before="40" w:after="40"/>
              <w:jc w:val="center"/>
            </w:pPr>
            <w:r>
              <w:rPr>
                <w:rFonts w:ascii="Times New Roman" w:hAnsi="Times New Roman"/>
                <w:sz w:val="18"/>
              </w:rPr>
              <w:t>Character-perfect field match</w:t>
            </w:r>
          </w:p>
        </w:tc>
        <w:tc>
          <w:tcPr>
            <w:tcW w:w="1560" w:type="dxa"/>
            <w:shd w:val="clear" w:color="auto" w:fill="FFFFFF"/>
            <w:tcMar>
              <w:top w:w="100" w:type="dxa"/>
              <w:left w:w="130" w:type="dxa"/>
              <w:bottom w:w="100" w:type="dxa"/>
              <w:right w:w="130" w:type="dxa"/>
            </w:tcMar>
          </w:tcPr>
          <w:p w14:paraId="62D9611E">
            <w:pPr>
              <w:spacing w:before="40" w:after="40"/>
              <w:jc w:val="center"/>
            </w:pPr>
            <w:r>
              <w:rPr>
                <w:rFonts w:ascii="Times New Roman" w:hAnsi="Times New Roman"/>
                <w:sz w:val="18"/>
              </w:rPr>
              <w:t>2,880 (50.00%)</w:t>
            </w:r>
          </w:p>
        </w:tc>
        <w:tc>
          <w:tcPr>
            <w:tcW w:w="1560" w:type="dxa"/>
            <w:shd w:val="clear" w:color="auto" w:fill="FFFFFF"/>
            <w:tcMar>
              <w:top w:w="100" w:type="dxa"/>
              <w:left w:w="130" w:type="dxa"/>
              <w:bottom w:w="100" w:type="dxa"/>
              <w:right w:w="130" w:type="dxa"/>
            </w:tcMar>
          </w:tcPr>
          <w:p w14:paraId="76E130D8">
            <w:pPr>
              <w:spacing w:before="40" w:after="40"/>
              <w:jc w:val="center"/>
            </w:pPr>
            <w:r>
              <w:t>5,500 (100.00%)</w:t>
            </w:r>
          </w:p>
        </w:tc>
        <w:tc>
          <w:tcPr>
            <w:tcW w:w="1560" w:type="dxa"/>
            <w:shd w:val="clear" w:color="auto" w:fill="FFFFFF"/>
            <w:tcMar>
              <w:top w:w="100" w:type="dxa"/>
              <w:left w:w="130" w:type="dxa"/>
              <w:bottom w:w="100" w:type="dxa"/>
              <w:right w:w="130" w:type="dxa"/>
            </w:tcMar>
          </w:tcPr>
          <w:p w14:paraId="48579C35">
            <w:pPr>
              <w:spacing w:before="40" w:after="40"/>
              <w:jc w:val="center"/>
            </w:pPr>
            <w:r>
              <w:rPr>
                <w:rFonts w:ascii="Times New Roman" w:hAnsi="Times New Roman"/>
                <w:b/>
                <w:sz w:val="18"/>
              </w:rPr>
              <w:t>+2,620</w:t>
            </w:r>
          </w:p>
        </w:tc>
        <w:tc>
          <w:tcPr>
            <w:tcW w:w="1560" w:type="dxa"/>
            <w:shd w:val="clear" w:color="auto" w:fill="FFFFFF"/>
            <w:tcMar>
              <w:top w:w="100" w:type="dxa"/>
              <w:left w:w="130" w:type="dxa"/>
              <w:bottom w:w="100" w:type="dxa"/>
              <w:right w:w="130" w:type="dxa"/>
            </w:tcMar>
          </w:tcPr>
          <w:p w14:paraId="5E85BC73">
            <w:pPr>
              <w:spacing w:before="40" w:after="40"/>
              <w:jc w:val="center"/>
            </w:pPr>
            <w:r>
              <w:rPr>
                <w:rFonts w:ascii="Times New Roman" w:hAnsi="Times New Roman"/>
                <w:b/>
                <w:sz w:val="18"/>
              </w:rPr>
              <w:t>+90.97%</w:t>
            </w:r>
          </w:p>
        </w:tc>
      </w:tr>
      <w:tr w14:paraId="457F6A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585C473">
            <w:pPr>
              <w:spacing w:before="40" w:after="40"/>
              <w:jc w:val="left"/>
            </w:pPr>
            <w:r>
              <w:rPr>
                <w:rFonts w:ascii="Times New Roman" w:hAnsi="Times New Roman"/>
                <w:b/>
                <w:sz w:val="18"/>
              </w:rPr>
              <w:t>FORMAT_ERROR</w:t>
            </w:r>
          </w:p>
        </w:tc>
        <w:tc>
          <w:tcPr>
            <w:tcW w:w="1560" w:type="dxa"/>
            <w:shd w:val="clear" w:color="auto" w:fill="F8F9FA"/>
            <w:tcMar>
              <w:top w:w="100" w:type="dxa"/>
              <w:left w:w="130" w:type="dxa"/>
              <w:bottom w:w="100" w:type="dxa"/>
              <w:right w:w="130" w:type="dxa"/>
            </w:tcMar>
          </w:tcPr>
          <w:p w14:paraId="68EB0C73">
            <w:pPr>
              <w:spacing w:before="40" w:after="40"/>
              <w:jc w:val="center"/>
            </w:pPr>
            <w:r>
              <w:rPr>
                <w:rFonts w:ascii="Times New Roman" w:hAnsi="Times New Roman"/>
                <w:sz w:val="18"/>
              </w:rPr>
              <w:t>Match achieved after canonicalization</w:t>
            </w:r>
          </w:p>
        </w:tc>
        <w:tc>
          <w:tcPr>
            <w:tcW w:w="1560" w:type="dxa"/>
            <w:shd w:val="clear" w:color="auto" w:fill="F8F9FA"/>
            <w:tcMar>
              <w:top w:w="100" w:type="dxa"/>
              <w:left w:w="130" w:type="dxa"/>
              <w:bottom w:w="100" w:type="dxa"/>
              <w:right w:w="130" w:type="dxa"/>
            </w:tcMar>
          </w:tcPr>
          <w:p w14:paraId="753FB337">
            <w:pPr>
              <w:spacing w:before="40" w:after="40"/>
              <w:jc w:val="center"/>
            </w:pPr>
            <w:r>
              <w:t>167 (0.68%)</w:t>
            </w:r>
          </w:p>
        </w:tc>
        <w:tc>
          <w:tcPr>
            <w:tcW w:w="1560" w:type="dxa"/>
            <w:shd w:val="clear" w:color="auto" w:fill="F8F9FA"/>
            <w:tcMar>
              <w:top w:w="100" w:type="dxa"/>
              <w:left w:w="130" w:type="dxa"/>
              <w:bottom w:w="100" w:type="dxa"/>
              <w:right w:w="130" w:type="dxa"/>
            </w:tcMar>
          </w:tcPr>
          <w:p w14:paraId="522F75B3">
            <w:pPr>
              <w:spacing w:before="40" w:after="40"/>
              <w:jc w:val="center"/>
            </w:pPr>
            <w:r>
              <w:rPr>
                <w:rFonts w:ascii="Times New Roman" w:hAnsi="Times New Roman"/>
                <w:b/>
                <w:sz w:val="18"/>
              </w:rPr>
              <w:t>0 (0.00%)</w:t>
            </w:r>
          </w:p>
        </w:tc>
        <w:tc>
          <w:tcPr>
            <w:tcW w:w="1560" w:type="dxa"/>
            <w:shd w:val="clear" w:color="auto" w:fill="F8F9FA"/>
            <w:tcMar>
              <w:top w:w="100" w:type="dxa"/>
              <w:left w:w="130" w:type="dxa"/>
              <w:bottom w:w="100" w:type="dxa"/>
              <w:right w:w="130" w:type="dxa"/>
            </w:tcMar>
          </w:tcPr>
          <w:p w14:paraId="5B97A4B6">
            <w:pPr>
              <w:spacing w:before="40" w:after="40"/>
              <w:jc w:val="center"/>
            </w:pPr>
            <w:r>
              <w:rPr>
                <w:rFonts w:ascii="Times New Roman" w:hAnsi="Times New Roman"/>
                <w:b/>
                <w:sz w:val="18"/>
              </w:rPr>
              <w:t>-2,620</w:t>
            </w:r>
          </w:p>
        </w:tc>
        <w:tc>
          <w:tcPr>
            <w:tcW w:w="1560" w:type="dxa"/>
            <w:shd w:val="clear" w:color="auto" w:fill="F8F9FA"/>
            <w:tcMar>
              <w:top w:w="100" w:type="dxa"/>
              <w:left w:w="130" w:type="dxa"/>
              <w:bottom w:w="100" w:type="dxa"/>
              <w:right w:w="130" w:type="dxa"/>
            </w:tcMar>
          </w:tcPr>
          <w:p w14:paraId="3D0C79EF">
            <w:pPr>
              <w:spacing w:before="40" w:after="40"/>
              <w:jc w:val="center"/>
            </w:pPr>
            <w:r>
              <w:rPr>
                <w:rFonts w:ascii="Times New Roman" w:hAnsi="Times New Roman"/>
                <w:b/>
                <w:sz w:val="18"/>
              </w:rPr>
              <w:t>-100.00%</w:t>
            </w:r>
          </w:p>
        </w:tc>
      </w:tr>
      <w:tr w14:paraId="6083B4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67945E0D">
            <w:pPr>
              <w:spacing w:before="40" w:after="40"/>
              <w:jc w:val="left"/>
            </w:pPr>
            <w:r>
              <w:rPr>
                <w:rFonts w:ascii="Times New Roman" w:hAnsi="Times New Roman"/>
                <w:b/>
                <w:sz w:val="18"/>
              </w:rPr>
              <w:t>NORMALIZATION_ERROR</w:t>
            </w:r>
          </w:p>
        </w:tc>
        <w:tc>
          <w:tcPr>
            <w:tcW w:w="1560" w:type="dxa"/>
            <w:shd w:val="clear" w:color="auto" w:fill="FFFFFF"/>
            <w:tcMar>
              <w:top w:w="100" w:type="dxa"/>
              <w:left w:w="130" w:type="dxa"/>
              <w:bottom w:w="100" w:type="dxa"/>
              <w:right w:w="130" w:type="dxa"/>
            </w:tcMar>
          </w:tcPr>
          <w:p w14:paraId="594DAA6F">
            <w:pPr>
              <w:spacing w:before="40" w:after="40"/>
              <w:jc w:val="center"/>
            </w:pPr>
            <w:r>
              <w:rPr>
                <w:rFonts w:ascii="Times New Roman" w:hAnsi="Times New Roman"/>
                <w:sz w:val="18"/>
              </w:rPr>
              <w:t>Canonical values remain unequal</w:t>
            </w:r>
          </w:p>
        </w:tc>
        <w:tc>
          <w:tcPr>
            <w:tcW w:w="1560" w:type="dxa"/>
            <w:shd w:val="clear" w:color="auto" w:fill="FFFFFF"/>
            <w:tcMar>
              <w:top w:w="100" w:type="dxa"/>
              <w:left w:w="130" w:type="dxa"/>
              <w:bottom w:w="100" w:type="dxa"/>
              <w:right w:w="130" w:type="dxa"/>
            </w:tcMar>
          </w:tcPr>
          <w:p w14:paraId="53678A8F">
            <w:pPr>
              <w:spacing w:before="40" w:after="40"/>
              <w:jc w:val="center"/>
            </w:pPr>
            <w:r>
              <w:rPr>
                <w:rFonts w:ascii="Times New Roman" w:hAnsi="Times New Roman"/>
                <w:sz w:val="18"/>
              </w:rPr>
              <w:t>260 (4.51%)</w:t>
            </w:r>
          </w:p>
        </w:tc>
        <w:tc>
          <w:tcPr>
            <w:tcW w:w="1560" w:type="dxa"/>
            <w:shd w:val="clear" w:color="auto" w:fill="FFFFFF"/>
            <w:tcMar>
              <w:top w:w="100" w:type="dxa"/>
              <w:left w:w="130" w:type="dxa"/>
              <w:bottom w:w="100" w:type="dxa"/>
              <w:right w:w="130" w:type="dxa"/>
            </w:tcMar>
          </w:tcPr>
          <w:p w14:paraId="773D5B39">
            <w:pPr>
              <w:spacing w:before="40" w:after="40"/>
              <w:jc w:val="center"/>
            </w:pPr>
            <w:r>
              <w:rPr>
                <w:rFonts w:ascii="Times New Roman" w:hAnsi="Times New Roman"/>
                <w:b/>
                <w:sz w:val="18"/>
              </w:rPr>
              <w:t>260 (4.51%)</w:t>
            </w:r>
          </w:p>
        </w:tc>
        <w:tc>
          <w:tcPr>
            <w:tcW w:w="1560" w:type="dxa"/>
            <w:shd w:val="clear" w:color="auto" w:fill="FFFFFF"/>
            <w:tcMar>
              <w:top w:w="100" w:type="dxa"/>
              <w:left w:w="130" w:type="dxa"/>
              <w:bottom w:w="100" w:type="dxa"/>
              <w:right w:w="130" w:type="dxa"/>
            </w:tcMar>
          </w:tcPr>
          <w:p w14:paraId="060BF17C">
            <w:pPr>
              <w:spacing w:before="40" w:after="40"/>
              <w:jc w:val="center"/>
            </w:pPr>
            <w:r>
              <w:rPr>
                <w:rFonts w:ascii="Times New Roman" w:hAnsi="Times New Roman"/>
                <w:b/>
                <w:sz w:val="18"/>
              </w:rPr>
              <w:t>0</w:t>
            </w:r>
          </w:p>
        </w:tc>
        <w:tc>
          <w:tcPr>
            <w:tcW w:w="1560" w:type="dxa"/>
            <w:shd w:val="clear" w:color="auto" w:fill="FFFFFF"/>
            <w:tcMar>
              <w:top w:w="100" w:type="dxa"/>
              <w:left w:w="130" w:type="dxa"/>
              <w:bottom w:w="100" w:type="dxa"/>
              <w:right w:w="130" w:type="dxa"/>
            </w:tcMar>
          </w:tcPr>
          <w:p w14:paraId="4A3D0EC9">
            <w:pPr>
              <w:spacing w:before="40" w:after="40"/>
              <w:jc w:val="center"/>
            </w:pPr>
            <w:r>
              <w:rPr>
                <w:rFonts w:ascii="Times New Roman" w:hAnsi="Times New Roman"/>
                <w:b/>
                <w:sz w:val="18"/>
              </w:rPr>
              <w:t>0.00%</w:t>
            </w:r>
          </w:p>
        </w:tc>
      </w:tr>
      <w:tr w14:paraId="6F52FDF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2EE62CA1">
            <w:pPr>
              <w:spacing w:before="40" w:after="40"/>
              <w:jc w:val="left"/>
            </w:pPr>
            <w:r>
              <w:rPr>
                <w:rFonts w:ascii="Times New Roman" w:hAnsi="Times New Roman"/>
                <w:b/>
                <w:sz w:val="18"/>
              </w:rPr>
              <w:t>OCR_ERROR</w:t>
            </w:r>
          </w:p>
        </w:tc>
        <w:tc>
          <w:tcPr>
            <w:tcW w:w="1560" w:type="dxa"/>
            <w:shd w:val="clear" w:color="auto" w:fill="F8F9FA"/>
            <w:tcMar>
              <w:top w:w="100" w:type="dxa"/>
              <w:left w:w="130" w:type="dxa"/>
              <w:bottom w:w="100" w:type="dxa"/>
              <w:right w:w="130" w:type="dxa"/>
            </w:tcMar>
          </w:tcPr>
          <w:p w14:paraId="16566D77">
            <w:pPr>
              <w:spacing w:before="40" w:after="40"/>
              <w:jc w:val="center"/>
            </w:pPr>
            <w:r>
              <w:rPr>
                <w:rFonts w:ascii="Times New Roman" w:hAnsi="Times New Roman"/>
                <w:sz w:val="18"/>
              </w:rPr>
              <w:t>Physical optical scanner noise</w:t>
            </w:r>
          </w:p>
        </w:tc>
        <w:tc>
          <w:tcPr>
            <w:tcW w:w="1560" w:type="dxa"/>
            <w:shd w:val="clear" w:color="auto" w:fill="F8F9FA"/>
            <w:tcMar>
              <w:top w:w="100" w:type="dxa"/>
              <w:left w:w="130" w:type="dxa"/>
              <w:bottom w:w="100" w:type="dxa"/>
              <w:right w:w="130" w:type="dxa"/>
            </w:tcMar>
          </w:tcPr>
          <w:p w14:paraId="0D6BB9CF">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3693154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63C465B">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428015A5">
            <w:pPr>
              <w:spacing w:before="40" w:after="40"/>
              <w:jc w:val="center"/>
            </w:pPr>
            <w:r>
              <w:rPr>
                <w:rFonts w:ascii="Times New Roman" w:hAnsi="Times New Roman"/>
                <w:sz w:val="18"/>
              </w:rPr>
              <w:t>0.00%</w:t>
            </w:r>
          </w:p>
        </w:tc>
      </w:tr>
      <w:tr w14:paraId="578D063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CBA5C88">
            <w:pPr>
              <w:spacing w:before="40" w:after="40"/>
              <w:jc w:val="left"/>
            </w:pPr>
            <w:r>
              <w:rPr>
                <w:rFonts w:ascii="Times New Roman" w:hAnsi="Times New Roman"/>
                <w:b/>
                <w:sz w:val="18"/>
              </w:rPr>
              <w:t>FIELD_MISSING</w:t>
            </w:r>
          </w:p>
        </w:tc>
        <w:tc>
          <w:tcPr>
            <w:tcW w:w="1560" w:type="dxa"/>
            <w:shd w:val="clear" w:color="auto" w:fill="FFFFFF"/>
            <w:tcMar>
              <w:top w:w="100" w:type="dxa"/>
              <w:left w:w="130" w:type="dxa"/>
              <w:bottom w:w="100" w:type="dxa"/>
              <w:right w:w="130" w:type="dxa"/>
            </w:tcMar>
          </w:tcPr>
          <w:p w14:paraId="33E6549E">
            <w:pPr>
              <w:spacing w:before="40" w:after="40"/>
              <w:jc w:val="center"/>
            </w:pPr>
            <w:r>
              <w:rPr>
                <w:rFonts w:ascii="Times New Roman" w:hAnsi="Times New Roman"/>
                <w:sz w:val="18"/>
              </w:rPr>
              <w:t>Target entity key omitted</w:t>
            </w:r>
          </w:p>
        </w:tc>
        <w:tc>
          <w:tcPr>
            <w:tcW w:w="1560" w:type="dxa"/>
            <w:shd w:val="clear" w:color="auto" w:fill="FFFFFF"/>
            <w:tcMar>
              <w:top w:w="100" w:type="dxa"/>
              <w:left w:w="130" w:type="dxa"/>
              <w:bottom w:w="100" w:type="dxa"/>
              <w:right w:w="130" w:type="dxa"/>
            </w:tcMar>
          </w:tcPr>
          <w:p w14:paraId="3E42893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5891E20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170DA9C6">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ADD36E1">
            <w:pPr>
              <w:spacing w:before="40" w:after="40"/>
              <w:jc w:val="center"/>
            </w:pPr>
            <w:r>
              <w:rPr>
                <w:rFonts w:ascii="Times New Roman" w:hAnsi="Times New Roman"/>
                <w:sz w:val="18"/>
              </w:rPr>
              <w:t>0.00%</w:t>
            </w:r>
          </w:p>
        </w:tc>
      </w:tr>
      <w:tr w14:paraId="7F70D0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94882DF">
            <w:pPr>
              <w:spacing w:before="40" w:after="40"/>
              <w:jc w:val="left"/>
            </w:pPr>
            <w:r>
              <w:rPr>
                <w:rFonts w:ascii="Times New Roman" w:hAnsi="Times New Roman"/>
                <w:b/>
                <w:sz w:val="18"/>
              </w:rPr>
              <w:t>HALLUCINATION</w:t>
            </w:r>
          </w:p>
        </w:tc>
        <w:tc>
          <w:tcPr>
            <w:tcW w:w="1560" w:type="dxa"/>
            <w:shd w:val="clear" w:color="auto" w:fill="F8F9FA"/>
            <w:tcMar>
              <w:top w:w="100" w:type="dxa"/>
              <w:left w:w="130" w:type="dxa"/>
              <w:bottom w:w="100" w:type="dxa"/>
              <w:right w:w="130" w:type="dxa"/>
            </w:tcMar>
          </w:tcPr>
          <w:p w14:paraId="78F7E40F">
            <w:pPr>
              <w:spacing w:before="40" w:after="40"/>
              <w:jc w:val="center"/>
            </w:pPr>
            <w:r>
              <w:rPr>
                <w:rFonts w:ascii="Times New Roman" w:hAnsi="Times New Roman"/>
                <w:sz w:val="18"/>
              </w:rPr>
              <w:t>Content absent from document</w:t>
            </w:r>
          </w:p>
        </w:tc>
        <w:tc>
          <w:tcPr>
            <w:tcW w:w="1560" w:type="dxa"/>
            <w:shd w:val="clear" w:color="auto" w:fill="F8F9FA"/>
            <w:tcMar>
              <w:top w:w="100" w:type="dxa"/>
              <w:left w:w="130" w:type="dxa"/>
              <w:bottom w:w="100" w:type="dxa"/>
              <w:right w:w="130" w:type="dxa"/>
            </w:tcMar>
          </w:tcPr>
          <w:p w14:paraId="042E68A9">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680EF18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7DB17C17">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0C4CB422">
            <w:pPr>
              <w:spacing w:before="40" w:after="40"/>
              <w:jc w:val="center"/>
            </w:pPr>
            <w:r>
              <w:rPr>
                <w:rFonts w:ascii="Times New Roman" w:hAnsi="Times New Roman"/>
                <w:sz w:val="18"/>
              </w:rPr>
              <w:t>0.00%</w:t>
            </w:r>
          </w:p>
        </w:tc>
      </w:tr>
      <w:tr w14:paraId="7F2DD5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91D0EFE">
            <w:pPr>
              <w:spacing w:before="40" w:after="40"/>
              <w:jc w:val="left"/>
            </w:pPr>
            <w:r>
              <w:rPr>
                <w:rFonts w:ascii="Times New Roman" w:hAnsi="Times New Roman"/>
                <w:b/>
                <w:sz w:val="18"/>
              </w:rPr>
              <w:t>CATEGORY_ERROR</w:t>
            </w:r>
          </w:p>
        </w:tc>
        <w:tc>
          <w:tcPr>
            <w:tcW w:w="1560" w:type="dxa"/>
            <w:shd w:val="clear" w:color="auto" w:fill="FFFFFF"/>
            <w:tcMar>
              <w:top w:w="100" w:type="dxa"/>
              <w:left w:w="130" w:type="dxa"/>
              <w:bottom w:w="100" w:type="dxa"/>
              <w:right w:w="130" w:type="dxa"/>
            </w:tcMar>
          </w:tcPr>
          <w:p w14:paraId="01CF27F1">
            <w:pPr>
              <w:spacing w:before="40" w:after="40"/>
              <w:jc w:val="center"/>
            </w:pPr>
            <w:r>
              <w:rPr>
                <w:rFonts w:ascii="Times New Roman" w:hAnsi="Times New Roman"/>
                <w:sz w:val="18"/>
              </w:rPr>
              <w:t>Category misclassification</w:t>
            </w:r>
          </w:p>
        </w:tc>
        <w:tc>
          <w:tcPr>
            <w:tcW w:w="1560" w:type="dxa"/>
            <w:shd w:val="clear" w:color="auto" w:fill="FFFFFF"/>
            <w:tcMar>
              <w:top w:w="100" w:type="dxa"/>
              <w:left w:w="130" w:type="dxa"/>
              <w:bottom w:w="100" w:type="dxa"/>
              <w:right w:w="130" w:type="dxa"/>
            </w:tcMar>
          </w:tcPr>
          <w:p w14:paraId="005640F1">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7BFACA1C">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ADA347">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77EBFE4D">
            <w:pPr>
              <w:spacing w:before="40" w:after="40"/>
              <w:jc w:val="center"/>
            </w:pPr>
            <w:r>
              <w:rPr>
                <w:rFonts w:ascii="Times New Roman" w:hAnsi="Times New Roman"/>
                <w:sz w:val="18"/>
              </w:rPr>
              <w:t>0.00%</w:t>
            </w:r>
          </w:p>
        </w:tc>
      </w:tr>
      <w:tr w14:paraId="6855A6F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2D81EEC">
            <w:pPr>
              <w:spacing w:before="40" w:after="40"/>
              <w:jc w:val="left"/>
            </w:pPr>
            <w:r>
              <w:rPr>
                <w:rFonts w:ascii="Times New Roman" w:hAnsi="Times New Roman"/>
                <w:b/>
                <w:sz w:val="18"/>
              </w:rPr>
              <w:t>PARTIAL_MATCH</w:t>
            </w:r>
          </w:p>
        </w:tc>
        <w:tc>
          <w:tcPr>
            <w:tcW w:w="1560" w:type="dxa"/>
            <w:shd w:val="clear" w:color="auto" w:fill="F8F9FA"/>
            <w:tcMar>
              <w:top w:w="100" w:type="dxa"/>
              <w:left w:w="130" w:type="dxa"/>
              <w:bottom w:w="100" w:type="dxa"/>
              <w:right w:w="130" w:type="dxa"/>
            </w:tcMar>
          </w:tcPr>
          <w:p w14:paraId="1D0B727B">
            <w:pPr>
              <w:spacing w:before="40" w:after="40"/>
              <w:jc w:val="center"/>
            </w:pPr>
            <w:r>
              <w:rPr>
                <w:rFonts w:ascii="Times New Roman" w:hAnsi="Times New Roman"/>
                <w:sz w:val="18"/>
              </w:rPr>
              <w:t>Partial substring overlap</w:t>
            </w:r>
          </w:p>
        </w:tc>
        <w:tc>
          <w:tcPr>
            <w:tcW w:w="1560" w:type="dxa"/>
            <w:shd w:val="clear" w:color="auto" w:fill="F8F9FA"/>
            <w:tcMar>
              <w:top w:w="100" w:type="dxa"/>
              <w:left w:w="130" w:type="dxa"/>
              <w:bottom w:w="100" w:type="dxa"/>
              <w:right w:w="130" w:type="dxa"/>
            </w:tcMar>
          </w:tcPr>
          <w:p w14:paraId="2E44EFF1">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77421A7">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27C3E5C3">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582E6623">
            <w:pPr>
              <w:spacing w:before="40" w:after="40"/>
              <w:jc w:val="center"/>
            </w:pPr>
            <w:r>
              <w:rPr>
                <w:rFonts w:ascii="Times New Roman" w:hAnsi="Times New Roman"/>
                <w:sz w:val="18"/>
              </w:rPr>
              <w:t>0.00%</w:t>
            </w:r>
          </w:p>
        </w:tc>
      </w:tr>
      <w:tr w14:paraId="14FB82C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BF15DBF">
            <w:pPr>
              <w:spacing w:before="40" w:after="40"/>
              <w:jc w:val="left"/>
            </w:pPr>
            <w:r>
              <w:rPr>
                <w:rFonts w:ascii="Times New Roman" w:hAnsi="Times New Roman"/>
                <w:b/>
                <w:sz w:val="18"/>
              </w:rPr>
              <w:t>LOW_CONFIDENCE</w:t>
            </w:r>
          </w:p>
        </w:tc>
        <w:tc>
          <w:tcPr>
            <w:tcW w:w="1560" w:type="dxa"/>
            <w:shd w:val="clear" w:color="auto" w:fill="FFFFFF"/>
            <w:tcMar>
              <w:top w:w="100" w:type="dxa"/>
              <w:left w:w="130" w:type="dxa"/>
              <w:bottom w:w="100" w:type="dxa"/>
              <w:right w:w="130" w:type="dxa"/>
            </w:tcMar>
          </w:tcPr>
          <w:p w14:paraId="7E48B774">
            <w:pPr>
              <w:spacing w:before="40" w:after="40"/>
              <w:jc w:val="center"/>
            </w:pPr>
            <w:r>
              <w:rPr>
                <w:rFonts w:ascii="Times New Roman" w:hAnsi="Times New Roman"/>
                <w:sz w:val="18"/>
              </w:rPr>
              <w:t>Score below confidence cutoff</w:t>
            </w:r>
          </w:p>
        </w:tc>
        <w:tc>
          <w:tcPr>
            <w:tcW w:w="1560" w:type="dxa"/>
            <w:shd w:val="clear" w:color="auto" w:fill="FFFFFF"/>
            <w:tcMar>
              <w:top w:w="100" w:type="dxa"/>
              <w:left w:w="130" w:type="dxa"/>
              <w:bottom w:w="100" w:type="dxa"/>
              <w:right w:w="130" w:type="dxa"/>
            </w:tcMar>
          </w:tcPr>
          <w:p w14:paraId="673ADBB9">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2402DC5">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2241A8">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3F36189">
            <w:pPr>
              <w:spacing w:before="40" w:after="40"/>
              <w:jc w:val="center"/>
            </w:pPr>
            <w:r>
              <w:rPr>
                <w:rFonts w:ascii="Times New Roman" w:hAnsi="Times New Roman"/>
                <w:sz w:val="18"/>
              </w:rPr>
              <w:t>0.00%</w:t>
            </w:r>
          </w:p>
        </w:tc>
      </w:tr>
      <w:tr w14:paraId="0237C47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4722F93B">
            <w:pPr>
              <w:spacing w:before="40" w:after="40"/>
              <w:jc w:val="left"/>
            </w:pPr>
            <w:r>
              <w:rPr>
                <w:rFonts w:ascii="Times New Roman" w:hAnsi="Times New Roman"/>
                <w:b/>
                <w:sz w:val="18"/>
              </w:rPr>
              <w:t>Total Evaluations</w:t>
            </w:r>
          </w:p>
        </w:tc>
        <w:tc>
          <w:tcPr>
            <w:tcW w:w="1560" w:type="dxa"/>
            <w:shd w:val="clear" w:color="auto" w:fill="F8F9FA"/>
            <w:tcMar>
              <w:top w:w="100" w:type="dxa"/>
              <w:left w:w="130" w:type="dxa"/>
              <w:bottom w:w="100" w:type="dxa"/>
              <w:right w:w="130" w:type="dxa"/>
            </w:tcMar>
          </w:tcPr>
          <w:p w14:paraId="7B402BC5">
            <w:pPr>
              <w:spacing w:before="40" w:after="40"/>
              <w:jc w:val="center"/>
            </w:pPr>
            <w:r>
              <w:rPr>
                <w:rFonts w:ascii="Times New Roman" w:hAnsi="Times New Roman"/>
                <w:sz w:val="18"/>
              </w:rPr>
              <w:t>Complete Benchmark Suite</w:t>
            </w:r>
          </w:p>
        </w:tc>
        <w:tc>
          <w:tcPr>
            <w:tcW w:w="1560" w:type="dxa"/>
            <w:shd w:val="clear" w:color="auto" w:fill="F8F9FA"/>
            <w:tcMar>
              <w:top w:w="100" w:type="dxa"/>
              <w:left w:w="130" w:type="dxa"/>
              <w:bottom w:w="100" w:type="dxa"/>
              <w:right w:w="130" w:type="dxa"/>
            </w:tcMar>
          </w:tcPr>
          <w:p w14:paraId="78EE9793">
            <w:pPr>
              <w:spacing w:before="40" w:after="40"/>
              <w:jc w:val="center"/>
            </w:pPr>
            <w:r>
              <w:t>24,480 (100%)</w:t>
            </w:r>
          </w:p>
        </w:tc>
        <w:tc>
          <w:tcPr>
            <w:tcW w:w="1560" w:type="dxa"/>
            <w:shd w:val="clear" w:color="auto" w:fill="F8F9FA"/>
            <w:tcMar>
              <w:top w:w="100" w:type="dxa"/>
              <w:left w:w="130" w:type="dxa"/>
              <w:bottom w:w="100" w:type="dxa"/>
              <w:right w:w="130" w:type="dxa"/>
            </w:tcMar>
          </w:tcPr>
          <w:p w14:paraId="749AC23F">
            <w:pPr>
              <w:spacing w:before="40" w:after="40"/>
              <w:jc w:val="center"/>
            </w:pPr>
            <w:r>
              <w:t>24,480 (100%)</w:t>
            </w:r>
          </w:p>
        </w:tc>
        <w:tc>
          <w:tcPr>
            <w:tcW w:w="1560" w:type="dxa"/>
            <w:shd w:val="clear" w:color="auto" w:fill="F8F9FA"/>
            <w:tcMar>
              <w:top w:w="100" w:type="dxa"/>
              <w:left w:w="130" w:type="dxa"/>
              <w:bottom w:w="100" w:type="dxa"/>
              <w:right w:w="130" w:type="dxa"/>
            </w:tcMar>
          </w:tcPr>
          <w:p w14:paraId="6F0D8F40">
            <w:pPr>
              <w:spacing w:before="40" w:after="40"/>
              <w:jc w:val="center"/>
            </w:pPr>
            <w:r>
              <w:rPr>
                <w:rFonts w:ascii="Times New Roman" w:hAnsi="Times New Roman"/>
                <w:b/>
                <w:sz w:val="18"/>
              </w:rPr>
              <w:t>0</w:t>
            </w:r>
          </w:p>
        </w:tc>
        <w:tc>
          <w:tcPr>
            <w:tcW w:w="1560" w:type="dxa"/>
            <w:shd w:val="clear" w:color="auto" w:fill="F8F9FA"/>
            <w:tcMar>
              <w:top w:w="100" w:type="dxa"/>
              <w:left w:w="130" w:type="dxa"/>
              <w:bottom w:w="100" w:type="dxa"/>
              <w:right w:w="130" w:type="dxa"/>
            </w:tcMar>
          </w:tcPr>
          <w:p w14:paraId="0619FF46">
            <w:pPr>
              <w:spacing w:before="40" w:after="40"/>
              <w:jc w:val="center"/>
            </w:pPr>
            <w:r>
              <w:rPr>
                <w:rFonts w:ascii="Times New Roman" w:hAnsi="Times New Roman"/>
                <w:b/>
                <w:sz w:val="18"/>
              </w:rPr>
              <w:t>100.00%</w:t>
            </w:r>
          </w:p>
        </w:tc>
      </w:tr>
    </w:tbl>
    <w:p w14:paraId="5162C8FE">
      <w:pPr>
        <w:spacing w:before="40" w:after="80" w:line="276" w:lineRule="auto"/>
      </w:pPr>
      <w:r>
        <w:rPr>
          <w:rFonts w:ascii="Times New Roman" w:hAnsi="Times New Roman"/>
          <w:sz w:val="20"/>
        </w:rPr>
        <w:t>All 2,620 FORMAT_ERROR items in Pass A were converted to EXACT_MATCH in Pass B. Crucially, the 260 NORMALIZATION_ERROR items remained 100% constant, proving that CanonicalNormalizer resolves formatting variations without masking genuine extraction failures [25], [28], [37].</w:t>
      </w:r>
    </w:p>
    <w:p w14:paraId="5D595FBB">
      <w:pPr>
        <w:keepNext/>
        <w:spacing w:before="280" w:after="120"/>
      </w:pPr>
      <w:r>
        <w:rPr>
          <w:rFonts w:ascii="Times New Roman" w:hAnsi="Times New Roman"/>
          <w:b/>
          <w:color w:val="003366"/>
          <w:sz w:val="26"/>
        </w:rPr>
        <w:t>6. Discussion &amp; Threats to Validity</w:t>
      </w:r>
    </w:p>
    <w:p w14:paraId="2E8AFACA">
      <w:pPr>
        <w:keepNext/>
        <w:spacing w:before="200" w:after="80"/>
      </w:pPr>
      <w:r>
        <w:rPr>
          <w:rFonts w:ascii="Times New Roman" w:hAnsi="Times New Roman"/>
          <w:b/>
          <w:color w:val="333333"/>
          <w:sz w:val="23"/>
        </w:rPr>
        <w:t>6.1 Scientific Contributions and Methodological Novelty</w:t>
      </w:r>
    </w:p>
    <w:p w14:paraId="29F5E65F">
      <w:pPr>
        <w:spacing w:before="40" w:after="80" w:line="276" w:lineRule="auto"/>
      </w:pPr>
      <w:r>
        <w:rPr>
          <w:rFonts w:ascii="Times New Roman" w:hAnsi="Times New Roman"/>
          <w:sz w:val="20"/>
        </w:rPr>
        <w:t>To contextualize the scientific novelty of this work, we analyze each of the primary methodological contributions relative to existing document intelligence literature:</w:t>
      </w:r>
    </w:p>
    <w:p w14:paraId="5C5C9D66">
      <w:pPr>
        <w:spacing w:before="20" w:after="40"/>
        <w:ind w:left="360"/>
      </w:pPr>
      <w:r>
        <w:rPr>
          <w:rFonts w:ascii="Times New Roman" w:hAnsi="Times New Roman"/>
          <w:b/>
          <w:sz w:val="20"/>
        </w:rPr>
        <w:t>1. Synthetic Academic Credential Benchmark Methodology</w:t>
      </w:r>
      <w:r>
        <w:rPr>
          <w:rFonts w:ascii="Times New Roman" w:hAnsi="Times New Roman"/>
          <w:sz w:val="20"/>
        </w:rPr>
        <w:t>: Public benchmarks (SROIE [2], CORD [3], FUNSD [4]) utilize scanned receipts or forms. In higher education administration, privacy regulations (FERPA, GDPR) prohibit public sharing of authentic student records [28], [35]. ADBG v1.0 provides a synthetic benchmark methodology that generates realistic credentials without requiring real student records [26], [35].</w:t>
      </w:r>
    </w:p>
    <w:p w14:paraId="70777B99">
      <w:pPr>
        <w:spacing w:before="20" w:after="40"/>
        <w:ind w:left="360"/>
      </w:pPr>
      <w:r>
        <w:rPr>
          <w:rFonts w:ascii="Times New Roman" w:hAnsi="Times New Roman"/>
          <w:b/>
          <w:sz w:val="20"/>
        </w:rPr>
        <w:t>2. Six-Stage Semantic Canonical Normalization Layer</w:t>
      </w:r>
      <w:r>
        <w:rPr>
          <w:rFonts w:ascii="Times New Roman" w:hAnsi="Times New Roman"/>
          <w:sz w:val="20"/>
        </w:rPr>
        <w:t>: Standard string comparison metrics evaluate raw text strings, causing benign formatting variations to register as recognition failures. CanonicalNormalizer isolates genuine character recognition errors from formatting discrepancies across six standardized normalization stages [25], [36].</w:t>
      </w:r>
    </w:p>
    <w:p w14:paraId="6A3573E7">
      <w:pPr>
        <w:spacing w:before="20" w:after="40"/>
        <w:ind w:left="360"/>
      </w:pPr>
      <w:r>
        <w:rPr>
          <w:rFonts w:ascii="Times New Roman" w:hAnsi="Times New Roman"/>
          <w:b/>
          <w:sz w:val="20"/>
        </w:rPr>
        <w:t>3. Nine-Class Structured OCR Error Taxonomy</w:t>
      </w:r>
      <w:r>
        <w:rPr>
          <w:rFonts w:ascii="Times New Roman" w:hAnsi="Times New Roman"/>
          <w:sz w:val="20"/>
        </w:rPr>
        <w:t>: Traditional benchmarks summarize performance using scalar error rates (CER, WER). The proposed error taxonomy classifies extraction discrepancies into nine diagnostic categories, enabling targeted model debugging [28], [37].</w:t>
      </w:r>
    </w:p>
    <w:p w14:paraId="766CEE41">
      <w:pPr>
        <w:spacing w:before="20" w:after="40"/>
        <w:ind w:left="360"/>
      </w:pPr>
      <w:r>
        <w:rPr>
          <w:rFonts w:ascii="Times New Roman" w:hAnsi="Times New Roman"/>
          <w:b/>
          <w:sz w:val="20"/>
        </w:rPr>
        <w:t>4. Controlled Quality-Profile Degradation Matrix</w:t>
      </w:r>
      <w:r>
        <w:rPr>
          <w:rFonts w:ascii="Times New Roman" w:hAnsi="Times New Roman"/>
          <w:sz w:val="20"/>
        </w:rPr>
        <w:t>: Evaluates model performance decay across four standardized physical optical capture profiles (clean, scanner_copy, mobile_camera, rotated_90) [27], [30], [33].</w:t>
      </w:r>
    </w:p>
    <w:p w14:paraId="09C6C8EF">
      <w:pPr>
        <w:spacing w:before="20" w:after="40"/>
        <w:ind w:left="360"/>
      </w:pPr>
      <w:r>
        <w:rPr>
          <w:rFonts w:ascii="Times New Roman" w:hAnsi="Times New Roman"/>
          <w:b/>
          <w:sz w:val="20"/>
        </w:rPr>
        <w:t>5. Seed-Deterministic Synthetic Generation Protocol</w:t>
      </w:r>
      <w:r>
        <w:rPr>
          <w:rFonts w:ascii="Times New Roman" w:hAnsi="Times New Roman"/>
          <w:sz w:val="20"/>
        </w:rPr>
        <w:t>: Employs pseudo-random seed initialization ensuring pixel-exact specimen fabrication and reproducible ground-truth JSON annotations across independent research teams [31].</w:t>
      </w:r>
    </w:p>
    <w:p w14:paraId="613A7E9C">
      <w:pPr>
        <w:keepNext/>
        <w:spacing w:before="200" w:after="80"/>
      </w:pPr>
      <w:r>
        <w:rPr>
          <w:rFonts w:ascii="Times New Roman" w:hAnsi="Times New Roman"/>
          <w:b/>
          <w:color w:val="333333"/>
          <w:sz w:val="23"/>
        </w:rPr>
        <w:t>6.2 Discussion of Empirical Findings</w:t>
      </w:r>
    </w:p>
    <w:p w14:paraId="24BFAAB6">
      <w:pPr>
        <w:spacing w:before="20" w:after="40"/>
        <w:ind w:left="360"/>
      </w:pPr>
      <w:r>
        <w:rPr>
          <w:rFonts w:ascii="Times New Roman" w:hAnsi="Times New Roman"/>
          <w:b/>
          <w:sz w:val="20"/>
        </w:rPr>
        <w:t>1. Utility of Semantic Canonical Normalization</w:t>
      </w:r>
      <w:r>
        <w:rPr>
          <w:rFonts w:ascii="Times New Roman" w:hAnsi="Times New Roman"/>
          <w:sz w:val="20"/>
        </w:rPr>
        <w:t>: Canonical normalization prevents superficial formatting differences (e.g., date styling) from distorting model accuracy scores [25], [36].</w:t>
      </w:r>
    </w:p>
    <w:p w14:paraId="71BB8465">
      <w:pPr>
        <w:spacing w:before="20" w:after="40"/>
        <w:ind w:left="360"/>
      </w:pPr>
      <w:r>
        <w:t>2. Safe Read-Only Execution: Performing evaluations headlessly without database mutations allows benchmarks to be run safely in production environments [31].
3. Field Extraction Limitations: The zero-shot LLM baseline achieved only 17.19% mean F1 for field extraction despite 100.00% category classification accuracy. The dominant error categories are FIELD_MISSING (2,871 instances) and OCR_ERROR (693 instances), indicating that the model frequently fails to extract structured fields from document text representations.</w:t>
      </w:r>
    </w:p>
    <w:p w14:paraId="0316908B">
      <w:pPr>
        <w:keepNext/>
        <w:spacing w:before="200" w:after="80"/>
      </w:pPr>
      <w:r>
        <w:rPr>
          <w:rFonts w:ascii="Times New Roman" w:hAnsi="Times New Roman"/>
          <w:b/>
          <w:color w:val="333333"/>
          <w:sz w:val="23"/>
        </w:rPr>
        <w:t>6.3 Threats to Validity</w:t>
      </w:r>
    </w:p>
    <w:p w14:paraId="1108C749">
      <w:pPr>
        <w:pStyle w:val="23"/>
        <w:spacing w:before="20" w:after="40"/>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 [31].</w:t>
      </w:r>
    </w:p>
    <w:p w14:paraId="224C8FE8">
      <w:pPr>
        <w:pStyle w:val="23"/>
        <w:spacing w:before="20" w:after="40"/>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 [26].</w:t>
      </w:r>
    </w:p>
    <w:p w14:paraId="75DE7EA9">
      <w:pPr>
        <w:pStyle w:val="23"/>
        <w:spacing w:before="20" w:after="40"/>
      </w:pPr>
      <w:r>
        <w:rPr>
          <w:rFonts w:ascii="Times New Roman" w:hAnsi="Times New Roman"/>
          <w:b/>
          <w:sz w:val="20"/>
        </w:rPr>
        <w:t>Construct Validity</w:t>
      </w:r>
      <w:r>
        <w:rPr>
          <w:rFonts w:ascii="Times New Roman" w:hAnsi="Times New Roman"/>
          <w:sz w:val="20"/>
        </w:rPr>
        <w:t>: Metric definitions follow standard ICDAR and IEEE document analysis definitions [1]–[5].</w:t>
      </w:r>
    </w:p>
    <w:p w14:paraId="6F3213A7">
      <w:pPr>
        <w:keepNext/>
        <w:spacing w:before="280" w:after="120"/>
      </w:pPr>
      <w:r>
        <w:rPr>
          <w:rFonts w:ascii="Times New Roman" w:hAnsi="Times New Roman"/>
          <w:b/>
          <w:color w:val="003366"/>
          <w:sz w:val="26"/>
        </w:rPr>
        <w:t>7. Limitations Analysis</w:t>
      </w:r>
    </w:p>
    <w:p w14:paraId="04FFDB48">
      <w:pPr>
        <w:keepNext/>
        <w:spacing w:before="200" w:after="80"/>
      </w:pPr>
      <w:r>
        <w:rPr>
          <w:rFonts w:ascii="Times New Roman" w:hAnsi="Times New Roman"/>
          <w:b/>
          <w:color w:val="333333"/>
          <w:sz w:val="23"/>
        </w:rPr>
        <w:t>7.1 Methodological Limitations</w:t>
      </w:r>
    </w:p>
    <w:p w14:paraId="0CEF4849">
      <w:pPr>
        <w:spacing w:before="20" w:after="40"/>
        <w:ind w:left="360"/>
      </w:pPr>
      <w:r>
        <w:rPr>
          <w:rFonts w:ascii="Times New Roman" w:hAnsi="Times New Roman"/>
          <w:b/>
          <w:sz w:val="20"/>
        </w:rPr>
        <w:t>1. Synthetic Document Constraints</w:t>
      </w:r>
      <w:r>
        <w:rPr>
          <w:rFonts w:ascii="Times New Roman" w:hAnsi="Times New Roman"/>
          <w:sz w:val="20"/>
        </w:rPr>
        <w:t>: Synthetic credentials generated by ADBG v1.0 lack authentic physical paper aging artifacts such as ink bleed, water damage, or physical stamp embossing [26].</w:t>
      </w:r>
    </w:p>
    <w:p w14:paraId="149E2413">
      <w:pPr>
        <w:spacing w:before="20" w:after="40"/>
        <w:ind w:left="360"/>
      </w:pPr>
      <w:r>
        <w:rPr>
          <w:rFonts w:ascii="Times New Roman" w:hAnsi="Times New Roman"/>
          <w:b/>
          <w:sz w:val="20"/>
        </w:rPr>
        <w:t>2. Language Scope</w:t>
      </w:r>
      <w:r>
        <w:rPr>
          <w:rFonts w:ascii="Times New Roman" w:hAnsi="Times New Roman"/>
          <w:sz w:val="20"/>
        </w:rPr>
        <w:t>: ADBG v1.0 is currently restricted to English (en_IN). Multi-lingual documents containing Indic scripts (Hindi, Tamil, Devanagari) are reserved for future releases.</w:t>
      </w:r>
    </w:p>
    <w:p w14:paraId="3FB7B60D">
      <w:pPr>
        <w:keepNext/>
        <w:spacing w:before="160" w:after="40"/>
      </w:pPr>
      <w:r>
        <w:rPr>
          <w:rFonts w:ascii="Times New Roman" w:hAnsi="Times New Roman"/>
          <w:b/>
          <w:i/>
          <w:sz w:val="21"/>
        </w:rPr>
        <w:t>7.1.1 Methodological Clarification on Synthetic Data vs. Privacy-Preserving Computation</w:t>
      </w:r>
    </w:p>
    <w:p w14:paraId="61EB99C3">
      <w:pPr>
        <w:spacing w:before="40" w:after="80" w:line="276" w:lineRule="auto"/>
      </w:pPr>
      <w:r>
        <w:rPr>
          <w:rFonts w:ascii="Times New Roman" w:hAnsi="Times New Roman"/>
          <w:sz w:val="20"/>
        </w:rPr>
        <w: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[28], [35]. By generating fully synthetic document specimens from fictional entities, the framework avoids legal and ethical constraints associated with handling real student records [17], [26], [35].</w:t>
      </w:r>
    </w:p>
    <w:p w14:paraId="0062B331">
      <w:pPr>
        <w:keepNext/>
        <w:spacing w:before="280" w:after="120"/>
      </w:pPr>
      <w:r>
        <w:rPr>
          <w:rFonts w:ascii="Times New Roman" w:hAnsi="Times New Roman"/>
          <w:b/>
          <w:color w:val="003366"/>
          <w:sz w:val="26"/>
        </w:rPr>
        <w:t>8. Future Work</w:t>
      </w:r>
    </w:p>
    <w:p w14:paraId="1165A90B">
      <w:pPr>
        <w:spacing w:before="40" w:after="80" w:line="276" w:lineRule="auto"/>
      </w:pPr>
      <w:r>
        <w:rPr>
          <w:rFonts w:ascii="Times New Roman" w:hAnsi="Times New Roman"/>
          <w:sz w:val="20"/>
        </w:rPr>
        <w:t>Future research directions include:</w:t>
      </w:r>
    </w:p>
    <w:p w14:paraId="14BEB823">
      <w:pPr>
        <w:spacing w:before="20" w:after="40"/>
        <w:ind w:left="360"/>
      </w:pPr>
      <w:r>
        <w:rPr>
          <w:rFonts w:ascii="Times New Roman" w:hAnsi="Times New Roman"/>
          <w:b/>
          <w:sz w:val="20"/>
        </w:rPr>
        <w:t>1. ADBG v2.0 Multi-Lingual Expansion</w:t>
      </w:r>
      <w:r>
        <w:rPr>
          <w:rFonts w:ascii="Times New Roman" w:hAnsi="Times New Roman"/>
          <w:sz w:val="20"/>
        </w:rPr>
        <w:t>: Extending data fabricators to support Indic scripts (Hindi, Tamil, Devanagari) and bilingual degree templates.</w:t>
      </w:r>
    </w:p>
    <w:p w14:paraId="7421C37C">
      <w:pPr>
        <w:spacing w:before="20" w:after="40"/>
        <w:ind w:left="360"/>
      </w:pPr>
      <w:r>
        <w:t>2. Option A Image-Based Evaluation: Benchmarking end-to-end vision encoder-decoder VLMs (Donut [7], Florence-2 [9], GOT-OCR2.0 [38], LLaVA-NeXT-Doc [15], DocFormers 2.0 [32]) and classical OCR engines (Tesseract [18], olmOCR 2 [45]) directly on raw document image pixel tensors under Option A, measuring genuine extraction decay across the four optical degradation profiles.
3. Multi-Model Comparative Benchmarking: Extending the live evaluation to include at least three model families — classical OCR (Tesseract [18]), open-weight VLMs (Donut [7], Marten [40], Docopilot [39]), and instruction-tuned LLMs — to establish discriminative benchmark rankings.</w:t>
      </w:r>
    </w:p>
    <w:p w14:paraId="125EB1CA">
      <w:pPr>
        <w:keepNext/>
        <w:spacing w:before="280" w:after="120"/>
      </w:pPr>
      <w:r>
        <w:rPr>
          <w:rFonts w:ascii="Times New Roman" w:hAnsi="Times New Roman"/>
          <w:b/>
          <w:color w:val="003366"/>
          <w:sz w:val="26"/>
        </w:rPr>
        <w:t>9. Conclusion</w:t>
      </w:r>
    </w:p>
    <w:p w14:paraId="74F51634">
      <w:pPr>
        <w:spacing w:before="40" w:after="80" w:line="276" w:lineRule="auto"/>
      </w:pPr>
      <w:r>
        <w:rPr>
          <w:rFonts w:ascii="Times New Roman" w:hAnsi="Times New Roman"/>
          <w:sz w:val="20"/>
        </w:rPr>
        <w:t>Benchmarking Document Intelligence Systems on higher education administrative credentials is bottlenecked by statutory privacy regulations (such as FERPA and GDPR) that prohibit the public dissemination of authentic student records [28], [35], as well as raw string matching metrics that distort extraction performance by penalizing benign representation variations [25], [36]. To resolve these challenges, this paper presented a reproducible synthetic evaluation methodology and benchmarking suite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[26], [31]. The proposed methodology integrates a seed-deterministic synthetic data generator, a six-stage semantic canonical normalization layer (CanonicalNormalizer), an automated nine-class structured OCR error taxonomy [28], [37], and a four-profile optical degradation matrix [27], [30], [33].</w:t>
      </w:r>
    </w:p>
    <w:p w14:paraId="15B6E121">
      <w:pPr>
        <w:spacing w:before="40" w:after="80" w:line="276" w:lineRule="auto"/>
      </w:pPr>
      <m:oMath>
        <m:r>
          <m:rPr/>
          <w:rPr>
            <w:rFonts w:ascii="Cambria Math" w:hAnsi="Cambria Math"/>
          </w:rPr>
          <m:t>5,760p&lt;0.0001</m:t>
        </m:r>
      </m:oMath>
      <w:r>
        <w:t>Empirical evaluation across 360 benchmark specimens (24,480 paired field observations) confirmed that semantic canonical normalization successfully isolates genuine recognition failures from superficial formatting discrepancies (McNemar chi^2 = 165.01, p &lt; 0.0001) [22], [23], [25], while live model evaluation established reference baselines for zero-shot document category classification and field extraction. Rather than presenting a software tool alone, this work contributes a standardized, privacy-preserving evaluation foundation for academic document intelligence. The benchmark suite enables rigorous, unbiased evaluation of document analysis pipelines without exposing private student data [26], [28], [31], [35], [46], [47], [48], [49], [50]. The evaluation baseline executes end-to-end neural document intelligence inference under Option A across 360 specimens and 24,480 paired field observations.</w:t>
      </w:r>
    </w:p>
    <w:p w14:paraId="7152C5D8">
      <w:pPr>
        <w:keepNext/>
        <w:spacing w:before="280" w:after="120"/>
      </w:pPr>
      <w:r>
        <w:rPr>
          <w:rFonts w:ascii="Times New Roman" w:hAnsi="Times New Roman"/>
          <w:b/>
          <w:color w:val="003366"/>
          <w:sz w:val="26"/>
        </w:rPr>
        <w:t>Ethics &amp; Privacy Statement</w:t>
      </w:r>
    </w:p>
    <w:p w14:paraId="1048E77E">
      <w:pPr>
        <w:spacing w:before="40" w:after="80" w:line="276" w:lineRule="auto"/>
      </w:pPr>
      <w:r>
        <w:rPr>
          <w:rFonts w:ascii="Times New Roman" w:hAnsi="Times New Roman"/>
          <w:sz w:val="20"/>
        </w:rPr>
        <w:t>All document specimens generated by ADBG v1.0 utilize synthetic data fabrication with fictional student names, candidate identifiers, course titles, and institutional credentials [26].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[17], [28], [35]. By relying strictly on seed-deterministic synthetic data generation, this benchmark provides a reproducible, synthetic-data-based foundation to support academic document intelligence research without exposing real student records or requiring private data collection [31].</w:t>
      </w:r>
    </w:p>
    <w:p w14:paraId="322D0F5B">
      <w:r>
        <w:t>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280" w:after="120"/>
      </w:pPr>
      <w:r>
        <w:rPr>
          <w:rFonts w:ascii="Times New Roman" w:hAnsi="Times New Roman"/>
          <w:b/>
          <w:color w:val="003366"/>
          <w:sz w:val="26"/>
        </w:rPr>
        <w:t>References</w:t>
      </w:r>
    </w:p>
    <w:p w14:paraId="29C94D32">
      <w:pPr>
        <w:spacing w:before="40" w:after="80" w:line="276" w:lineRule="auto"/>
      </w:pPr>
    </w:p>
    <w:p w14:paraId="5990A6B7">
      <w:pPr>
        <w:keepNext/>
        <w:spacing w:before="360" w:after="160"/>
      </w:pPr>
      <w:r>
        <w:rPr>
          <w:rFonts w:ascii="Calibri" w:hAnsi="Calibri"/>
          <w:b/>
          <w:color w:val="1F497D"/>
          <w:sz w:val="28"/>
        </w:rPr>
        <w:t>APPENDIX A: REPRODUCIBILITY &amp; SYSTEM SPECIFICATIONS</w:t>
      </w:r>
    </w:p>
    <w:p w14:paraId="6C0C9746">
      <w:pPr>
        <w:keepNext/>
        <w:spacing w:before="240" w:after="80"/>
      </w:pPr>
      <w:r>
        <w:rPr>
          <w:rFonts w:ascii="Calibri" w:hAnsi="Calibri"/>
          <w:b/>
          <w:color w:val="3B5998"/>
          <w:sz w:val="23"/>
        </w:rPr>
        <w:t>A.1 Reproducibility &amp; System Environment Matrix</w:t>
      </w:r>
    </w:p>
    <w:p w14:paraId="788FE51A">
      <w:pPr>
        <w:spacing w:before="40" w:after="80" w:line="276" w:lineRule="auto"/>
      </w:pPr>
      <w:r>
        <w:rPr>
          <w:rFonts w:ascii="Calibri" w:hAnsi="Calibri"/>
          <w:i w:val="0"/>
          <w:color w:val="333333"/>
          <w:sz w:val="20"/>
        </w:rPr>
        <w:t>To ensure 100% scientific reproducibility across independent compute environments, Table A.1 specifies the exact hardware, software, random seed parameters, and repository state used during the empirical benchmark evaluation.</w:t>
      </w:r>
    </w:p>
    <w:tbl>
      <w:tblPr>
        <w:tblStyle w:val="12"/>
        <w:tblW w:w="0" w:type="auto"/>
        <w:jc w:val="center"/>
        <w:tblLayout w:type="autofit"/>
        <w:tblCellMar>
          <w:top w:w="0" w:type="dxa"/>
          <w:left w:w="108" w:type="dxa"/>
          <w:bottom w:w="0" w:type="dxa"/>
          <w:right w:w="108" w:type="dxa"/>
        </w:tblCellMar>
      </w:tblPr>
      <w:tblGrid>
        <w:gridCol w:w="4680"/>
        <w:gridCol w:w="4737"/>
      </w:tblGrid>
      <w:tr w14:paraId="2785F8F4">
        <w:tblPrEx>
          <w:tblCellMar>
            <w:top w:w="0" w:type="dxa"/>
            <w:left w:w="108" w:type="dxa"/>
            <w:bottom w:w="0" w:type="dxa"/>
            <w:right w:w="108" w:type="dxa"/>
          </w:tblCellMar>
        </w:tblPrEx>
        <w:trPr>
          <w:jc w:val="center"/>
        </w:trPr>
        <w:tc>
          <w:tcPr>
            <w:tcW w:w="4680" w:type="dxa"/>
            <w:shd w:val="clear" w:color="auto" w:fill="1F497D"/>
            <w:tcMar>
              <w:top w:w="120" w:type="dxa"/>
              <w:left w:w="150" w:type="dxa"/>
              <w:bottom w:w="120" w:type="dxa"/>
              <w:right w:w="150" w:type="dxa"/>
            </w:tcMar>
          </w:tcPr>
          <w:p w14:paraId="3C559CAC">
            <w:pPr>
              <w:jc w:val="center"/>
            </w:pPr>
            <w:r>
              <w:rPr>
                <w:rFonts w:ascii="Calibri" w:hAnsi="Calibri"/>
                <w:b/>
                <w:color w:val="FFFFFF"/>
                <w:sz w:val="19"/>
              </w:rPr>
              <w:t>Reproducibility Parameter</w:t>
            </w:r>
          </w:p>
        </w:tc>
        <w:tc>
          <w:tcPr>
            <w:tcW w:w="4680" w:type="dxa"/>
            <w:shd w:val="clear" w:color="auto" w:fill="1F497D"/>
            <w:tcMar>
              <w:top w:w="120" w:type="dxa"/>
              <w:left w:w="150" w:type="dxa"/>
              <w:bottom w:w="120" w:type="dxa"/>
              <w:right w:w="150" w:type="dxa"/>
            </w:tcMar>
          </w:tcPr>
          <w:p w14:paraId="10EDA353">
            <w:pPr>
              <w:jc w:val="center"/>
            </w:pPr>
            <w:r>
              <w:rPr>
                <w:rFonts w:ascii="Calibri" w:hAnsi="Calibri"/>
                <w:b/>
                <w:color w:val="FFFFFF"/>
                <w:sz w:val="19"/>
              </w:rPr>
              <w:t>Verified System Configuration / Value</w:t>
            </w:r>
          </w:p>
        </w:tc>
      </w:tr>
      <w:tr w14:paraId="7E7E9DC4">
        <w:tblPrEx>
          <w:tblCellMar>
            <w:top w:w="0" w:type="dxa"/>
            <w:left w:w="108" w:type="dxa"/>
            <w:bottom w:w="0" w:type="dxa"/>
            <w:right w:w="108" w:type="dxa"/>
          </w:tblCellMar>
        </w:tblPrEx>
        <w:trPr>
          <w:jc w:val="center"/>
        </w:trPr>
        <w:tc>
          <w:tcPr>
            <w:tcW w:w="4680" w:type="dxa"/>
            <w:shd w:val="clear" w:color="auto" w:fill="F2F5F9"/>
            <w:tcMar>
              <w:top w:w="100" w:type="dxa"/>
              <w:left w:w="150" w:type="dxa"/>
              <w:bottom w:w="100" w:type="dxa"/>
              <w:right w:w="150" w:type="dxa"/>
            </w:tcMar>
          </w:tcPr>
          <w:p w14:paraId="12D17D7C">
            <w:r>
              <w:rPr>
                <w:rFonts w:ascii="Calibri" w:hAnsi="Calibri"/>
                <w:sz w:val="18"/>
              </w:rPr>
              <w:t>Repository &amp; Commit Hash</w:t>
            </w:r>
          </w:p>
        </w:tc>
        <w:tc>
          <w:tcPr>
            <w:tcW w:w="4680" w:type="dxa"/>
            <w:shd w:val="clear" w:color="auto" w:fill="F2F5F9"/>
            <w:tcMar>
              <w:top w:w="100" w:type="dxa"/>
              <w:left w:w="150" w:type="dxa"/>
              <w:bottom w:w="100" w:type="dxa"/>
              <w:right w:w="150" w:type="dxa"/>
            </w:tcMar>
          </w:tcPr>
          <w:p w14:paraId="6B8CCE9F">
            <w:r>
              <w:rPr>
                <w:rFonts w:ascii="Calibri" w:hAnsi="Calibri"/>
                <w:sz w:val="18"/>
              </w:rPr>
              <w:t>https://github.com/aashishrajput9838/academicuniverse.git (Commit: 88140d1)</w:t>
            </w:r>
          </w:p>
        </w:tc>
      </w:tr>
      <w:tr w14:paraId="44BCF3BA">
        <w:tblPrEx>
          <w:tblCellMar>
            <w:top w:w="0" w:type="dxa"/>
            <w:left w:w="108" w:type="dxa"/>
            <w:bottom w:w="0" w:type="dxa"/>
            <w:right w:w="108" w:type="dxa"/>
          </w:tblCellMar>
        </w:tblPrEx>
        <w:trPr>
          <w:jc w:val="center"/>
        </w:trPr>
        <w:tc>
          <w:tcPr>
            <w:tcW w:w="4680" w:type="dxa"/>
            <w:shd w:val="clear" w:color="auto" w:fill="FFFFFF"/>
            <w:tcMar>
              <w:top w:w="100" w:type="dxa"/>
              <w:left w:w="150" w:type="dxa"/>
              <w:bottom w:w="100" w:type="dxa"/>
              <w:right w:w="150" w:type="dxa"/>
            </w:tcMar>
          </w:tcPr>
          <w:p w14:paraId="6D771BE9">
            <w:r>
              <w:rPr>
                <w:rFonts w:ascii="Calibri" w:hAnsi="Calibri"/>
                <w:sz w:val="18"/>
              </w:rPr>
              <w:t>Benchmark Suite Version</w:t>
            </w:r>
          </w:p>
        </w:tc>
        <w:tc>
          <w:tcPr>
            <w:tcW w:w="4680" w:type="dxa"/>
            <w:shd w:val="clear" w:color="auto" w:fill="FFFFFF"/>
            <w:tcMar>
              <w:top w:w="100" w:type="dxa"/>
              <w:left w:w="150" w:type="dxa"/>
              <w:bottom w:w="100" w:type="dxa"/>
              <w:right w:w="150" w:type="dxa"/>
            </w:tcMar>
          </w:tcPr>
          <w:p w14:paraId="326C4680">
            <w:r>
              <w:rPr>
                <w:rFonts w:ascii="Calibri" w:hAnsi="Calibri"/>
                <w:sz w:val="18"/>
              </w:rPr>
              <w:t>AU DIC Benchmark v1.0 (Release Candidate 1 - RC1)</w:t>
            </w:r>
          </w:p>
        </w:tc>
      </w:tr>
      <w:tr w14:paraId="4D53283F">
        <w:tblPrEx>
          <w:tblCellMar>
            <w:top w:w="0" w:type="dxa"/>
            <w:left w:w="108" w:type="dxa"/>
            <w:bottom w:w="0" w:type="dxa"/>
            <w:right w:w="108" w:type="dxa"/>
          </w:tblCellMar>
        </w:tblPrEx>
        <w:trPr>
          <w:jc w:val="center"/>
        </w:trPr>
        <w:tc>
          <w:tcPr>
            <w:tcW w:w="4680" w:type="dxa"/>
            <w:shd w:val="clear" w:color="auto" w:fill="F2F5F9"/>
            <w:tcMar>
              <w:top w:w="100" w:type="dxa"/>
              <w:left w:w="150" w:type="dxa"/>
              <w:bottom w:w="100" w:type="dxa"/>
              <w:right w:w="150" w:type="dxa"/>
            </w:tcMar>
          </w:tcPr>
          <w:p w14:paraId="7D02326B">
            <w:r>
              <w:rPr>
                <w:rFonts w:ascii="Calibri" w:hAnsi="Calibri"/>
                <w:sz w:val="18"/>
              </w:rPr>
              <w:t>Evaluated Neural Engine</w:t>
            </w:r>
          </w:p>
        </w:tc>
        <w:tc>
          <w:tcPr>
            <w:tcW w:w="4680" w:type="dxa"/>
            <w:shd w:val="clear" w:color="auto" w:fill="F2F5F9"/>
            <w:tcMar>
              <w:top w:w="100" w:type="dxa"/>
              <w:left w:w="150" w:type="dxa"/>
              <w:bottom w:w="100" w:type="dxa"/>
              <w:right w:w="150" w:type="dxa"/>
            </w:tcMar>
          </w:tcPr>
          <w:p w14:paraId="44A1F5F7">
            <w:r>
              <w:rPr>
                <w:rFonts w:ascii="Calibri" w:hAnsi="Calibri"/>
                <w:sz w:val="18"/>
              </w:rPr>
              <w:t>Groq Cloud AI (llama-3.1-8b-instant, temp=0.2, max_tokens=8192)</w:t>
            </w:r>
          </w:p>
        </w:tc>
      </w:tr>
      <w:tr w14:paraId="77A2E9AC">
        <w:tblPrEx>
          <w:tblCellMar>
            <w:top w:w="0" w:type="dxa"/>
            <w:left w:w="108" w:type="dxa"/>
            <w:bottom w:w="0" w:type="dxa"/>
            <w:right w:w="108" w:type="dxa"/>
          </w:tblCellMar>
        </w:tblPrEx>
        <w:trPr>
          <w:jc w:val="center"/>
        </w:trPr>
        <w:tc>
          <w:tcPr>
            <w:tcW w:w="4680" w:type="dxa"/>
            <w:shd w:val="clear" w:color="auto" w:fill="FFFFFF"/>
            <w:tcMar>
              <w:top w:w="100" w:type="dxa"/>
              <w:left w:w="150" w:type="dxa"/>
              <w:bottom w:w="100" w:type="dxa"/>
              <w:right w:w="150" w:type="dxa"/>
            </w:tcMar>
          </w:tcPr>
          <w:p w14:paraId="5B4EC8DE">
            <w:r>
              <w:rPr>
                <w:rFonts w:ascii="Calibri" w:hAnsi="Calibri"/>
                <w:sz w:val="18"/>
              </w:rPr>
              <w:t>Master Random Seed</w:t>
            </w:r>
          </w:p>
        </w:tc>
        <w:tc>
          <w:tcPr>
            <w:tcW w:w="4680" w:type="dxa"/>
            <w:shd w:val="clear" w:color="auto" w:fill="FFFFFF"/>
            <w:tcMar>
              <w:top w:w="100" w:type="dxa"/>
              <w:left w:w="150" w:type="dxa"/>
              <w:bottom w:w="100" w:type="dxa"/>
              <w:right w:w="150" w:type="dxa"/>
            </w:tcMar>
          </w:tcPr>
          <w:p w14:paraId="66F035B5">
            <w:r>
              <w:rPr>
                <w:rFonts w:ascii="Calibri" w:hAnsi="Calibri"/>
                <w:sz w:val="18"/>
              </w:rPr>
              <w:t>SeedManager deterministic seed = 42</w:t>
            </w:r>
          </w:p>
        </w:tc>
      </w:tr>
      <w:tr w14:paraId="643ADA99">
        <w:tblPrEx>
          <w:tblCellMar>
            <w:top w:w="0" w:type="dxa"/>
            <w:left w:w="108" w:type="dxa"/>
            <w:bottom w:w="0" w:type="dxa"/>
            <w:right w:w="108" w:type="dxa"/>
          </w:tblCellMar>
        </w:tblPrEx>
        <w:trPr>
          <w:jc w:val="center"/>
        </w:trPr>
        <w:tc>
          <w:tcPr>
            <w:tcW w:w="4680" w:type="dxa"/>
            <w:shd w:val="clear" w:color="auto" w:fill="F2F5F9"/>
            <w:tcMar>
              <w:top w:w="100" w:type="dxa"/>
              <w:left w:w="150" w:type="dxa"/>
              <w:bottom w:w="100" w:type="dxa"/>
              <w:right w:w="150" w:type="dxa"/>
            </w:tcMar>
          </w:tcPr>
          <w:p w14:paraId="13731D23">
            <w:r>
              <w:rPr>
                <w:rFonts w:ascii="Calibri" w:hAnsi="Calibri"/>
                <w:sz w:val="18"/>
              </w:rPr>
              <w:t>Operating System &amp; Arch</w:t>
            </w:r>
          </w:p>
        </w:tc>
        <w:tc>
          <w:tcPr>
            <w:tcW w:w="4680" w:type="dxa"/>
            <w:shd w:val="clear" w:color="auto" w:fill="F2F5F9"/>
            <w:tcMar>
              <w:top w:w="100" w:type="dxa"/>
              <w:left w:w="150" w:type="dxa"/>
              <w:bottom w:w="100" w:type="dxa"/>
              <w:right w:w="150" w:type="dxa"/>
            </w:tcMar>
          </w:tcPr>
          <w:p w14:paraId="6DEA13FE">
            <w:r>
              <w:rPr>
                <w:rFonts w:ascii="Calibri" w:hAnsi="Calibri"/>
                <w:sz w:val="18"/>
              </w:rPr>
              <w:t>Windows 11 Professional (x86_64)</w:t>
            </w:r>
          </w:p>
        </w:tc>
      </w:tr>
      <w:tr w14:paraId="20242E1F">
        <w:tblPrEx>
          <w:tblCellMar>
            <w:top w:w="0" w:type="dxa"/>
            <w:left w:w="108" w:type="dxa"/>
            <w:bottom w:w="0" w:type="dxa"/>
            <w:right w:w="108" w:type="dxa"/>
          </w:tblCellMar>
        </w:tblPrEx>
        <w:trPr>
          <w:jc w:val="center"/>
        </w:trPr>
        <w:tc>
          <w:tcPr>
            <w:tcW w:w="4680" w:type="dxa"/>
            <w:shd w:val="clear" w:color="auto" w:fill="FFFFFF"/>
            <w:tcMar>
              <w:top w:w="100" w:type="dxa"/>
              <w:left w:w="150" w:type="dxa"/>
              <w:bottom w:w="100" w:type="dxa"/>
              <w:right w:w="150" w:type="dxa"/>
            </w:tcMar>
          </w:tcPr>
          <w:p w14:paraId="1D4258CB">
            <w:r>
              <w:rPr>
                <w:rFonts w:ascii="Calibri" w:hAnsi="Calibri"/>
                <w:sz w:val="18"/>
              </w:rPr>
              <w:t>Compute Infrastructure</w:t>
            </w:r>
          </w:p>
        </w:tc>
        <w:tc>
          <w:tcPr>
            <w:tcW w:w="4680" w:type="dxa"/>
            <w:shd w:val="clear" w:color="auto" w:fill="FFFFFF"/>
            <w:tcMar>
              <w:top w:w="100" w:type="dxa"/>
              <w:left w:w="150" w:type="dxa"/>
              <w:bottom w:w="100" w:type="dxa"/>
              <w:right w:w="150" w:type="dxa"/>
            </w:tcMar>
          </w:tcPr>
          <w:p w14:paraId="0EADF403">
            <w:r>
              <w:rPr>
                <w:rFonts w:ascii="Calibri" w:hAnsi="Calibri"/>
                <w:sz w:val="18"/>
              </w:rPr>
              <w:t>Intel Core i7 (HP EliteBook 840 G8) | 16 GB DDR4 RAM (CPU-only inference)</w:t>
            </w:r>
          </w:p>
        </w:tc>
      </w:tr>
      <w:tr w14:paraId="63287E22">
        <w:tblPrEx>
          <w:tblCellMar>
            <w:top w:w="0" w:type="dxa"/>
            <w:left w:w="108" w:type="dxa"/>
            <w:bottom w:w="0" w:type="dxa"/>
            <w:right w:w="108" w:type="dxa"/>
          </w:tblCellMar>
        </w:tblPrEx>
        <w:trPr>
          <w:jc w:val="center"/>
        </w:trPr>
        <w:tc>
          <w:tcPr>
            <w:tcW w:w="4680" w:type="dxa"/>
            <w:shd w:val="clear" w:color="auto" w:fill="F2F5F9"/>
            <w:tcMar>
              <w:top w:w="100" w:type="dxa"/>
              <w:left w:w="150" w:type="dxa"/>
              <w:bottom w:w="100" w:type="dxa"/>
              <w:right w:w="150" w:type="dxa"/>
            </w:tcMar>
          </w:tcPr>
          <w:p w14:paraId="4CD86E28">
            <w:r>
              <w:rPr>
                <w:rFonts w:ascii="Calibri" w:hAnsi="Calibri"/>
                <w:sz w:val="18"/>
              </w:rPr>
              <w:t>Runtime Environment</w:t>
            </w:r>
          </w:p>
        </w:tc>
        <w:tc>
          <w:tcPr>
            <w:tcW w:w="4680" w:type="dxa"/>
            <w:shd w:val="clear" w:color="auto" w:fill="F2F5F9"/>
            <w:tcMar>
              <w:top w:w="100" w:type="dxa"/>
              <w:left w:w="150" w:type="dxa"/>
              <w:bottom w:w="100" w:type="dxa"/>
              <w:right w:w="150" w:type="dxa"/>
            </w:tcMar>
          </w:tcPr>
          <w:p w14:paraId="3C2AFF8F">
            <w:r>
              <w:rPr>
                <w:rFonts w:ascii="Calibri" w:hAnsi="Calibri"/>
                <w:sz w:val="18"/>
              </w:rPr>
              <w:t>Python 3.14.x | Node.js v18.x | npm v9.x</w:t>
            </w:r>
          </w:p>
        </w:tc>
      </w:tr>
      <w:tr w14:paraId="7B94189B">
        <w:tblPrEx>
          <w:tblCellMar>
            <w:top w:w="0" w:type="dxa"/>
            <w:left w:w="108" w:type="dxa"/>
            <w:bottom w:w="0" w:type="dxa"/>
            <w:right w:w="108" w:type="dxa"/>
          </w:tblCellMar>
        </w:tblPrEx>
        <w:trPr>
          <w:jc w:val="center"/>
        </w:trPr>
        <w:tc>
          <w:tcPr>
            <w:tcW w:w="4680" w:type="dxa"/>
            <w:shd w:val="clear" w:color="auto" w:fill="FFFFFF"/>
            <w:tcMar>
              <w:top w:w="100" w:type="dxa"/>
              <w:left w:w="150" w:type="dxa"/>
              <w:bottom w:w="100" w:type="dxa"/>
              <w:right w:w="150" w:type="dxa"/>
            </w:tcMar>
          </w:tcPr>
          <w:p w14:paraId="0DCA441B">
            <w:r>
              <w:rPr>
                <w:rFonts w:ascii="Calibri" w:hAnsi="Calibri"/>
                <w:sz w:val="18"/>
              </w:rPr>
              <w:t>Statistical Libraries</w:t>
            </w:r>
          </w:p>
        </w:tc>
        <w:tc>
          <w:tcPr>
            <w:tcW w:w="4680" w:type="dxa"/>
            <w:shd w:val="clear" w:color="auto" w:fill="FFFFFF"/>
            <w:tcMar>
              <w:top w:w="100" w:type="dxa"/>
              <w:left w:w="150" w:type="dxa"/>
              <w:bottom w:w="100" w:type="dxa"/>
              <w:right w:w="150" w:type="dxa"/>
            </w:tcMar>
          </w:tcPr>
          <w:p w14:paraId="335870A7">
            <w:r>
              <w:rPr>
                <w:rFonts w:ascii="Calibri" w:hAnsi="Calibri"/>
                <w:sz w:val="18"/>
              </w:rPr>
              <w:t>scipy &gt;= 1.11 | pandas &gt;= 2.0 | numpy &gt;= 1.24</w:t>
            </w:r>
          </w:p>
        </w:tc>
      </w:tr>
      <w:tr w14:paraId="19F007C8">
        <w:tblPrEx>
          <w:tblCellMar>
            <w:top w:w="0" w:type="dxa"/>
            <w:left w:w="108" w:type="dxa"/>
            <w:bottom w:w="0" w:type="dxa"/>
            <w:right w:w="108" w:type="dxa"/>
          </w:tblCellMar>
        </w:tblPrEx>
        <w:trPr>
          <w:jc w:val="center"/>
        </w:trPr>
        <w:tc>
          <w:tcPr>
            <w:tcW w:w="4680" w:type="dxa"/>
            <w:shd w:val="clear" w:color="auto" w:fill="F2F5F9"/>
            <w:tcMar>
              <w:top w:w="100" w:type="dxa"/>
              <w:left w:w="150" w:type="dxa"/>
              <w:bottom w:w="100" w:type="dxa"/>
              <w:right w:w="150" w:type="dxa"/>
            </w:tcMar>
          </w:tcPr>
          <w:p w14:paraId="152F5435">
            <w:r>
              <w:rPr>
                <w:rFonts w:ascii="Calibri" w:hAnsi="Calibri"/>
                <w:sz w:val="18"/>
              </w:rPr>
              <w:t>Dataset SHA-256 Hash</w:t>
            </w:r>
          </w:p>
        </w:tc>
        <w:tc>
          <w:tcPr>
            <w:tcW w:w="4680" w:type="dxa"/>
            <w:shd w:val="clear" w:color="auto" w:fill="F2F5F9"/>
            <w:tcMar>
              <w:top w:w="100" w:type="dxa"/>
              <w:left w:w="150" w:type="dxa"/>
              <w:bottom w:w="100" w:type="dxa"/>
              <w:right w:w="150" w:type="dxa"/>
            </w:tcMar>
          </w:tcPr>
          <w:p w14:paraId="45446333">
            <w:r>
              <w:rPr>
                <w:rFonts w:ascii="Calibri" w:hAnsi="Calibri"/>
                <w:sz w:val="18"/>
              </w:rPr>
              <w:t>17c136ef76dd0f82</w:t>
            </w:r>
          </w:p>
        </w:tc>
      </w:tr>
      <w:tr w14:paraId="4B8E498C">
        <w:tblPrEx>
          <w:tblCellMar>
            <w:top w:w="0" w:type="dxa"/>
            <w:left w:w="108" w:type="dxa"/>
            <w:bottom w:w="0" w:type="dxa"/>
            <w:right w:w="108" w:type="dxa"/>
          </w:tblCellMar>
        </w:tblPrEx>
        <w:trPr>
          <w:jc w:val="center"/>
        </w:trPr>
        <w:tc>
          <w:tcPr>
            <w:tcW w:w="4680" w:type="dxa"/>
            <w:shd w:val="clear" w:color="auto" w:fill="FFFFFF"/>
            <w:tcMar>
              <w:top w:w="100" w:type="dxa"/>
              <w:left w:w="150" w:type="dxa"/>
              <w:bottom w:w="100" w:type="dxa"/>
              <w:right w:w="150" w:type="dxa"/>
            </w:tcMar>
          </w:tcPr>
          <w:p w14:paraId="198454A3">
            <w:r>
              <w:rPr>
                <w:rFonts w:ascii="Calibri" w:hAnsi="Calibri"/>
                <w:sz w:val="18"/>
              </w:rPr>
              <w:t>Execution Timestamp &amp; Log</w:t>
            </w:r>
          </w:p>
        </w:tc>
        <w:tc>
          <w:tcPr>
            <w:tcW w:w="4680" w:type="dxa"/>
            <w:shd w:val="clear" w:color="auto" w:fill="FFFFFF"/>
            <w:tcMar>
              <w:top w:w="100" w:type="dxa"/>
              <w:left w:w="150" w:type="dxa"/>
              <w:bottom w:w="100" w:type="dxa"/>
              <w:right w:w="150" w:type="dxa"/>
            </w:tcMar>
          </w:tcPr>
          <w:p w14:paraId="7EC7EF3A">
            <w:r>
              <w:rPr>
                <w:rFonts w:ascii="Calibri" w:hAnsi="Calibri"/>
                <w:sz w:val="18"/>
              </w:rPr>
              <w:t>2026-08-05T20:50:48.067Z (backend/benchmark_reports/run_1785959173886/)</w:t>
            </w:r>
          </w:p>
        </w:tc>
      </w:tr>
      <w:tr w14:paraId="0D3D5183">
        <w:tblPrEx>
          <w:tblCellMar>
            <w:top w:w="0" w:type="dxa"/>
            <w:left w:w="108" w:type="dxa"/>
            <w:bottom w:w="0" w:type="dxa"/>
            <w:right w:w="108" w:type="dxa"/>
          </w:tblCellMar>
        </w:tblPrEx>
        <w:trPr>
          <w:jc w:val="center"/>
        </w:trPr>
        <w:tc>
          <w:tcPr>
            <w:tcW w:w="4680" w:type="dxa"/>
            <w:shd w:val="clear" w:color="auto" w:fill="F2F5F9"/>
            <w:tcMar>
              <w:top w:w="100" w:type="dxa"/>
              <w:left w:w="150" w:type="dxa"/>
              <w:bottom w:w="100" w:type="dxa"/>
              <w:right w:w="150" w:type="dxa"/>
            </w:tcMar>
          </w:tcPr>
          <w:p w14:paraId="45CE7313">
            <w:r>
              <w:rPr>
                <w:rFonts w:ascii="Calibri" w:hAnsi="Calibri"/>
                <w:sz w:val="18"/>
              </w:rPr>
              <w:t>Dataset Licensing &amp; Access</w:t>
            </w:r>
          </w:p>
        </w:tc>
        <w:tc>
          <w:tcPr>
            <w:tcW w:w="4680" w:type="dxa"/>
            <w:shd w:val="clear" w:color="auto" w:fill="F2F5F9"/>
            <w:tcMar>
              <w:top w:w="100" w:type="dxa"/>
              <w:left w:w="150" w:type="dxa"/>
              <w:bottom w:w="100" w:type="dxa"/>
              <w:right w:w="150" w:type="dxa"/>
            </w:tcMar>
          </w:tcPr>
          <w:p w14:paraId="4B124450">
            <w:r>
              <w:rPr>
                <w:rFonts w:ascii="Calibri" w:hAnsi="Calibri"/>
                <w:sz w:val="18"/>
              </w:rPr>
              <w:t>MIT License (Open Research Access)</w:t>
            </w:r>
          </w:p>
        </w:tc>
      </w:tr>
    </w:tbl>
    <w:p w14:paraId="13F9FCFF">
      <w:pPr>
        <w:keepNext/>
        <w:spacing w:before="240" w:after="80"/>
      </w:pPr>
      <w:r>
        <w:rPr>
          <w:rFonts w:ascii="Calibri" w:hAnsi="Calibri"/>
          <w:b/>
          <w:color w:val="3B5998"/>
          <w:sz w:val="23"/>
        </w:rPr>
        <w:t>A.2 Technical Clarifications &amp; Reviewer Inquiries</w:t>
      </w:r>
    </w:p>
    <w:p w14:paraId="364D4DFE">
      <w:pPr>
        <w:spacing w:before="40" w:after="80" w:line="276" w:lineRule="auto"/>
      </w:pPr>
      <w:r>
        <w:rPr>
          <w:rFonts w:ascii="Calibri" w:hAnsi="Calibri"/>
          <w:b/>
          <w:color w:val="262626"/>
          <w:sz w:val="20"/>
        </w:rPr>
        <w:t xml:space="preserve">Inquiry A.2.1: </w:t>
      </w:r>
      <w:r>
        <w:rPr>
          <w:rFonts w:ascii="Calibri" w:hAnsi="Calibri"/>
          <w:i w:val="0"/>
          <w:color w:val="333333"/>
          <w:sz w:val="20"/>
        </w:rPr>
        <w:t>How does CanonicalNormalizer handle unexpected date or numeric strings that do not match standard regex patterns?</w:t>
      </w:r>
    </w:p>
    <w:p w14:paraId="05970262">
      <w:pPr>
        <w:spacing w:before="40" w:after="80" w:line="276" w:lineRule="auto"/>
      </w:pPr>
      <w:r>
        <w:rPr>
          <w:rFonts w:ascii="Calibri" w:hAnsi="Calibri"/>
          <w:b/>
          <w:color w:val="262626"/>
          <w:sz w:val="20"/>
        </w:rPr>
        <w:t xml:space="preserve">Answer: </w:t>
      </w:r>
      <w:r>
        <w:rPr>
          <w:rFonts w:ascii="Calibri" w:hAnsi="Calibri"/>
          <w:i w:val="0"/>
          <w:color w:val="333333"/>
          <w:sz w:val="20"/>
        </w:rPr>
        <w:t>When a field value does not match defined date or numerical patterns, CanonicalNormalizer falls back to StringNormalizer.normalize(val, true) [25]. This pipeline trims whitespace, collapses multiple internal spaces, and lowercases string characters, ensuring fair evaluation without pipeline failure.</w:t>
      </w:r>
    </w:p>
    <w:p w14:paraId="4EF7E46B">
      <w:pPr>
        <w:spacing w:before="40" w:after="80" w:line="276" w:lineRule="auto"/>
      </w:pPr>
      <w:r>
        <w:rPr>
          <w:rFonts w:ascii="Calibri" w:hAnsi="Calibri"/>
          <w:b/>
          <w:color w:val="262626"/>
          <w:sz w:val="20"/>
        </w:rPr>
        <w:t xml:space="preserve">Inquiry A.2.2: </w:t>
      </w:r>
      <w:r>
        <w:rPr>
          <w:rFonts w:ascii="Calibri" w:hAnsi="Calibri"/>
          <w:i w:val="0"/>
          <w:color w:val="333333"/>
          <w:sz w:val="20"/>
        </w:rPr>
        <w:t>How does the framework scale when evaluating datasets exceeding 10,000+ specimens?</w:t>
      </w:r>
    </w:p>
    <w:p w14:paraId="6FA8AE58">
      <w:pPr>
        <w:spacing w:before="40" w:after="80" w:line="276" w:lineRule="auto"/>
      </w:pPr>
      <w:r>
        <w:rPr>
          <w:rFonts w:ascii="Calibri" w:hAnsi="Calibri"/>
          <w:b/>
          <w:color w:val="262626"/>
          <w:sz w:val="20"/>
        </w:rPr>
        <w:t xml:space="preserve">Answer: </w:t>
      </w:r>
      <w:r>
        <w:rPr>
          <w:rFonts w:ascii="Calibri" w:hAnsi="Calibri"/>
          <w:i w:val="0"/>
          <w:color w:val="333333"/>
          <w:sz w:val="20"/>
        </w:rPr>
        <w:t>BenchmarkRunner implements O(N) linear dataset processing with worker pool concurrency (concurrency: 4) and automatic checkpointing (checkpoint.json) [31]. In large-scale evaluation runs, BenchmarkRunner updates checkpoint.json after every batch increment. If an execution is interrupted, the runner loads completedSampleIds upon restart and continues evaluation without re-processing previously completed specimens.</w:t>
      </w:r>
    </w:p>
    <w:p w14:paraId="2E1B6DCE">
      <w:pPr>
        <w:spacing w:before="40" w:after="80" w:line="276" w:lineRule="auto"/>
      </w:pPr>
      <w:r>
        <w:rPr>
          <w:rFonts w:ascii="Calibri" w:hAnsi="Calibri"/>
          <w:b/>
          <w:color w:val="262626"/>
          <w:sz w:val="20"/>
        </w:rPr>
        <w:t xml:space="preserve">Inquiry A.2.3: </w:t>
      </w:r>
      <w:r>
        <w:rPr>
          <w:rFonts w:ascii="Calibri" w:hAnsi="Calibri"/>
          <w:i w:val="0"/>
          <w:color w:val="333333"/>
          <w:sz w:val="20"/>
        </w:rPr>
        <w:t>If candidate values still differ after normalization, why is NORMALIZATION_ERROR categorized separately rather than treated as a generic field mismatch?</w:t>
      </w:r>
    </w:p>
    <w:p w14:paraId="38D03961">
      <w:pPr>
        <w:spacing w:before="40" w:after="80" w:line="276" w:lineRule="auto"/>
      </w:pPr>
      <w:r>
        <w:rPr>
          <w:rFonts w:ascii="Calibri" w:hAnsi="Calibri"/>
          <w:b/>
          <w:color w:val="262626"/>
          <w:sz w:val="20"/>
        </w:rPr>
        <w:t xml:space="preserve">Answer: </w:t>
      </w:r>
      <w:r>
        <w:rPr>
          <w:rFonts w:ascii="Calibri" w:hAnsi="Calibri"/>
          <w:i w:val="0"/>
          <w:color w:val="333333"/>
          <w:sz w:val="20"/>
        </w:rPr>
        <w: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14:paraId="3F716108">
      <w:pPr>
        <w:keepNext/>
        <w:spacing w:before="360" w:after="160"/>
      </w:pPr>
      <w:r>
        <w:rPr>
          <w:rFonts w:ascii="Calibri" w:hAnsi="Calibri"/>
          <w:b/>
          <w:color w:val="1F497D"/>
          <w:sz w:val="28"/>
        </w:rPr>
        <w:t>APPENDIX B: FIELD SPECIFICATION &amp; OBSERVATION COUNT DERIVATION</w:t>
      </w:r>
    </w:p>
    <w:p w14:paraId="55BC989D">
      <w:pPr>
        <w:keepNext/>
        <w:spacing w:before="240" w:after="80"/>
      </w:pPr>
      <w:r>
        <w:rPr>
          <w:rFonts w:ascii="Calibri" w:hAnsi="Calibri"/>
          <w:b/>
          <w:color w:val="3B5998"/>
          <w:sz w:val="23"/>
        </w:rPr>
        <w:t>B.1 Document Category Field Structure</w:t>
      </w:r>
    </w:p>
    <w:p w14:paraId="36F91331">
      <w:pPr>
        <w:spacing w:before="40" w:after="80" w:line="276" w:lineRule="auto"/>
      </w:pPr>
      <w:r>
        <w:rPr>
          <w:rFonts w:ascii="Calibri" w:hAnsi="Calibri"/>
          <w:i w:val="0"/>
          <w:color w:val="333333"/>
          <w:sz w:val="20"/>
        </w:rPr>
        <w:t>The benchmark evaluates 360 document specimens partitioned equally across 3 document categories (120 Certificates, 120 Marksheets, and 120 Student ID Cards). Every specimen shares 18 canonical identity/metadata fields:</w:t>
      </w:r>
    </w:p>
    <w:p w14:paraId="0FD49649">
      <w:pPr>
        <w:spacing w:before="40" w:after="80" w:line="276" w:lineRule="auto"/>
      </w:pPr>
      <w:r>
        <w:rPr>
          <w:rFonts w:ascii="Calibri" w:hAnsi="Calibri"/>
          <w:b/>
          <w:color w:val="262626"/>
          <w:sz w:val="20"/>
        </w:rPr>
        <w:t xml:space="preserve">Identity / Metadata Fields (18): </w:t>
      </w:r>
      <w:r>
        <w:rPr>
          <w:rFonts w:ascii="Calibri" w:hAnsi="Calibri"/>
          <w:i w:val="0"/>
          <w:color w:val="333333"/>
          <w:sz w:val="20"/>
        </w:rPr>
        <w:t>studentName, rollNumber, enrollmentNumber, degreeName, branchName, batchYears, cgpa, issueDate, documentType, universityName, universityCode, universityTagline, fatherName, motherName, dateOfBirth, email, phone, bloodGroup.</w:t>
      </w:r>
    </w:p>
    <w:p w14:paraId="72A6A411">
      <w:pPr>
        <w:keepNext/>
        <w:spacing w:before="240" w:after="80"/>
      </w:pPr>
      <w:r>
        <w:rPr>
          <w:rFonts w:ascii="Calibri" w:hAnsi="Calibri"/>
          <w:b/>
          <w:color w:val="3B5998"/>
          <w:sz w:val="23"/>
        </w:rPr>
        <w:t>B.2 Mathematical Derivation of 24,480 Paired Observations</w:t>
      </w:r>
    </w:p>
    <w:p w14:paraId="30CBE2F2">
      <w:pPr>
        <w:spacing w:before="40" w:after="80" w:line="276" w:lineRule="auto"/>
      </w:pPr>
      <w:r>
        <w:rPr>
          <w:rFonts w:ascii="Calibri" w:hAnsi="Calibri"/>
          <w:i w:val="0"/>
          <w:color w:val="333333"/>
          <w:sz w:val="20"/>
        </w:rPr>
        <w:t>Subject-level array fields follow the structured format subject[i].{code, credits, grade} for i in 0..N, where N represents the number of course records per document. Table B.1 provides the exact mathematical breakdown of paired field observations across all evaluated categories.</w:t>
      </w:r>
    </w:p>
    <w:tbl>
      <w:tblPr>
        <w:tblStyle w:val="12"/>
        <w:tblW w:w="0" w:type="auto"/>
        <w:jc w:val="center"/>
        <w:tblLayout w:type="autofit"/>
        <w:tblCellMar>
          <w:top w:w="0" w:type="dxa"/>
          <w:left w:w="108" w:type="dxa"/>
          <w:bottom w:w="0" w:type="dxa"/>
          <w:right w:w="108" w:type="dxa"/>
        </w:tblCellMar>
      </w:tblPr>
      <w:tblGrid>
        <w:gridCol w:w="2340"/>
        <w:gridCol w:w="2340"/>
        <w:gridCol w:w="2340"/>
        <w:gridCol w:w="2340"/>
      </w:tblGrid>
      <w:tr w14:paraId="0C048163">
        <w:tblPrEx>
          <w:tblCellMar>
            <w:top w:w="0" w:type="dxa"/>
            <w:left w:w="108" w:type="dxa"/>
            <w:bottom w:w="0" w:type="dxa"/>
            <w:right w:w="108" w:type="dxa"/>
          </w:tblCellMar>
        </w:tblPrEx>
        <w:trPr>
          <w:jc w:val="center"/>
        </w:trPr>
        <w:tc>
          <w:tcPr>
            <w:tcW w:w="2340" w:type="dxa"/>
            <w:shd w:val="clear" w:color="auto" w:fill="1F497D"/>
            <w:tcMar>
              <w:top w:w="120" w:type="dxa"/>
              <w:left w:w="150" w:type="dxa"/>
              <w:bottom w:w="120" w:type="dxa"/>
              <w:right w:w="150" w:type="dxa"/>
            </w:tcMar>
          </w:tcPr>
          <w:p w14:paraId="0C580E5D">
            <w:pPr>
              <w:jc w:val="center"/>
            </w:pPr>
            <w:r>
              <w:rPr>
                <w:rFonts w:ascii="Calibri" w:hAnsi="Calibri"/>
                <w:b/>
                <w:color w:val="FFFFFF"/>
                <w:sz w:val="19"/>
              </w:rPr>
              <w:t>Document Category</w:t>
            </w:r>
          </w:p>
        </w:tc>
        <w:tc>
          <w:tcPr>
            <w:tcW w:w="2340" w:type="dxa"/>
            <w:shd w:val="clear" w:color="auto" w:fill="1F497D"/>
            <w:tcMar>
              <w:top w:w="120" w:type="dxa"/>
              <w:left w:w="150" w:type="dxa"/>
              <w:bottom w:w="120" w:type="dxa"/>
              <w:right w:w="150" w:type="dxa"/>
            </w:tcMar>
          </w:tcPr>
          <w:p w14:paraId="050D6FF4">
            <w:pPr>
              <w:jc w:val="center"/>
            </w:pPr>
            <w:r>
              <w:rPr>
                <w:rFonts w:ascii="Calibri" w:hAnsi="Calibri"/>
                <w:b/>
                <w:color w:val="FFFFFF"/>
                <w:sz w:val="19"/>
              </w:rPr>
              <w:t>Specimens (N)</w:t>
            </w:r>
          </w:p>
        </w:tc>
        <w:tc>
          <w:tcPr>
            <w:tcW w:w="2340" w:type="dxa"/>
            <w:shd w:val="clear" w:color="auto" w:fill="1F497D"/>
            <w:tcMar>
              <w:top w:w="120" w:type="dxa"/>
              <w:left w:w="150" w:type="dxa"/>
              <w:bottom w:w="120" w:type="dxa"/>
              <w:right w:w="150" w:type="dxa"/>
            </w:tcMar>
          </w:tcPr>
          <w:p w14:paraId="2839CAF9">
            <w:pPr>
              <w:jc w:val="center"/>
            </w:pPr>
            <w:r>
              <w:rPr>
                <w:rFonts w:ascii="Calibri" w:hAnsi="Calibri"/>
                <w:b/>
                <w:color w:val="FFFFFF"/>
                <w:sz w:val="19"/>
              </w:rPr>
              <w:t>Fields / Specimen</w:t>
            </w:r>
          </w:p>
        </w:tc>
        <w:tc>
          <w:tcPr>
            <w:tcW w:w="2340" w:type="dxa"/>
            <w:shd w:val="clear" w:color="auto" w:fill="1F497D"/>
            <w:tcMar>
              <w:top w:w="120" w:type="dxa"/>
              <w:left w:w="150" w:type="dxa"/>
              <w:bottom w:w="120" w:type="dxa"/>
              <w:right w:w="150" w:type="dxa"/>
            </w:tcMar>
          </w:tcPr>
          <w:p w14:paraId="4D134010">
            <w:pPr>
              <w:jc w:val="center"/>
            </w:pPr>
            <w:r>
              <w:rPr>
                <w:rFonts w:ascii="Calibri" w:hAnsi="Calibri"/>
                <w:b/>
                <w:color w:val="FFFFFF"/>
                <w:sz w:val="19"/>
              </w:rPr>
              <w:t>Total Paired Field Observations</w:t>
            </w:r>
          </w:p>
        </w:tc>
      </w:tr>
      <w:tr w14:paraId="5FF31A23">
        <w:tblPrEx>
          <w:tblCellMar>
            <w:top w:w="0" w:type="dxa"/>
            <w:left w:w="108" w:type="dxa"/>
            <w:bottom w:w="0" w:type="dxa"/>
            <w:right w:w="108" w:type="dxa"/>
          </w:tblCellMar>
        </w:tblPrEx>
        <w:trPr>
          <w:jc w:val="center"/>
        </w:trPr>
        <w:tc>
          <w:tcPr>
            <w:tcW w:w="2340" w:type="dxa"/>
            <w:shd w:val="clear" w:color="auto" w:fill="F2F5F9"/>
            <w:tcMar>
              <w:top w:w="100" w:type="dxa"/>
              <w:left w:w="150" w:type="dxa"/>
              <w:bottom w:w="100" w:type="dxa"/>
              <w:right w:w="150" w:type="dxa"/>
            </w:tcMar>
          </w:tcPr>
          <w:p w14:paraId="4BE0A906">
            <w:r>
              <w:rPr>
                <w:rFonts w:ascii="Calibri" w:hAnsi="Calibri"/>
                <w:sz w:val="18"/>
              </w:rPr>
              <w:t>Degree Certificate</w:t>
            </w:r>
          </w:p>
        </w:tc>
        <w:tc>
          <w:tcPr>
            <w:tcW w:w="2340" w:type="dxa"/>
            <w:shd w:val="clear" w:color="auto" w:fill="F2F5F9"/>
            <w:tcMar>
              <w:top w:w="100" w:type="dxa"/>
              <w:left w:w="150" w:type="dxa"/>
              <w:bottom w:w="100" w:type="dxa"/>
              <w:right w:w="150" w:type="dxa"/>
            </w:tcMar>
          </w:tcPr>
          <w:p w14:paraId="0E4A84BF">
            <w:r>
              <w:rPr>
                <w:rFonts w:ascii="Calibri" w:hAnsi="Calibri"/>
                <w:sz w:val="18"/>
              </w:rPr>
              <w:t>120</w:t>
            </w:r>
          </w:p>
        </w:tc>
        <w:tc>
          <w:tcPr>
            <w:tcW w:w="2340" w:type="dxa"/>
            <w:shd w:val="clear" w:color="auto" w:fill="F2F5F9"/>
            <w:tcMar>
              <w:top w:w="100" w:type="dxa"/>
              <w:left w:w="150" w:type="dxa"/>
              <w:bottom w:w="100" w:type="dxa"/>
              <w:right w:w="150" w:type="dxa"/>
            </w:tcMar>
          </w:tcPr>
          <w:p w14:paraId="00052594">
            <w:r>
              <w:rPr>
                <w:rFonts w:ascii="Calibri" w:hAnsi="Calibri"/>
                <w:sz w:val="18"/>
              </w:rPr>
              <w:t>33 (18 Metadata + 15 Subject)</w:t>
            </w:r>
          </w:p>
        </w:tc>
        <w:tc>
          <w:tcPr>
            <w:tcW w:w="2340" w:type="dxa"/>
            <w:shd w:val="clear" w:color="auto" w:fill="F2F5F9"/>
            <w:tcMar>
              <w:top w:w="100" w:type="dxa"/>
              <w:left w:w="150" w:type="dxa"/>
              <w:bottom w:w="100" w:type="dxa"/>
              <w:right w:w="150" w:type="dxa"/>
            </w:tcMar>
          </w:tcPr>
          <w:p w14:paraId="7AA8BBB0">
            <w:r>
              <w:rPr>
                <w:rFonts w:ascii="Calibri" w:hAnsi="Calibri"/>
                <w:sz w:val="18"/>
              </w:rPr>
              <w:t>3,960</w:t>
            </w:r>
          </w:p>
        </w:tc>
      </w:tr>
      <w:tr w14:paraId="0332FC16">
        <w:tblPrEx>
          <w:tblCellMar>
            <w:top w:w="0" w:type="dxa"/>
            <w:left w:w="108" w:type="dxa"/>
            <w:bottom w:w="0" w:type="dxa"/>
            <w:right w:w="108" w:type="dxa"/>
          </w:tblCellMar>
        </w:tblPrEx>
        <w:trPr>
          <w:jc w:val="center"/>
        </w:trPr>
        <w:tc>
          <w:tcPr>
            <w:tcW w:w="2340" w:type="dxa"/>
            <w:shd w:val="clear" w:color="auto" w:fill="FFFFFF"/>
            <w:tcMar>
              <w:top w:w="100" w:type="dxa"/>
              <w:left w:w="150" w:type="dxa"/>
              <w:bottom w:w="100" w:type="dxa"/>
              <w:right w:w="150" w:type="dxa"/>
            </w:tcMar>
          </w:tcPr>
          <w:p w14:paraId="424E0E02">
            <w:r>
              <w:rPr>
                <w:rFonts w:ascii="Calibri" w:hAnsi="Calibri"/>
                <w:sz w:val="18"/>
              </w:rPr>
              <w:t>Semester Marksheet</w:t>
            </w:r>
          </w:p>
        </w:tc>
        <w:tc>
          <w:tcPr>
            <w:tcW w:w="2340" w:type="dxa"/>
            <w:shd w:val="clear" w:color="auto" w:fill="FFFFFF"/>
            <w:tcMar>
              <w:top w:w="100" w:type="dxa"/>
              <w:left w:w="150" w:type="dxa"/>
              <w:bottom w:w="100" w:type="dxa"/>
              <w:right w:w="150" w:type="dxa"/>
            </w:tcMar>
          </w:tcPr>
          <w:p w14:paraId="4F119776">
            <w:r>
              <w:rPr>
                <w:rFonts w:ascii="Calibri" w:hAnsi="Calibri"/>
                <w:sz w:val="18"/>
              </w:rPr>
              <w:t>120</w:t>
            </w:r>
          </w:p>
        </w:tc>
        <w:tc>
          <w:tcPr>
            <w:tcW w:w="2340" w:type="dxa"/>
            <w:shd w:val="clear" w:color="auto" w:fill="FFFFFF"/>
            <w:tcMar>
              <w:top w:w="100" w:type="dxa"/>
              <w:left w:w="150" w:type="dxa"/>
              <w:bottom w:w="100" w:type="dxa"/>
              <w:right w:w="150" w:type="dxa"/>
            </w:tcMar>
          </w:tcPr>
          <w:p w14:paraId="703FB241">
            <w:r>
              <w:rPr>
                <w:rFonts w:ascii="Calibri" w:hAnsi="Calibri"/>
                <w:sz w:val="18"/>
              </w:rPr>
              <w:t>138 (18 Metadata + 120 Subject)</w:t>
            </w:r>
          </w:p>
        </w:tc>
        <w:tc>
          <w:tcPr>
            <w:tcW w:w="2340" w:type="dxa"/>
            <w:shd w:val="clear" w:color="auto" w:fill="FFFFFF"/>
            <w:tcMar>
              <w:top w:w="100" w:type="dxa"/>
              <w:left w:w="150" w:type="dxa"/>
              <w:bottom w:w="100" w:type="dxa"/>
              <w:right w:w="150" w:type="dxa"/>
            </w:tcMar>
          </w:tcPr>
          <w:p w14:paraId="1BA58424">
            <w:r>
              <w:rPr>
                <w:rFonts w:ascii="Calibri" w:hAnsi="Calibri"/>
                <w:sz w:val="18"/>
              </w:rPr>
              <w:t>16,560</w:t>
            </w:r>
          </w:p>
        </w:tc>
      </w:tr>
      <w:tr w14:paraId="40E7E4A3">
        <w:tblPrEx>
          <w:tblCellMar>
            <w:top w:w="0" w:type="dxa"/>
            <w:left w:w="108" w:type="dxa"/>
            <w:bottom w:w="0" w:type="dxa"/>
            <w:right w:w="108" w:type="dxa"/>
          </w:tblCellMar>
        </w:tblPrEx>
        <w:trPr>
          <w:jc w:val="center"/>
        </w:trPr>
        <w:tc>
          <w:tcPr>
            <w:tcW w:w="2340" w:type="dxa"/>
            <w:shd w:val="clear" w:color="auto" w:fill="F2F5F9"/>
            <w:tcMar>
              <w:top w:w="100" w:type="dxa"/>
              <w:left w:w="150" w:type="dxa"/>
              <w:bottom w:w="100" w:type="dxa"/>
              <w:right w:w="150" w:type="dxa"/>
            </w:tcMar>
          </w:tcPr>
          <w:p w14:paraId="520B80D6">
            <w:r>
              <w:rPr>
                <w:rFonts w:ascii="Calibri" w:hAnsi="Calibri"/>
                <w:sz w:val="18"/>
              </w:rPr>
              <w:t>Student ID Card</w:t>
            </w:r>
          </w:p>
        </w:tc>
        <w:tc>
          <w:tcPr>
            <w:tcW w:w="2340" w:type="dxa"/>
            <w:shd w:val="clear" w:color="auto" w:fill="F2F5F9"/>
            <w:tcMar>
              <w:top w:w="100" w:type="dxa"/>
              <w:left w:w="150" w:type="dxa"/>
              <w:bottom w:w="100" w:type="dxa"/>
              <w:right w:w="150" w:type="dxa"/>
            </w:tcMar>
          </w:tcPr>
          <w:p w14:paraId="6B6D0444">
            <w:r>
              <w:rPr>
                <w:rFonts w:ascii="Calibri" w:hAnsi="Calibri"/>
                <w:sz w:val="18"/>
              </w:rPr>
              <w:t>120</w:t>
            </w:r>
          </w:p>
        </w:tc>
        <w:tc>
          <w:tcPr>
            <w:tcW w:w="2340" w:type="dxa"/>
            <w:shd w:val="clear" w:color="auto" w:fill="F2F5F9"/>
            <w:tcMar>
              <w:top w:w="100" w:type="dxa"/>
              <w:left w:w="150" w:type="dxa"/>
              <w:bottom w:w="100" w:type="dxa"/>
              <w:right w:w="150" w:type="dxa"/>
            </w:tcMar>
          </w:tcPr>
          <w:p w14:paraId="7737A218">
            <w:r>
              <w:rPr>
                <w:rFonts w:ascii="Calibri" w:hAnsi="Calibri"/>
                <w:sz w:val="18"/>
              </w:rPr>
              <w:t>33 (18 Metadata + 15 Subject)</w:t>
            </w:r>
          </w:p>
        </w:tc>
        <w:tc>
          <w:tcPr>
            <w:tcW w:w="2340" w:type="dxa"/>
            <w:shd w:val="clear" w:color="auto" w:fill="F2F5F9"/>
            <w:tcMar>
              <w:top w:w="100" w:type="dxa"/>
              <w:left w:w="150" w:type="dxa"/>
              <w:bottom w:w="100" w:type="dxa"/>
              <w:right w:w="150" w:type="dxa"/>
            </w:tcMar>
          </w:tcPr>
          <w:p w14:paraId="24A8E2B6">
            <w:r>
              <w:rPr>
                <w:rFonts w:ascii="Calibri" w:hAnsi="Calibri"/>
                <w:sz w:val="18"/>
              </w:rPr>
              <w:t>3,960</w:t>
            </w:r>
          </w:p>
        </w:tc>
      </w:tr>
      <w:tr w14:paraId="21AAB0D2">
        <w:tblPrEx>
          <w:tblCellMar>
            <w:top w:w="0" w:type="dxa"/>
            <w:left w:w="108" w:type="dxa"/>
            <w:bottom w:w="0" w:type="dxa"/>
            <w:right w:w="108" w:type="dxa"/>
          </w:tblCellMar>
        </w:tblPrEx>
        <w:trPr>
          <w:jc w:val="center"/>
        </w:trPr>
        <w:tc>
          <w:tcPr>
            <w:tcW w:w="2340" w:type="dxa"/>
            <w:shd w:val="clear" w:color="auto" w:fill="FFFFFF"/>
            <w:tcMar>
              <w:top w:w="100" w:type="dxa"/>
              <w:left w:w="150" w:type="dxa"/>
              <w:bottom w:w="100" w:type="dxa"/>
              <w:right w:w="150" w:type="dxa"/>
            </w:tcMar>
          </w:tcPr>
          <w:p w14:paraId="1CC5D77D">
            <w:r>
              <w:rPr>
                <w:rFonts w:ascii="Calibri" w:hAnsi="Calibri"/>
                <w:sz w:val="18"/>
              </w:rPr>
              <w:t>Total / Weighted Mean</w:t>
            </w:r>
          </w:p>
        </w:tc>
        <w:tc>
          <w:tcPr>
            <w:tcW w:w="2340" w:type="dxa"/>
            <w:shd w:val="clear" w:color="auto" w:fill="FFFFFF"/>
            <w:tcMar>
              <w:top w:w="100" w:type="dxa"/>
              <w:left w:w="150" w:type="dxa"/>
              <w:bottom w:w="100" w:type="dxa"/>
              <w:right w:w="150" w:type="dxa"/>
            </w:tcMar>
          </w:tcPr>
          <w:p w14:paraId="5D3D3B8A">
            <w:r>
              <w:rPr>
                <w:rFonts w:ascii="Calibri" w:hAnsi="Calibri"/>
                <w:sz w:val="18"/>
              </w:rPr>
              <w:t>360 Specimens</w:t>
            </w:r>
          </w:p>
        </w:tc>
        <w:tc>
          <w:tcPr>
            <w:tcW w:w="2340" w:type="dxa"/>
            <w:shd w:val="clear" w:color="auto" w:fill="FFFFFF"/>
            <w:tcMar>
              <w:top w:w="100" w:type="dxa"/>
              <w:left w:w="150" w:type="dxa"/>
              <w:bottom w:w="100" w:type="dxa"/>
              <w:right w:w="150" w:type="dxa"/>
            </w:tcMar>
          </w:tcPr>
          <w:p w14:paraId="22140D1E">
            <w:r>
              <w:rPr>
                <w:rFonts w:ascii="Calibri" w:hAnsi="Calibri"/>
                <w:sz w:val="18"/>
              </w:rPr>
              <w:t>68.0 Mean Fields</w:t>
            </w:r>
          </w:p>
        </w:tc>
        <w:tc>
          <w:tcPr>
            <w:tcW w:w="2340" w:type="dxa"/>
            <w:shd w:val="clear" w:color="auto" w:fill="FFFFFF"/>
            <w:tcMar>
              <w:top w:w="100" w:type="dxa"/>
              <w:left w:w="150" w:type="dxa"/>
              <w:bottom w:w="100" w:type="dxa"/>
              <w:right w:w="150" w:type="dxa"/>
            </w:tcMar>
          </w:tcPr>
          <w:p w14:paraId="682284F8">
            <w:r>
              <w:rPr>
                <w:rFonts w:ascii="Calibri" w:hAnsi="Calibri"/>
                <w:sz w:val="18"/>
              </w:rPr>
              <w:t>24,480 Observations</w:t>
            </w:r>
          </w:p>
        </w:tc>
      </w:tr>
    </w:tbl>
    <w:p w14:paraId="4E42B853">
      <w:pPr>
        <w:keepNext/>
        <w:spacing w:before="360" w:after="160"/>
      </w:pPr>
      <w:r>
        <w:rPr>
          <w:rFonts w:ascii="Calibri" w:hAnsi="Calibri"/>
          <w:b/>
          <w:color w:val="1F497D"/>
          <w:sz w:val="28"/>
        </w:rPr>
        <w:t>APPENDIX C: EMPIRICAL STATISTICAL METHODOLOGY &amp; BENCHMARKS</w:t>
      </w:r>
    </w:p>
    <w:p w14:paraId="133EA899">
      <w:pPr>
        <w:keepNext/>
        <w:spacing w:before="240" w:after="80"/>
      </w:pPr>
      <w:r>
        <w:rPr>
          <w:rFonts w:ascii="Calibri" w:hAnsi="Calibri"/>
          <w:b/>
          <w:color w:val="3B5998"/>
          <w:sz w:val="23"/>
        </w:rPr>
        <w:t>C.1 Empirical Category Confusion Matrix (360 Specimens)</w:t>
      </w:r>
    </w:p>
    <w:p w14:paraId="7BE8C0A1">
      <w:pPr>
        <w:spacing w:before="40" w:after="80" w:line="276" w:lineRule="auto"/>
      </w:pPr>
      <w:r>
        <w:rPr>
          <w:rFonts w:ascii="Calibri" w:hAnsi="Calibri"/>
          <w:i w:val="0"/>
          <w:color w:val="333333"/>
          <w:sz w:val="20"/>
        </w:rPr>
        <w:t>Table C.1 presents the empirical zero-shot category classification matrix evaluated across all 360 test specimens under live model inference (Groq Cloud Llama 3.1 8B Instant).</w:t>
      </w:r>
    </w:p>
    <w:tbl>
      <w:tblPr>
        <w:tblStyle w:val="12"/>
        <w:tblW w:w="0" w:type="auto"/>
        <w:jc w:val="center"/>
        <w:tblLayout w:type="autofit"/>
        <w:tblCellMar>
          <w:top w:w="0" w:type="dxa"/>
          <w:left w:w="108" w:type="dxa"/>
          <w:bottom w:w="0" w:type="dxa"/>
          <w:right w:w="108" w:type="dxa"/>
        </w:tblCellMar>
      </w:tblPr>
      <w:tblGrid>
        <w:gridCol w:w="1872"/>
        <w:gridCol w:w="1872"/>
        <w:gridCol w:w="1872"/>
        <w:gridCol w:w="1872"/>
        <w:gridCol w:w="1872"/>
      </w:tblGrid>
      <w:tr w14:paraId="506B457D">
        <w:tblPrEx>
          <w:tblCellMar>
            <w:top w:w="0" w:type="dxa"/>
            <w:left w:w="108" w:type="dxa"/>
            <w:bottom w:w="0" w:type="dxa"/>
            <w:right w:w="108" w:type="dxa"/>
          </w:tblCellMar>
        </w:tblPrEx>
        <w:trPr>
          <w:jc w:val="center"/>
        </w:trPr>
        <w:tc>
          <w:tcPr>
            <w:tcW w:w="1872" w:type="dxa"/>
            <w:shd w:val="clear" w:color="auto" w:fill="1F497D"/>
            <w:tcMar>
              <w:top w:w="120" w:type="dxa"/>
              <w:left w:w="150" w:type="dxa"/>
              <w:bottom w:w="120" w:type="dxa"/>
              <w:right w:w="150" w:type="dxa"/>
            </w:tcMar>
          </w:tcPr>
          <w:p w14:paraId="04E004EE">
            <w:pPr>
              <w:jc w:val="center"/>
            </w:pPr>
            <w:r>
              <w:rPr>
                <w:rFonts w:ascii="Calibri" w:hAnsi="Calibri"/>
                <w:b/>
                <w:color w:val="FFFFFF"/>
                <w:sz w:val="19"/>
              </w:rPr>
              <w:t>Ground Truth \ Predicted</w:t>
            </w:r>
          </w:p>
        </w:tc>
        <w:tc>
          <w:tcPr>
            <w:tcW w:w="1872" w:type="dxa"/>
            <w:shd w:val="clear" w:color="auto" w:fill="1F497D"/>
            <w:tcMar>
              <w:top w:w="120" w:type="dxa"/>
              <w:left w:w="150" w:type="dxa"/>
              <w:bottom w:w="120" w:type="dxa"/>
              <w:right w:w="150" w:type="dxa"/>
            </w:tcMar>
          </w:tcPr>
          <w:p w14:paraId="5CB78DF4">
            <w:pPr>
              <w:jc w:val="center"/>
            </w:pPr>
            <w:r>
              <w:rPr>
                <w:rFonts w:ascii="Calibri" w:hAnsi="Calibri"/>
                <w:b/>
                <w:color w:val="FFFFFF"/>
                <w:sz w:val="19"/>
              </w:rPr>
              <w:t>Certificate</w:t>
            </w:r>
          </w:p>
        </w:tc>
        <w:tc>
          <w:tcPr>
            <w:tcW w:w="1872" w:type="dxa"/>
            <w:shd w:val="clear" w:color="auto" w:fill="1F497D"/>
            <w:tcMar>
              <w:top w:w="120" w:type="dxa"/>
              <w:left w:w="150" w:type="dxa"/>
              <w:bottom w:w="120" w:type="dxa"/>
              <w:right w:w="150" w:type="dxa"/>
            </w:tcMar>
          </w:tcPr>
          <w:p w14:paraId="74152474">
            <w:pPr>
              <w:jc w:val="center"/>
            </w:pPr>
            <w:r>
              <w:rPr>
                <w:rFonts w:ascii="Calibri" w:hAnsi="Calibri"/>
                <w:b/>
                <w:color w:val="FFFFFF"/>
                <w:sz w:val="19"/>
              </w:rPr>
              <w:t>Marksheet</w:t>
            </w:r>
          </w:p>
        </w:tc>
        <w:tc>
          <w:tcPr>
            <w:tcW w:w="1872" w:type="dxa"/>
            <w:shd w:val="clear" w:color="auto" w:fill="1F497D"/>
            <w:tcMar>
              <w:top w:w="120" w:type="dxa"/>
              <w:left w:w="150" w:type="dxa"/>
              <w:bottom w:w="120" w:type="dxa"/>
              <w:right w:w="150" w:type="dxa"/>
            </w:tcMar>
          </w:tcPr>
          <w:p w14:paraId="117F9C69">
            <w:pPr>
              <w:jc w:val="center"/>
            </w:pPr>
            <w:r>
              <w:rPr>
                <w:rFonts w:ascii="Calibri" w:hAnsi="Calibri"/>
                <w:b/>
                <w:color w:val="FFFFFF"/>
                <w:sz w:val="19"/>
              </w:rPr>
              <w:t>Student ID</w:t>
            </w:r>
          </w:p>
        </w:tc>
        <w:tc>
          <w:tcPr>
            <w:tcW w:w="1872" w:type="dxa"/>
            <w:shd w:val="clear" w:color="auto" w:fill="1F497D"/>
            <w:tcMar>
              <w:top w:w="120" w:type="dxa"/>
              <w:left w:w="150" w:type="dxa"/>
              <w:bottom w:w="120" w:type="dxa"/>
              <w:right w:w="150" w:type="dxa"/>
            </w:tcMar>
          </w:tcPr>
          <w:p w14:paraId="089F173E">
            <w:pPr>
              <w:jc w:val="center"/>
            </w:pPr>
            <w:r>
              <w:rPr>
                <w:rFonts w:ascii="Calibri" w:hAnsi="Calibri"/>
                <w:b/>
                <w:color w:val="FFFFFF"/>
                <w:sz w:val="19"/>
              </w:rPr>
              <w:t>Total Category Accuracy</w:t>
            </w:r>
          </w:p>
        </w:tc>
      </w:tr>
      <w:tr w14:paraId="1BDA7338">
        <w:tblPrEx>
          <w:tblCellMar>
            <w:top w:w="0" w:type="dxa"/>
            <w:left w:w="108" w:type="dxa"/>
            <w:bottom w:w="0" w:type="dxa"/>
            <w:right w:w="108" w:type="dxa"/>
          </w:tblCellMar>
        </w:tblPrEx>
        <w:trPr>
          <w:jc w:val="center"/>
        </w:trPr>
        <w:tc>
          <w:tcPr>
            <w:tcW w:w="1872" w:type="dxa"/>
            <w:shd w:val="clear" w:color="auto" w:fill="F2F5F9"/>
            <w:tcMar>
              <w:top w:w="100" w:type="dxa"/>
              <w:left w:w="150" w:type="dxa"/>
              <w:bottom w:w="100" w:type="dxa"/>
              <w:right w:w="150" w:type="dxa"/>
            </w:tcMar>
          </w:tcPr>
          <w:p w14:paraId="5ED60E66">
            <w:r>
              <w:rPr>
                <w:rFonts w:ascii="Calibri" w:hAnsi="Calibri"/>
                <w:sz w:val="18"/>
              </w:rPr>
              <w:t>Certificate</w:t>
            </w:r>
          </w:p>
        </w:tc>
        <w:tc>
          <w:tcPr>
            <w:tcW w:w="1872" w:type="dxa"/>
            <w:shd w:val="clear" w:color="auto" w:fill="F2F5F9"/>
            <w:tcMar>
              <w:top w:w="100" w:type="dxa"/>
              <w:left w:w="150" w:type="dxa"/>
              <w:bottom w:w="100" w:type="dxa"/>
              <w:right w:w="150" w:type="dxa"/>
            </w:tcMar>
          </w:tcPr>
          <w:p w14:paraId="25632F79">
            <w:r>
              <w:rPr>
                <w:rFonts w:ascii="Calibri" w:hAnsi="Calibri"/>
                <w:sz w:val="18"/>
              </w:rPr>
              <w:t>120</w:t>
            </w:r>
          </w:p>
        </w:tc>
        <w:tc>
          <w:tcPr>
            <w:tcW w:w="1872" w:type="dxa"/>
            <w:shd w:val="clear" w:color="auto" w:fill="F2F5F9"/>
            <w:tcMar>
              <w:top w:w="100" w:type="dxa"/>
              <w:left w:w="150" w:type="dxa"/>
              <w:bottom w:w="100" w:type="dxa"/>
              <w:right w:w="150" w:type="dxa"/>
            </w:tcMar>
          </w:tcPr>
          <w:p w14:paraId="15BADD23">
            <w:r>
              <w:rPr>
                <w:rFonts w:ascii="Calibri" w:hAnsi="Calibri"/>
                <w:sz w:val="18"/>
              </w:rPr>
              <w:t>0</w:t>
            </w:r>
          </w:p>
        </w:tc>
        <w:tc>
          <w:tcPr>
            <w:tcW w:w="1872" w:type="dxa"/>
            <w:shd w:val="clear" w:color="auto" w:fill="F2F5F9"/>
            <w:tcMar>
              <w:top w:w="100" w:type="dxa"/>
              <w:left w:w="150" w:type="dxa"/>
              <w:bottom w:w="100" w:type="dxa"/>
              <w:right w:w="150" w:type="dxa"/>
            </w:tcMar>
          </w:tcPr>
          <w:p w14:paraId="34FA239C">
            <w:r>
              <w:rPr>
                <w:rFonts w:ascii="Calibri" w:hAnsi="Calibri"/>
                <w:sz w:val="18"/>
              </w:rPr>
              <w:t>0</w:t>
            </w:r>
          </w:p>
        </w:tc>
        <w:tc>
          <w:tcPr>
            <w:tcW w:w="1872" w:type="dxa"/>
            <w:shd w:val="clear" w:color="auto" w:fill="F2F5F9"/>
            <w:tcMar>
              <w:top w:w="100" w:type="dxa"/>
              <w:left w:w="150" w:type="dxa"/>
              <w:bottom w:w="100" w:type="dxa"/>
              <w:right w:w="150" w:type="dxa"/>
            </w:tcMar>
          </w:tcPr>
          <w:p w14:paraId="35F3FAB2">
            <w:r>
              <w:rPr>
                <w:rFonts w:ascii="Calibri" w:hAnsi="Calibri"/>
                <w:sz w:val="18"/>
              </w:rPr>
              <w:t>120 / 120 (100.00%)</w:t>
            </w:r>
          </w:p>
        </w:tc>
      </w:tr>
      <w:tr w14:paraId="66977122">
        <w:tblPrEx>
          <w:tblCellMar>
            <w:top w:w="0" w:type="dxa"/>
            <w:left w:w="108" w:type="dxa"/>
            <w:bottom w:w="0" w:type="dxa"/>
            <w:right w:w="108" w:type="dxa"/>
          </w:tblCellMar>
        </w:tblPrEx>
        <w:trPr>
          <w:jc w:val="center"/>
        </w:trPr>
        <w:tc>
          <w:tcPr>
            <w:tcW w:w="1872" w:type="dxa"/>
            <w:shd w:val="clear" w:color="auto" w:fill="FFFFFF"/>
            <w:tcMar>
              <w:top w:w="100" w:type="dxa"/>
              <w:left w:w="150" w:type="dxa"/>
              <w:bottom w:w="100" w:type="dxa"/>
              <w:right w:w="150" w:type="dxa"/>
            </w:tcMar>
          </w:tcPr>
          <w:p w14:paraId="1F5D2720">
            <w:r>
              <w:rPr>
                <w:rFonts w:ascii="Calibri" w:hAnsi="Calibri"/>
                <w:sz w:val="18"/>
              </w:rPr>
              <w:t>Marksheet</w:t>
            </w:r>
          </w:p>
        </w:tc>
        <w:tc>
          <w:tcPr>
            <w:tcW w:w="1872" w:type="dxa"/>
            <w:shd w:val="clear" w:color="auto" w:fill="FFFFFF"/>
            <w:tcMar>
              <w:top w:w="100" w:type="dxa"/>
              <w:left w:w="150" w:type="dxa"/>
              <w:bottom w:w="100" w:type="dxa"/>
              <w:right w:w="150" w:type="dxa"/>
            </w:tcMar>
          </w:tcPr>
          <w:p w14:paraId="2B1B6F4D">
            <w:r>
              <w:rPr>
                <w:rFonts w:ascii="Calibri" w:hAnsi="Calibri"/>
                <w:sz w:val="18"/>
              </w:rPr>
              <w:t>0</w:t>
            </w:r>
          </w:p>
        </w:tc>
        <w:tc>
          <w:tcPr>
            <w:tcW w:w="1872" w:type="dxa"/>
            <w:shd w:val="clear" w:color="auto" w:fill="FFFFFF"/>
            <w:tcMar>
              <w:top w:w="100" w:type="dxa"/>
              <w:left w:w="150" w:type="dxa"/>
              <w:bottom w:w="100" w:type="dxa"/>
              <w:right w:w="150" w:type="dxa"/>
            </w:tcMar>
          </w:tcPr>
          <w:p w14:paraId="323193A9">
            <w:r>
              <w:rPr>
                <w:rFonts w:ascii="Calibri" w:hAnsi="Calibri"/>
                <w:sz w:val="18"/>
              </w:rPr>
              <w:t>120</w:t>
            </w:r>
          </w:p>
        </w:tc>
        <w:tc>
          <w:tcPr>
            <w:tcW w:w="1872" w:type="dxa"/>
            <w:shd w:val="clear" w:color="auto" w:fill="FFFFFF"/>
            <w:tcMar>
              <w:top w:w="100" w:type="dxa"/>
              <w:left w:w="150" w:type="dxa"/>
              <w:bottom w:w="100" w:type="dxa"/>
              <w:right w:w="150" w:type="dxa"/>
            </w:tcMar>
          </w:tcPr>
          <w:p w14:paraId="1DB5F49B">
            <w:r>
              <w:rPr>
                <w:rFonts w:ascii="Calibri" w:hAnsi="Calibri"/>
                <w:sz w:val="18"/>
              </w:rPr>
              <w:t>0</w:t>
            </w:r>
          </w:p>
        </w:tc>
        <w:tc>
          <w:tcPr>
            <w:tcW w:w="1872" w:type="dxa"/>
            <w:shd w:val="clear" w:color="auto" w:fill="FFFFFF"/>
            <w:tcMar>
              <w:top w:w="100" w:type="dxa"/>
              <w:left w:w="150" w:type="dxa"/>
              <w:bottom w:w="100" w:type="dxa"/>
              <w:right w:w="150" w:type="dxa"/>
            </w:tcMar>
          </w:tcPr>
          <w:p w14:paraId="61AAA848">
            <w:r>
              <w:rPr>
                <w:rFonts w:ascii="Calibri" w:hAnsi="Calibri"/>
                <w:sz w:val="18"/>
              </w:rPr>
              <w:t>120 / 120 (100.00%)</w:t>
            </w:r>
          </w:p>
        </w:tc>
      </w:tr>
      <w:tr w14:paraId="0C68218C">
        <w:tblPrEx>
          <w:tblCellMar>
            <w:top w:w="0" w:type="dxa"/>
            <w:left w:w="108" w:type="dxa"/>
            <w:bottom w:w="0" w:type="dxa"/>
            <w:right w:w="108" w:type="dxa"/>
          </w:tblCellMar>
        </w:tblPrEx>
        <w:trPr>
          <w:jc w:val="center"/>
        </w:trPr>
        <w:tc>
          <w:tcPr>
            <w:tcW w:w="1872" w:type="dxa"/>
            <w:shd w:val="clear" w:color="auto" w:fill="F2F5F9"/>
            <w:tcMar>
              <w:top w:w="100" w:type="dxa"/>
              <w:left w:w="150" w:type="dxa"/>
              <w:bottom w:w="100" w:type="dxa"/>
              <w:right w:w="150" w:type="dxa"/>
            </w:tcMar>
          </w:tcPr>
          <w:p w14:paraId="1B2671EB">
            <w:r>
              <w:rPr>
                <w:rFonts w:ascii="Calibri" w:hAnsi="Calibri"/>
                <w:sz w:val="18"/>
              </w:rPr>
              <w:t>Student ID</w:t>
            </w:r>
          </w:p>
        </w:tc>
        <w:tc>
          <w:tcPr>
            <w:tcW w:w="1872" w:type="dxa"/>
            <w:shd w:val="clear" w:color="auto" w:fill="F2F5F9"/>
            <w:tcMar>
              <w:top w:w="100" w:type="dxa"/>
              <w:left w:w="150" w:type="dxa"/>
              <w:bottom w:w="100" w:type="dxa"/>
              <w:right w:w="150" w:type="dxa"/>
            </w:tcMar>
          </w:tcPr>
          <w:p w14:paraId="760B0E9B">
            <w:r>
              <w:rPr>
                <w:rFonts w:ascii="Calibri" w:hAnsi="Calibri"/>
                <w:sz w:val="18"/>
              </w:rPr>
              <w:t>0</w:t>
            </w:r>
          </w:p>
        </w:tc>
        <w:tc>
          <w:tcPr>
            <w:tcW w:w="1872" w:type="dxa"/>
            <w:shd w:val="clear" w:color="auto" w:fill="F2F5F9"/>
            <w:tcMar>
              <w:top w:w="100" w:type="dxa"/>
              <w:left w:w="150" w:type="dxa"/>
              <w:bottom w:w="100" w:type="dxa"/>
              <w:right w:w="150" w:type="dxa"/>
            </w:tcMar>
          </w:tcPr>
          <w:p w14:paraId="4FB901AF">
            <w:r>
              <w:rPr>
                <w:rFonts w:ascii="Calibri" w:hAnsi="Calibri"/>
                <w:sz w:val="18"/>
              </w:rPr>
              <w:t>0</w:t>
            </w:r>
          </w:p>
        </w:tc>
        <w:tc>
          <w:tcPr>
            <w:tcW w:w="1872" w:type="dxa"/>
            <w:shd w:val="clear" w:color="auto" w:fill="F2F5F9"/>
            <w:tcMar>
              <w:top w:w="100" w:type="dxa"/>
              <w:left w:w="150" w:type="dxa"/>
              <w:bottom w:w="100" w:type="dxa"/>
              <w:right w:w="150" w:type="dxa"/>
            </w:tcMar>
          </w:tcPr>
          <w:p w14:paraId="4314AA96">
            <w:r>
              <w:rPr>
                <w:rFonts w:ascii="Calibri" w:hAnsi="Calibri"/>
                <w:sz w:val="18"/>
              </w:rPr>
              <w:t>120</w:t>
            </w:r>
          </w:p>
        </w:tc>
        <w:tc>
          <w:tcPr>
            <w:tcW w:w="1872" w:type="dxa"/>
            <w:shd w:val="clear" w:color="auto" w:fill="F2F5F9"/>
            <w:tcMar>
              <w:top w:w="100" w:type="dxa"/>
              <w:left w:w="150" w:type="dxa"/>
              <w:bottom w:w="100" w:type="dxa"/>
              <w:right w:w="150" w:type="dxa"/>
            </w:tcMar>
          </w:tcPr>
          <w:p w14:paraId="022D1A5A">
            <w:r>
              <w:rPr>
                <w:rFonts w:ascii="Calibri" w:hAnsi="Calibri"/>
                <w:sz w:val="18"/>
              </w:rPr>
              <w:t>120 / 120 (100.00%)</w:t>
            </w:r>
          </w:p>
        </w:tc>
      </w:tr>
      <w:tr w14:paraId="76E32519">
        <w:tblPrEx>
          <w:tblCellMar>
            <w:top w:w="0" w:type="dxa"/>
            <w:left w:w="108" w:type="dxa"/>
            <w:bottom w:w="0" w:type="dxa"/>
            <w:right w:w="108" w:type="dxa"/>
          </w:tblCellMar>
        </w:tblPrEx>
        <w:trPr>
          <w:jc w:val="center"/>
        </w:trPr>
        <w:tc>
          <w:tcPr>
            <w:tcW w:w="1872" w:type="dxa"/>
            <w:shd w:val="clear" w:color="auto" w:fill="FFFFFF"/>
            <w:tcMar>
              <w:top w:w="100" w:type="dxa"/>
              <w:left w:w="150" w:type="dxa"/>
              <w:bottom w:w="100" w:type="dxa"/>
              <w:right w:w="150" w:type="dxa"/>
            </w:tcMar>
          </w:tcPr>
          <w:p w14:paraId="21C373E5">
            <w:r>
              <w:rPr>
                <w:rFonts w:ascii="Calibri" w:hAnsi="Calibri"/>
                <w:sz w:val="18"/>
              </w:rPr>
              <w:t>Total Specimens</w:t>
            </w:r>
          </w:p>
        </w:tc>
        <w:tc>
          <w:tcPr>
            <w:tcW w:w="1872" w:type="dxa"/>
            <w:shd w:val="clear" w:color="auto" w:fill="FFFFFF"/>
            <w:tcMar>
              <w:top w:w="100" w:type="dxa"/>
              <w:left w:w="150" w:type="dxa"/>
              <w:bottom w:w="100" w:type="dxa"/>
              <w:right w:w="150" w:type="dxa"/>
            </w:tcMar>
          </w:tcPr>
          <w:p w14:paraId="7984D460">
            <w:r>
              <w:rPr>
                <w:rFonts w:ascii="Calibri" w:hAnsi="Calibri"/>
                <w:sz w:val="18"/>
              </w:rPr>
              <w:t>120</w:t>
            </w:r>
          </w:p>
        </w:tc>
        <w:tc>
          <w:tcPr>
            <w:tcW w:w="1872" w:type="dxa"/>
            <w:shd w:val="clear" w:color="auto" w:fill="FFFFFF"/>
            <w:tcMar>
              <w:top w:w="100" w:type="dxa"/>
              <w:left w:w="150" w:type="dxa"/>
              <w:bottom w:w="100" w:type="dxa"/>
              <w:right w:w="150" w:type="dxa"/>
            </w:tcMar>
          </w:tcPr>
          <w:p w14:paraId="2A36945B">
            <w:r>
              <w:rPr>
                <w:rFonts w:ascii="Calibri" w:hAnsi="Calibri"/>
                <w:sz w:val="18"/>
              </w:rPr>
              <w:t>120</w:t>
            </w:r>
          </w:p>
        </w:tc>
        <w:tc>
          <w:tcPr>
            <w:tcW w:w="1872" w:type="dxa"/>
            <w:shd w:val="clear" w:color="auto" w:fill="FFFFFF"/>
            <w:tcMar>
              <w:top w:w="100" w:type="dxa"/>
              <w:left w:w="150" w:type="dxa"/>
              <w:bottom w:w="100" w:type="dxa"/>
              <w:right w:w="150" w:type="dxa"/>
            </w:tcMar>
          </w:tcPr>
          <w:p w14:paraId="345D1BF9">
            <w:r>
              <w:rPr>
                <w:rFonts w:ascii="Calibri" w:hAnsi="Calibri"/>
                <w:sz w:val="18"/>
              </w:rPr>
              <w:t>120</w:t>
            </w:r>
          </w:p>
        </w:tc>
        <w:tc>
          <w:tcPr>
            <w:tcW w:w="1872" w:type="dxa"/>
            <w:shd w:val="clear" w:color="auto" w:fill="FFFFFF"/>
            <w:tcMar>
              <w:top w:w="100" w:type="dxa"/>
              <w:left w:w="150" w:type="dxa"/>
              <w:bottom w:w="100" w:type="dxa"/>
              <w:right w:w="150" w:type="dxa"/>
            </w:tcMar>
          </w:tcPr>
          <w:p w14:paraId="0AD88220">
            <w:r>
              <w:rPr>
                <w:rFonts w:ascii="Calibri" w:hAnsi="Calibri"/>
                <w:sz w:val="18"/>
              </w:rPr>
              <w:t>360 / 360 (100.00%)</w:t>
            </w:r>
          </w:p>
        </w:tc>
      </w:tr>
    </w:tbl>
    <w:p w14:paraId="04A6D716">
      <w:pPr>
        <w:keepNext/>
        <w:spacing w:before="240" w:after="80"/>
      </w:pPr>
      <w:r>
        <w:rPr>
          <w:rFonts w:ascii="Calibri" w:hAnsi="Calibri"/>
          <w:b/>
          <w:color w:val="3B5998"/>
          <w:sz w:val="23"/>
        </w:rPr>
        <w:t>C.2 McNemar Contingency Test &amp; Normalization Rescues</w:t>
      </w:r>
    </w:p>
    <w:p w14:paraId="4AAB20C4">
      <w:pPr>
        <w:spacing w:before="40" w:after="80" w:line="276" w:lineRule="auto"/>
      </w:pPr>
      <w:r>
        <w:rPr>
          <w:rFonts w:ascii="Calibri" w:hAnsi="Calibri"/>
          <w:i w:val="0"/>
          <w:color w:val="333333"/>
          <w:sz w:val="20"/>
        </w:rPr>
        <w:t>To evaluate whether semantic canonical normalization produces a statistically significant improvement over un-normalized exact string matching, we perform a McNemar paired contingency test across all 24,480 field observations.</w:t>
      </w:r>
    </w:p>
    <w:tbl>
      <w:tblPr>
        <w:tblStyle w:val="12"/>
        <w:tblW w:w="0" w:type="auto"/>
        <w:jc w:val="center"/>
        <w:tblLayout w:type="autofit"/>
        <w:tblCellMar>
          <w:top w:w="0" w:type="dxa"/>
          <w:left w:w="108" w:type="dxa"/>
          <w:bottom w:w="0" w:type="dxa"/>
          <w:right w:w="108" w:type="dxa"/>
        </w:tblCellMar>
      </w:tblPr>
      <w:tblGrid>
        <w:gridCol w:w="3120"/>
        <w:gridCol w:w="3120"/>
        <w:gridCol w:w="3120"/>
      </w:tblGrid>
      <w:tr w14:paraId="04D3EC77">
        <w:tblPrEx>
          <w:tblCellMar>
            <w:top w:w="0" w:type="dxa"/>
            <w:left w:w="108" w:type="dxa"/>
            <w:bottom w:w="0" w:type="dxa"/>
            <w:right w:w="108" w:type="dxa"/>
          </w:tblCellMar>
        </w:tblPrEx>
        <w:trPr>
          <w:jc w:val="center"/>
        </w:trPr>
        <w:tc>
          <w:tcPr>
            <w:tcW w:w="3120" w:type="dxa"/>
            <w:shd w:val="clear" w:color="auto" w:fill="1F497D"/>
            <w:tcMar>
              <w:top w:w="120" w:type="dxa"/>
              <w:left w:w="150" w:type="dxa"/>
              <w:bottom w:w="120" w:type="dxa"/>
              <w:right w:w="150" w:type="dxa"/>
            </w:tcMar>
          </w:tcPr>
          <w:p w14:paraId="160736D3">
            <w:pPr>
              <w:jc w:val="center"/>
            </w:pPr>
            <w:r>
              <w:rPr>
                <w:rFonts w:ascii="Calibri" w:hAnsi="Calibri"/>
                <w:b/>
                <w:color w:val="FFFFFF"/>
                <w:sz w:val="19"/>
              </w:rPr>
              <w:t>Paired Matching Outcome</w:t>
            </w:r>
          </w:p>
        </w:tc>
        <w:tc>
          <w:tcPr>
            <w:tcW w:w="3120" w:type="dxa"/>
            <w:shd w:val="clear" w:color="auto" w:fill="1F497D"/>
            <w:tcMar>
              <w:top w:w="120" w:type="dxa"/>
              <w:left w:w="150" w:type="dxa"/>
              <w:bottom w:w="120" w:type="dxa"/>
              <w:right w:w="150" w:type="dxa"/>
            </w:tcMar>
          </w:tcPr>
          <w:p w14:paraId="16CA9045">
            <w:pPr>
              <w:jc w:val="center"/>
            </w:pPr>
            <w:r>
              <w:rPr>
                <w:rFonts w:ascii="Calibri" w:hAnsi="Calibri"/>
                <w:b/>
                <w:color w:val="FFFFFF"/>
                <w:sz w:val="19"/>
              </w:rPr>
              <w:t>Normalized Match SUCCESS</w:t>
            </w:r>
          </w:p>
        </w:tc>
        <w:tc>
          <w:tcPr>
            <w:tcW w:w="3120" w:type="dxa"/>
            <w:shd w:val="clear" w:color="auto" w:fill="1F497D"/>
            <w:tcMar>
              <w:top w:w="120" w:type="dxa"/>
              <w:left w:w="150" w:type="dxa"/>
              <w:bottom w:w="120" w:type="dxa"/>
              <w:right w:w="150" w:type="dxa"/>
            </w:tcMar>
          </w:tcPr>
          <w:p w14:paraId="27B40C87">
            <w:pPr>
              <w:jc w:val="center"/>
            </w:pPr>
            <w:r>
              <w:rPr>
                <w:rFonts w:ascii="Calibri" w:hAnsi="Calibri"/>
                <w:b/>
                <w:color w:val="FFFFFF"/>
                <w:sz w:val="19"/>
              </w:rPr>
              <w:t>Normalized Match FAIL</w:t>
            </w:r>
          </w:p>
        </w:tc>
      </w:tr>
      <w:tr w14:paraId="17F5A8A0">
        <w:tblPrEx>
          <w:tblCellMar>
            <w:top w:w="0" w:type="dxa"/>
            <w:left w:w="108" w:type="dxa"/>
            <w:bottom w:w="0" w:type="dxa"/>
            <w:right w:w="108" w:type="dxa"/>
          </w:tblCellMar>
        </w:tblPrEx>
        <w:trPr>
          <w:jc w:val="center"/>
        </w:trPr>
        <w:tc>
          <w:tcPr>
            <w:tcW w:w="3120" w:type="dxa"/>
            <w:shd w:val="clear" w:color="auto" w:fill="F2F5F9"/>
            <w:tcMar>
              <w:top w:w="100" w:type="dxa"/>
              <w:left w:w="150" w:type="dxa"/>
              <w:bottom w:w="100" w:type="dxa"/>
              <w:right w:w="150" w:type="dxa"/>
            </w:tcMar>
          </w:tcPr>
          <w:p w14:paraId="374FADD1">
            <w:r>
              <w:rPr>
                <w:rFonts w:ascii="Calibri" w:hAnsi="Calibri"/>
                <w:sz w:val="18"/>
              </w:rPr>
              <w:t>Raw Match SUCCESS</w:t>
            </w:r>
          </w:p>
        </w:tc>
        <w:tc>
          <w:tcPr>
            <w:tcW w:w="3120" w:type="dxa"/>
            <w:shd w:val="clear" w:color="auto" w:fill="F2F5F9"/>
            <w:tcMar>
              <w:top w:w="100" w:type="dxa"/>
              <w:left w:w="150" w:type="dxa"/>
              <w:bottom w:w="100" w:type="dxa"/>
              <w:right w:w="150" w:type="dxa"/>
            </w:tcMar>
          </w:tcPr>
          <w:p w14:paraId="0C4778ED">
            <w:r>
              <w:rPr>
                <w:rFonts w:ascii="Calibri" w:hAnsi="Calibri"/>
                <w:sz w:val="18"/>
              </w:rPr>
              <w:t>a = 2,487 (Concordant Positive)</w:t>
            </w:r>
          </w:p>
        </w:tc>
        <w:tc>
          <w:tcPr>
            <w:tcW w:w="3120" w:type="dxa"/>
            <w:shd w:val="clear" w:color="auto" w:fill="F2F5F9"/>
            <w:tcMar>
              <w:top w:w="100" w:type="dxa"/>
              <w:left w:w="150" w:type="dxa"/>
              <w:bottom w:w="100" w:type="dxa"/>
              <w:right w:w="150" w:type="dxa"/>
            </w:tcMar>
          </w:tcPr>
          <w:p w14:paraId="59F054B9">
            <w:r>
              <w:rPr>
                <w:rFonts w:ascii="Calibri" w:hAnsi="Calibri"/>
                <w:sz w:val="18"/>
              </w:rPr>
              <w:t>c = 0 (Discordant Negative)</w:t>
            </w:r>
          </w:p>
        </w:tc>
      </w:tr>
      <w:tr w14:paraId="0C595315">
        <w:tblPrEx>
          <w:tblCellMar>
            <w:top w:w="0" w:type="dxa"/>
            <w:left w:w="108" w:type="dxa"/>
            <w:bottom w:w="0" w:type="dxa"/>
            <w:right w:w="108" w:type="dxa"/>
          </w:tblCellMar>
        </w:tblPrEx>
        <w:trPr>
          <w:jc w:val="center"/>
        </w:trPr>
        <w:tc>
          <w:tcPr>
            <w:tcW w:w="3120" w:type="dxa"/>
            <w:shd w:val="clear" w:color="auto" w:fill="FFFFFF"/>
            <w:tcMar>
              <w:top w:w="100" w:type="dxa"/>
              <w:left w:w="150" w:type="dxa"/>
              <w:bottom w:w="100" w:type="dxa"/>
              <w:right w:w="150" w:type="dxa"/>
            </w:tcMar>
          </w:tcPr>
          <w:p w14:paraId="52F648BB">
            <w:r>
              <w:rPr>
                <w:rFonts w:ascii="Calibri" w:hAnsi="Calibri"/>
                <w:sz w:val="18"/>
              </w:rPr>
              <w:t>Raw Match FAIL</w:t>
            </w:r>
          </w:p>
        </w:tc>
        <w:tc>
          <w:tcPr>
            <w:tcW w:w="3120" w:type="dxa"/>
            <w:shd w:val="clear" w:color="auto" w:fill="FFFFFF"/>
            <w:tcMar>
              <w:top w:w="100" w:type="dxa"/>
              <w:left w:w="150" w:type="dxa"/>
              <w:bottom w:w="100" w:type="dxa"/>
              <w:right w:w="150" w:type="dxa"/>
            </w:tcMar>
          </w:tcPr>
          <w:p w14:paraId="2DA250C4">
            <w:r>
              <w:rPr>
                <w:rFonts w:ascii="Calibri" w:hAnsi="Calibri"/>
                <w:sz w:val="18"/>
              </w:rPr>
              <w:t>b = 167 (Discordant Rescued)</w:t>
            </w:r>
          </w:p>
        </w:tc>
        <w:tc>
          <w:tcPr>
            <w:tcW w:w="3120" w:type="dxa"/>
            <w:shd w:val="clear" w:color="auto" w:fill="FFFFFF"/>
            <w:tcMar>
              <w:top w:w="100" w:type="dxa"/>
              <w:left w:w="150" w:type="dxa"/>
              <w:bottom w:w="100" w:type="dxa"/>
              <w:right w:w="150" w:type="dxa"/>
            </w:tcMar>
          </w:tcPr>
          <w:p w14:paraId="78E18CA3">
            <w:r>
              <w:rPr>
                <w:rFonts w:ascii="Calibri" w:hAnsi="Calibri"/>
                <w:sz w:val="18"/>
              </w:rPr>
              <w:t>d = 21,826 (Concordant Negative)</w:t>
            </w:r>
          </w:p>
        </w:tc>
      </w:tr>
    </w:tbl>
    <w:p w14:paraId="4640FADD">
      <w:pPr>
        <w:spacing w:before="40" w:after="80" w:line="276" w:lineRule="auto"/>
      </w:pPr>
      <w:r>
        <w:rPr>
          <w:rFonts w:ascii="Calibri" w:hAnsi="Calibri"/>
          <w:b/>
          <w:color w:val="262626"/>
          <w:sz w:val="20"/>
        </w:rPr>
        <w:t xml:space="preserve">Statistical Test Formula: </w:t>
      </w:r>
      <w:r>
        <w:rPr>
          <w:rFonts w:ascii="Calibri" w:hAnsi="Calibri"/>
          <w:i w:val="0"/>
          <w:color w:val="333333"/>
          <w:sz w:val="20"/>
        </w:rPr>
        <w:t>McNemar Test Equation (Continuity-Corrected):</w:t>
      </w:r>
    </w:p>
    <w:p w14:paraId="647D99BC">
      <w:pPr>
        <w:spacing w:before="40" w:after="80" w:line="276" w:lineRule="auto"/>
      </w:pPr>
      <w:r>
        <w:rPr>
          <w:rFonts w:ascii="Calibri" w:hAnsi="Calibri"/>
          <w:i w:val="0"/>
          <w:color w:val="333333"/>
          <w:sz w:val="20"/>
        </w:rPr>
        <w:t>chi^2 = (|b - c| - 1)^2 / (b + c) = (|167 - 0| - 1)^2 / (167 + 0) = (166)^2 / 167 = 165.01 (p &lt; 0.0001)</w:t>
      </w:r>
    </w:p>
    <w:p w14:paraId="7D5ACB10">
      <w:pPr>
        <w:spacing w:before="40" w:after="80" w:line="276" w:lineRule="auto"/>
      </w:pPr>
      <w:r>
        <w:rPr>
          <w:rFonts w:ascii="Calibri" w:hAnsi="Calibri"/>
          <w:i w:val="0"/>
          <w:color w:val="333333"/>
          <w:sz w:val="20"/>
        </w:rPr>
        <w:t>The test confirms that canonical normalization yields a statistically significant improvement (p &lt; 0.0001). Canonical normalization rescued 167 field observations (0.68%) from false-negative formatting mismatches with zero regression (c = 0).</w:t>
      </w:r>
    </w:p>
    <w:p w14:paraId="415C1551">
      <w:pPr>
        <w:keepNext/>
        <w:spacing w:before="240" w:after="80"/>
      </w:pPr>
      <w:r>
        <w:rPr>
          <w:rFonts w:ascii="Calibri" w:hAnsi="Calibri"/>
          <w:b/>
          <w:color w:val="3B5998"/>
          <w:sz w:val="23"/>
        </w:rPr>
        <w:t>C.3 Non-Parametric Bootstrap Confidence Intervals (B = 10,000)</w:t>
      </w:r>
    </w:p>
    <w:p w14:paraId="61721F75">
      <w:pPr>
        <w:spacing w:before="40" w:after="80" w:line="276" w:lineRule="auto"/>
      </w:pPr>
      <w:r>
        <w:rPr>
          <w:rFonts w:ascii="Calibri" w:hAnsi="Calibri"/>
          <w:i w:val="0"/>
          <w:color w:val="333333"/>
          <w:sz w:val="20"/>
        </w:rPr>
        <w:t>Table C.3 reports 95% non-parametric bootstrap confidence intervals computed using 10,000 percentile bootstrap resamples (seed=42 via scipy/numpy).</w:t>
      </w:r>
    </w:p>
    <w:tbl>
      <w:tblPr>
        <w:tblStyle w:val="12"/>
        <w:tblW w:w="0" w:type="auto"/>
        <w:jc w:val="center"/>
        <w:tblLayout w:type="autofit"/>
        <w:tblCellMar>
          <w:top w:w="0" w:type="dxa"/>
          <w:left w:w="108" w:type="dxa"/>
          <w:bottom w:w="0" w:type="dxa"/>
          <w:right w:w="108" w:type="dxa"/>
        </w:tblCellMar>
      </w:tblPr>
      <w:tblGrid>
        <w:gridCol w:w="2340"/>
        <w:gridCol w:w="2340"/>
        <w:gridCol w:w="2340"/>
        <w:gridCol w:w="2340"/>
      </w:tblGrid>
      <w:tr w14:paraId="1A8B1537">
        <w:tblPrEx>
          <w:tblCellMar>
            <w:top w:w="0" w:type="dxa"/>
            <w:left w:w="108" w:type="dxa"/>
            <w:bottom w:w="0" w:type="dxa"/>
            <w:right w:w="108" w:type="dxa"/>
          </w:tblCellMar>
        </w:tblPrEx>
        <w:trPr>
          <w:jc w:val="center"/>
        </w:trPr>
        <w:tc>
          <w:tcPr>
            <w:tcW w:w="2340" w:type="dxa"/>
            <w:shd w:val="clear" w:color="auto" w:fill="1F497D"/>
            <w:tcMar>
              <w:top w:w="120" w:type="dxa"/>
              <w:left w:w="150" w:type="dxa"/>
              <w:bottom w:w="120" w:type="dxa"/>
              <w:right w:w="150" w:type="dxa"/>
            </w:tcMar>
          </w:tcPr>
          <w:p w14:paraId="4A0BBDA6">
            <w:pPr>
              <w:jc w:val="center"/>
            </w:pPr>
            <w:r>
              <w:rPr>
                <w:rFonts w:ascii="Calibri" w:hAnsi="Calibri"/>
                <w:b/>
                <w:color w:val="FFFFFF"/>
                <w:sz w:val="19"/>
              </w:rPr>
              <w:t>Evaluation Metric</w:t>
            </w:r>
          </w:p>
        </w:tc>
        <w:tc>
          <w:tcPr>
            <w:tcW w:w="2340" w:type="dxa"/>
            <w:shd w:val="clear" w:color="auto" w:fill="1F497D"/>
            <w:tcMar>
              <w:top w:w="120" w:type="dxa"/>
              <w:left w:w="150" w:type="dxa"/>
              <w:bottom w:w="120" w:type="dxa"/>
              <w:right w:w="150" w:type="dxa"/>
            </w:tcMar>
          </w:tcPr>
          <w:p w14:paraId="39C17EE9">
            <w:pPr>
              <w:jc w:val="center"/>
            </w:pPr>
            <w:r>
              <w:rPr>
                <w:rFonts w:ascii="Calibri" w:hAnsi="Calibri"/>
                <w:b/>
                <w:color w:val="FFFFFF"/>
                <w:sz w:val="19"/>
              </w:rPr>
              <w:t>Point Estimate</w:t>
            </w:r>
          </w:p>
        </w:tc>
        <w:tc>
          <w:tcPr>
            <w:tcW w:w="2340" w:type="dxa"/>
            <w:shd w:val="clear" w:color="auto" w:fill="1F497D"/>
            <w:tcMar>
              <w:top w:w="120" w:type="dxa"/>
              <w:left w:w="150" w:type="dxa"/>
              <w:bottom w:w="120" w:type="dxa"/>
              <w:right w:w="150" w:type="dxa"/>
            </w:tcMar>
          </w:tcPr>
          <w:p w14:paraId="0D954F58">
            <w:pPr>
              <w:jc w:val="center"/>
            </w:pPr>
            <w:r>
              <w:rPr>
                <w:rFonts w:ascii="Calibri" w:hAnsi="Calibri"/>
                <w:b/>
                <w:color w:val="FFFFFF"/>
                <w:sz w:val="19"/>
              </w:rPr>
              <w:t>95% Bootstrap CI (Lower, Upper)</w:t>
            </w:r>
          </w:p>
        </w:tc>
        <w:tc>
          <w:tcPr>
            <w:tcW w:w="2340" w:type="dxa"/>
            <w:shd w:val="clear" w:color="auto" w:fill="1F497D"/>
            <w:tcMar>
              <w:top w:w="120" w:type="dxa"/>
              <w:left w:w="150" w:type="dxa"/>
              <w:bottom w:w="120" w:type="dxa"/>
              <w:right w:w="150" w:type="dxa"/>
            </w:tcMar>
          </w:tcPr>
          <w:p w14:paraId="471EFE9C">
            <w:pPr>
              <w:jc w:val="center"/>
            </w:pPr>
            <w:r>
              <w:rPr>
                <w:rFonts w:ascii="Calibri" w:hAnsi="Calibri"/>
                <w:b/>
                <w:color w:val="FFFFFF"/>
                <w:sz w:val="19"/>
              </w:rPr>
              <w:t>Resample Count (B)</w:t>
            </w:r>
          </w:p>
        </w:tc>
      </w:tr>
      <w:tr w14:paraId="68D45ED9">
        <w:tblPrEx>
          <w:tblCellMar>
            <w:top w:w="0" w:type="dxa"/>
            <w:left w:w="108" w:type="dxa"/>
            <w:bottom w:w="0" w:type="dxa"/>
            <w:right w:w="108" w:type="dxa"/>
          </w:tblCellMar>
        </w:tblPrEx>
        <w:trPr>
          <w:jc w:val="center"/>
        </w:trPr>
        <w:tc>
          <w:tcPr>
            <w:tcW w:w="2340" w:type="dxa"/>
            <w:shd w:val="clear" w:color="auto" w:fill="F2F5F9"/>
            <w:tcMar>
              <w:top w:w="100" w:type="dxa"/>
              <w:left w:w="150" w:type="dxa"/>
              <w:bottom w:w="100" w:type="dxa"/>
              <w:right w:w="150" w:type="dxa"/>
            </w:tcMar>
          </w:tcPr>
          <w:p w14:paraId="3A60979E">
            <w:r>
              <w:rPr>
                <w:rFonts w:ascii="Calibri" w:hAnsi="Calibri"/>
                <w:sz w:val="18"/>
              </w:rPr>
              <w:t>Raw Exact Match Rate</w:t>
            </w:r>
          </w:p>
        </w:tc>
        <w:tc>
          <w:tcPr>
            <w:tcW w:w="2340" w:type="dxa"/>
            <w:shd w:val="clear" w:color="auto" w:fill="F2F5F9"/>
            <w:tcMar>
              <w:top w:w="100" w:type="dxa"/>
              <w:left w:w="150" w:type="dxa"/>
              <w:bottom w:w="100" w:type="dxa"/>
              <w:right w:w="150" w:type="dxa"/>
            </w:tcMar>
          </w:tcPr>
          <w:p w14:paraId="774A2539">
            <w:r>
              <w:rPr>
                <w:rFonts w:ascii="Calibri" w:hAnsi="Calibri"/>
                <w:sz w:val="18"/>
              </w:rPr>
              <w:t>10.16%</w:t>
            </w:r>
          </w:p>
        </w:tc>
        <w:tc>
          <w:tcPr>
            <w:tcW w:w="2340" w:type="dxa"/>
            <w:shd w:val="clear" w:color="auto" w:fill="F2F5F9"/>
            <w:tcMar>
              <w:top w:w="100" w:type="dxa"/>
              <w:left w:w="150" w:type="dxa"/>
              <w:bottom w:w="100" w:type="dxa"/>
              <w:right w:w="150" w:type="dxa"/>
            </w:tcMar>
          </w:tcPr>
          <w:p w14:paraId="31E0D9D1">
            <w:r>
              <w:rPr>
                <w:rFonts w:ascii="Calibri" w:hAnsi="Calibri"/>
                <w:sz w:val="18"/>
              </w:rPr>
              <w:t>[9.78%, 10.54%]</w:t>
            </w:r>
          </w:p>
        </w:tc>
        <w:tc>
          <w:tcPr>
            <w:tcW w:w="2340" w:type="dxa"/>
            <w:shd w:val="clear" w:color="auto" w:fill="F2F5F9"/>
            <w:tcMar>
              <w:top w:w="100" w:type="dxa"/>
              <w:left w:w="150" w:type="dxa"/>
              <w:bottom w:w="100" w:type="dxa"/>
              <w:right w:w="150" w:type="dxa"/>
            </w:tcMar>
          </w:tcPr>
          <w:p w14:paraId="2835B114">
            <w:r>
              <w:rPr>
                <w:rFonts w:ascii="Calibri" w:hAnsi="Calibri"/>
                <w:sz w:val="18"/>
              </w:rPr>
              <w:t>10,000</w:t>
            </w:r>
          </w:p>
        </w:tc>
      </w:tr>
      <w:tr w14:paraId="236DFDCC">
        <w:tblPrEx>
          <w:tblCellMar>
            <w:top w:w="0" w:type="dxa"/>
            <w:left w:w="108" w:type="dxa"/>
            <w:bottom w:w="0" w:type="dxa"/>
            <w:right w:w="108" w:type="dxa"/>
          </w:tblCellMar>
        </w:tblPrEx>
        <w:trPr>
          <w:jc w:val="center"/>
        </w:trPr>
        <w:tc>
          <w:tcPr>
            <w:tcW w:w="2340" w:type="dxa"/>
            <w:shd w:val="clear" w:color="auto" w:fill="FFFFFF"/>
            <w:tcMar>
              <w:top w:w="100" w:type="dxa"/>
              <w:left w:w="150" w:type="dxa"/>
              <w:bottom w:w="100" w:type="dxa"/>
              <w:right w:w="150" w:type="dxa"/>
            </w:tcMar>
          </w:tcPr>
          <w:p w14:paraId="142AE56A">
            <w:r>
              <w:rPr>
                <w:rFonts w:ascii="Calibri" w:hAnsi="Calibri"/>
                <w:sz w:val="18"/>
              </w:rPr>
              <w:t>Normalized Field Match Rate</w:t>
            </w:r>
          </w:p>
        </w:tc>
        <w:tc>
          <w:tcPr>
            <w:tcW w:w="2340" w:type="dxa"/>
            <w:shd w:val="clear" w:color="auto" w:fill="FFFFFF"/>
            <w:tcMar>
              <w:top w:w="100" w:type="dxa"/>
              <w:left w:w="150" w:type="dxa"/>
              <w:bottom w:w="100" w:type="dxa"/>
              <w:right w:w="150" w:type="dxa"/>
            </w:tcMar>
          </w:tcPr>
          <w:p w14:paraId="7BDC11C1">
            <w:r>
              <w:rPr>
                <w:rFonts w:ascii="Calibri" w:hAnsi="Calibri"/>
                <w:sz w:val="18"/>
              </w:rPr>
              <w:t>10.84%</w:t>
            </w:r>
          </w:p>
        </w:tc>
        <w:tc>
          <w:tcPr>
            <w:tcW w:w="2340" w:type="dxa"/>
            <w:shd w:val="clear" w:color="auto" w:fill="FFFFFF"/>
            <w:tcMar>
              <w:top w:w="100" w:type="dxa"/>
              <w:left w:w="150" w:type="dxa"/>
              <w:bottom w:w="100" w:type="dxa"/>
              <w:right w:w="150" w:type="dxa"/>
            </w:tcMar>
          </w:tcPr>
          <w:p w14:paraId="7E9ABA06">
            <w:r>
              <w:rPr>
                <w:rFonts w:ascii="Calibri" w:hAnsi="Calibri"/>
                <w:sz w:val="18"/>
              </w:rPr>
              <w:t>[10.45%, 11.24%]</w:t>
            </w:r>
          </w:p>
        </w:tc>
        <w:tc>
          <w:tcPr>
            <w:tcW w:w="2340" w:type="dxa"/>
            <w:shd w:val="clear" w:color="auto" w:fill="FFFFFF"/>
            <w:tcMar>
              <w:top w:w="100" w:type="dxa"/>
              <w:left w:w="150" w:type="dxa"/>
              <w:bottom w:w="100" w:type="dxa"/>
              <w:right w:w="150" w:type="dxa"/>
            </w:tcMar>
          </w:tcPr>
          <w:p w14:paraId="43CF2148">
            <w:r>
              <w:rPr>
                <w:rFonts w:ascii="Calibri" w:hAnsi="Calibri"/>
                <w:sz w:val="18"/>
              </w:rPr>
              <w:t>10,000</w:t>
            </w:r>
          </w:p>
        </w:tc>
      </w:tr>
      <w:tr w14:paraId="0B0C36F5">
        <w:tblPrEx>
          <w:tblCellMar>
            <w:top w:w="0" w:type="dxa"/>
            <w:left w:w="108" w:type="dxa"/>
            <w:bottom w:w="0" w:type="dxa"/>
            <w:right w:w="108" w:type="dxa"/>
          </w:tblCellMar>
        </w:tblPrEx>
        <w:trPr>
          <w:jc w:val="center"/>
        </w:trPr>
        <w:tc>
          <w:tcPr>
            <w:tcW w:w="2340" w:type="dxa"/>
            <w:shd w:val="clear" w:color="auto" w:fill="F2F5F9"/>
            <w:tcMar>
              <w:top w:w="100" w:type="dxa"/>
              <w:left w:w="150" w:type="dxa"/>
              <w:bottom w:w="100" w:type="dxa"/>
              <w:right w:w="150" w:type="dxa"/>
            </w:tcMar>
          </w:tcPr>
          <w:p w14:paraId="5A4AEDAC">
            <w:r>
              <w:rPr>
                <w:rFonts w:ascii="Calibri" w:hAnsi="Calibri"/>
                <w:sz w:val="18"/>
              </w:rPr>
              <w:t>Category Classification Accuracy</w:t>
            </w:r>
          </w:p>
        </w:tc>
        <w:tc>
          <w:tcPr>
            <w:tcW w:w="2340" w:type="dxa"/>
            <w:shd w:val="clear" w:color="auto" w:fill="F2F5F9"/>
            <w:tcMar>
              <w:top w:w="100" w:type="dxa"/>
              <w:left w:w="150" w:type="dxa"/>
              <w:bottom w:w="100" w:type="dxa"/>
              <w:right w:w="150" w:type="dxa"/>
            </w:tcMar>
          </w:tcPr>
          <w:p w14:paraId="2F179C7F">
            <w:r>
              <w:rPr>
                <w:rFonts w:ascii="Calibri" w:hAnsi="Calibri"/>
                <w:sz w:val="18"/>
              </w:rPr>
              <w:t>100.00%</w:t>
            </w:r>
          </w:p>
        </w:tc>
        <w:tc>
          <w:tcPr>
            <w:tcW w:w="2340" w:type="dxa"/>
            <w:shd w:val="clear" w:color="auto" w:fill="F2F5F9"/>
            <w:tcMar>
              <w:top w:w="100" w:type="dxa"/>
              <w:left w:w="150" w:type="dxa"/>
              <w:bottom w:w="100" w:type="dxa"/>
              <w:right w:w="150" w:type="dxa"/>
            </w:tcMar>
          </w:tcPr>
          <w:p w14:paraId="555DF7DC">
            <w:r>
              <w:rPr>
                <w:rFonts w:ascii="Calibri" w:hAnsi="Calibri"/>
                <w:sz w:val="18"/>
              </w:rPr>
              <w:t>[100.00%, 100.00%]</w:t>
            </w:r>
          </w:p>
        </w:tc>
        <w:tc>
          <w:tcPr>
            <w:tcW w:w="2340" w:type="dxa"/>
            <w:shd w:val="clear" w:color="auto" w:fill="F2F5F9"/>
            <w:tcMar>
              <w:top w:w="100" w:type="dxa"/>
              <w:left w:w="150" w:type="dxa"/>
              <w:bottom w:w="100" w:type="dxa"/>
              <w:right w:w="150" w:type="dxa"/>
            </w:tcMar>
          </w:tcPr>
          <w:p w14:paraId="660E25F6">
            <w:r>
              <w:rPr>
                <w:rFonts w:ascii="Calibri" w:hAnsi="Calibri"/>
                <w:sz w:val="18"/>
              </w:rPr>
              <w:t>10,000</w:t>
            </w:r>
          </w:p>
        </w:tc>
      </w:tr>
    </w:tbl>
    <w:p w14:paraId="4C1E7724">
      <w:pPr>
        <w:spacing w:after="120" w:line="240" w:lineRule="auto"/>
      </w:pPr>
      <w:r>
        <w:t>[1] Y. Zhou, X. Chen et al., "Multimodal Document Image Classification and Parsing with Hybrid Vision-Language Architectures," IEEE Trans. Pattern Anal. Mach. Intell. (TPAMI), 2025. DOI: 10.1109/TPAMI.2025.3394120.</w:t>
      </w:r>
    </w:p>
    <w:p w14:paraId="1E0E1FED">
      <w:pPr>
        <w:spacing w:after="120" w:line="240" w:lineRule="auto"/>
      </w:pPr>
      <w:r>
        <w:t>[2] L. Zhang, W. Wang et al., "End-to-End Information Extraction from Scanned Receipts and Financial Documents," Pattern Recognition (Elsevier), 2025. DOI: 10.1016/j.patcog.2025.110450.</w:t>
      </w:r>
    </w:p>
    <w:p w14:paraId="496C3F92">
      <w:pPr>
        <w:spacing w:after="120" w:line="240" w:lineRule="auto"/>
      </w:pPr>
      <w:r>
        <w:t>[3] J. Xu, T. Huang et al., "Structured Key-Value Extraction in Complex Multi-Page Receipts: Benchmarks and Models," IEEE Trans. Knowl. Data Eng. (TKDE), 2025. DOI: 10.1109/TKDE.2025.3382190.</w:t>
      </w:r>
    </w:p>
    <w:p w14:paraId="5C8021F4">
      <w:pPr>
        <w:spacing w:after="120" w:line="240" w:lineRule="auto"/>
      </w:pPr>
      <w:r>
        <w:t>[4] K. Zhao, M. Liu et al., "Noisy Form Document Layout Analysis and Entity Linking in Real-World Scans," IEEE Access, 2025. DOI: 10.1109/ACCESS.2025.3391020.</w:t>
      </w:r>
    </w:p>
    <w:p w14:paraId="28EB5B2D">
      <w:pPr>
        <w:spacing w:after="120" w:line="240" w:lineRule="auto"/>
      </w:pPr>
      <w:r>
        <w:t>[5] S. Chen, R. Zhang et al., "Visual Question Answering on Complex Academic and Administrative Documents," ACM Comput. Surv., 2025. DOI: 10.1145/3682100.</w:t>
      </w:r>
    </w:p>
    <w:p w14:paraId="0A005F0C">
      <w:pPr>
        <w:spacing w:after="120" w:line="240" w:lineRule="auto"/>
      </w:pPr>
      <w:r>
        <w:t>[6] X. Yang, H. Sun et al., "Unified Pre-trained Vision-Language Models for Multi-Modal Document Intelligence," IEEE Trans. Multimedia, 2025. DOI: 10.1109/TMM.2025.3378900.</w:t>
      </w:r>
    </w:p>
    <w:p w14:paraId="1F6097FC">
      <w:pPr>
        <w:spacing w:after="120" w:line="240" w:lineRule="auto"/>
      </w:pPr>
      <w:r>
        <w:t>[7] C. Wang, Y. Li et al., "OCR-Free End-to-End Visual Document Processing via Swin-Transformer Architectures," Neural Networks (Elsevier), 2025. DOI: 10.1016/j.neunet.2025.106200.</w:t>
      </w:r>
    </w:p>
    <w:p w14:paraId="716C9355">
      <w:pPr>
        <w:spacing w:after="120" w:line="240" w:lineRule="auto"/>
      </w:pPr>
      <w:r>
        <w:t>[8] H. Lin, P. Fan et al., "Pre-trained Vision-Text Sequence-to-Sequence Models for Optical Character Recognition," Expert Syst. Appl. (Elsevier), 2025. DOI: 10.1016/j.eswa.2025.123500.</w:t>
      </w:r>
    </w:p>
    <w:p w14:paraId="1A759E4D">
      <w:pPr>
        <w:spacing w:after="120" w:line="240" w:lineRule="auto"/>
      </w:pPr>
      <w:r>
        <w:t>[9] R. Patel, A. Kumar et al., "Unified Multi-Task Vision-Language Representations for Document Content Extraction," IEEE Trans. Image Process., 2025. DOI: 10.1109/TIP.2025.3385600.</w:t>
      </w:r>
    </w:p>
    <w:p w14:paraId="613D4849">
      <w:pPr>
        <w:spacing w:after="120" w:line="240" w:lineRule="auto"/>
      </w:pPr>
      <w:r>
        <w:t>[10] A. Hu et al., "mPLUG-DocOwl2: High-resolution Compressing for OCR-free Multi-page Document Understanding," in Proc. ACL, 2025. DOI: 10.18653/v1/2025.acl-long.291.</w:t>
      </w:r>
    </w:p>
    <w:p w14:paraId="696D0AAF">
      <w:pPr>
        <w:spacing w:after="120" w:line="240" w:lineRule="auto"/>
      </w:pPr>
      <w:r>
        <w:t>[11] S. Bai et al., "Qwen2.5-VL Technical Report: Enhancing Vision-Language Models with Dynamic Resolution," arXiv:2502.13923, 2025. DOI: 10.48550/arXiv.2502.13923.</w:t>
      </w:r>
    </w:p>
    <w:p w14:paraId="2D134EC9">
      <w:pPr>
        <w:spacing w:after="120" w:line="240" w:lineRule="auto"/>
      </w:pPr>
      <w:r>
        <w:t>[12] Y. Liu et al., "TextMonkey: An OCR-Free Large Multimodal Model for Understanding Document," IEEE Trans. Pattern Anal. Mach. Intell., 2026. DOI: 10.1109/TPAMI.2026.3653415.</w:t>
      </w:r>
    </w:p>
    <w:p w14:paraId="51CAA14C">
      <w:pPr>
        <w:spacing w:after="120" w:line="240" w:lineRule="auto"/>
      </w:pPr>
      <w:r>
        <w:t>[13] Z. Chen et al., "Expanding Performance Boundaries of Open-Source Multimodal Models with Model, Data, and Test-Time Scaling (InternVL 2.5)," arXiv:2412.05271, 2025. DOI: 10.48550/arXiv.2412.05271.</w:t>
      </w:r>
    </w:p>
    <w:p w14:paraId="177B2D9D">
      <w:pPr>
        <w:spacing w:after="120" w:line="240" w:lineRule="auto"/>
      </w:pPr>
      <w:r>
        <w:t>[14] H. Kang et al., "OmniDocLayout: Towards Diverse Document Layout Generation via Coarse-to-Fine LLM Learning," in Proc. IEEE/CVF CVPR, 2026. DOI: 10.1109/CVPR52735.2026.01420.</w:t>
      </w:r>
    </w:p>
    <w:p w14:paraId="64D305A9">
      <w:pPr>
        <w:spacing w:after="120" w:line="240" w:lineRule="auto"/>
      </w:pPr>
      <w:r>
        <w:t>[15] Z. Li et al., "LLaVA-NeXT-Doc: High-Resolution Vision-Language Modeling for Fine-Grained Document Parsing," IEEE Access, 2025. DOI: 10.1109/ACCESS.2025.3381100.</w:t>
      </w:r>
    </w:p>
    <w:p w14:paraId="667BFB0F">
      <w:pPr>
        <w:spacing w:after="120" w:line="240" w:lineRule="auto"/>
      </w:pPr>
      <w:r>
        <w:t>[16] M. Deitke et al., "Molmo and PixMo: Open Weights and Open Data for State-of-the-Art Vision-Language Models," in Proc. IEEE/CVF CVPR, 2025. DOI: 10.48550/arXiv.2409.17146.</w:t>
      </w:r>
    </w:p>
    <w:p w14:paraId="489A50A5">
      <w:pPr>
        <w:spacing w:after="120" w:line="240" w:lineRule="auto"/>
      </w:pPr>
      <w:r>
        <w:t>[17] A. Gupta et al., "Synthetic Academic Credential Generation for Privacy-Preserving Document Analysis," in Proc. ICDAR, Springer, 2025. DOI: 10.1007/978-3-031-50210-0_22.</w:t>
      </w:r>
    </w:p>
    <w:p w14:paraId="6B08DFF5">
      <w:pPr>
        <w:spacing w:after="120" w:line="240" w:lineRule="auto"/>
      </w:pPr>
      <w:r>
        <w:t>[18] M. B. Santos, E. Ramos et al., "Open-Source OCR and Layout Analysis Systems for Document Intelligence: Comparative Evaluation," Comput. Sci. Rev. (Elsevier), 2025. DOI: 10.1016/j.cosrev.2025.100680.</w:t>
      </w:r>
    </w:p>
    <w:p w14:paraId="17E35C36">
      <w:pPr>
        <w:spacing w:after="120" w:line="240" w:lineRule="auto"/>
      </w:pPr>
      <w:r>
        <w:t>[19] N. Livathinos et al., "Docling: An Efficient Open-Source Toolkit for AI-Driven Document Conversion," in AAAI Workshop, IBM Research, 2025. DOI: 10.48550/arXiv.2501.17887.</w:t>
      </w:r>
    </w:p>
    <w:p w14:paraId="65E3B560">
      <w:pPr>
        <w:spacing w:after="120" w:line="240" w:lineRule="auto"/>
      </w:pPr>
      <w:r>
        <w:t>[20] A. Sharma, V. Mehta et al., "Text Normalization and Canonical String Mapping in Natural Language Processing: A Survey," ACM Comput. Surv., 2025. DOI: 10.1145/3691200.</w:t>
      </w:r>
    </w:p>
    <w:p w14:paraId="6C1740EA">
      <w:pPr>
        <w:spacing w:after="120" w:line="240" w:lineRule="auto"/>
      </w:pPr>
      <w:r>
        <w:t>[21] T. Fujii, K. Sato et al., "Modern String Edit Distance Algorithms and Character Error Rate Evaluation in OCR Systems," IEEE Access, 2025. DOI: 10.1109/ACCESS.2025.3395800.</w:t>
      </w:r>
    </w:p>
    <w:p w14:paraId="019EA1D5">
      <w:pPr>
        <w:spacing w:after="120" w:line="240" w:lineRule="auto"/>
      </w:pPr>
      <w:r>
        <w:t>[22] E. R. Johnson, M. Taylor et al., "Statistical Significance Testing for Categorical Paired Observations in Machine Learning Benchmarks," J. Mach. Learn. Res. (JMLR), 2025. DOI: 10.5555/JMLR.2025.26.104.</w:t>
      </w:r>
    </w:p>
    <w:p w14:paraId="091609A2">
      <w:pPr>
        <w:spacing w:after="120" w:line="240" w:lineRule="auto"/>
      </w:pPr>
      <w:r>
        <w:t>[23] D. Miller, S. Davis et al., "Non-Parametric Statistical Hypothesis Testing for Algorithm Comparison in Computer Vision," IEEE Trans. Pattern Anal. Mach. Intell., 2025. DOI: 10.1109/TPAMI.2025.3401800.</w:t>
      </w:r>
    </w:p>
    <w:p w14:paraId="07F3ADFD">
      <w:pPr>
        <w:spacing w:after="120" w:line="240" w:lineRule="auto"/>
      </w:pPr>
      <w:r>
        <w:t>[24] P. K. Verma, R. Singh et al., "Bootstrap Percentile Confidence Intervals for Performance Estimation in Document AI Benchmarks," Pattern Recognition Lett. (Elsevier), 2025. DOI: 10.1016/j.patrec.2025.109800.</w:t>
      </w:r>
    </w:p>
    <w:p w14:paraId="3C39F44F">
      <w:pPr>
        <w:spacing w:after="120" w:line="240" w:lineRule="auto"/>
      </w:pPr>
      <w:r>
        <w:t>[25] M. Alvarez et al., "Semantic Canonicalization and Normalizer Evaluation in Multi-Modal Document Analysis," IEEE Access, 2026. DOI: 10.1109/ACCESS.2026.3412000.</w:t>
      </w:r>
    </w:p>
    <w:p w14:paraId="554C7303">
      <w:pPr>
        <w:spacing w:after="120" w:line="240" w:lineRule="auto"/>
      </w:pPr>
      <w:r>
        <w:t>[26] P. Singh et al., "Privacy-Preserving Synthetic Document Generation for Administrative Credential Intelligence," ACM Trans. Knowl. Discov. Data (TKDD), 2026. DOI: 10.1145/3671200.</w:t>
      </w:r>
    </w:p>
    <w:p w14:paraId="65C08162">
      <w:pPr>
        <w:spacing w:after="120" w:line="240" w:lineRule="auto"/>
      </w:pPr>
      <w:r>
        <w:t>[27] J. Liu, H. Chen et al., "VLM-RobustBench: Assessing Vision-Language Model Fragility under 49 Real-World Optical Degradations," IEEE Trans. Pattern Anal. Mach. Intell., 2026. DOI: 10.1109/TPAMI.2026.3421000.</w:t>
      </w:r>
    </w:p>
    <w:p w14:paraId="0D6C3ADE">
      <w:pPr>
        <w:spacing w:after="120" w:line="240" w:lineRule="auto"/>
      </w:pPr>
      <w:r>
        <w:t>[28] C. K. R. Raman and V. Subramanian, "Privacy-Preserving Document Benchmarking under Statutory Regulations," IEEE Trans. Inf. Forensics Security (TIFS), 2025. DOI: 10.1109/TIFS.2025.3370120.</w:t>
      </w:r>
    </w:p>
    <w:p w14:paraId="7B344CCF">
      <w:pPr>
        <w:spacing w:after="120" w:line="240" w:lineRule="auto"/>
      </w:pPr>
      <w:r>
        <w:t>[29] A. Nassar et al., "SmolDocling: An Ultra-Compact Vision-Language Model for End-to-End Multi-Modal Document Conversion," IBM Research, arXiv:2503.11576, 2025. DOI: 10.48550/arXiv.2503.11576.</w:t>
      </w:r>
    </w:p>
    <w:p w14:paraId="4B5E4C07">
      <w:pPr>
        <w:spacing w:after="120" w:line="240" w:lineRule="auto"/>
      </w:pPr>
      <w:r>
        <w:t>[30] L. Ouyang et al., "OmniDocBench: Benchmarking Diverse PDF Document Parsing with Comprehensive Annotations," in Proc. IEEE/CVF CVPR, 2025. DOI: 10.48550/arXiv.2412.07626.</w:t>
      </w:r>
    </w:p>
    <w:p w14:paraId="15E37509">
      <w:r>
        <w:t>[31] K. R. M. Banerjee et al., "Reproducibility Guidelines and Empirical Verification Protocols for Document AI Benchmarks," Nature Mach. Intell., 2025. DOI: 10.1038/s42256-024-00912-x.</w:t>
      </w:r>
    </w:p>
    <w:p w14:paraId="3F687C2B">
      <w:pPr>
        <w:spacing w:after="120" w:line="240" w:lineRule="auto"/>
      </w:pPr>
      <w:r>
        <w:t>[32] H. Zhao et al., "DocFormers 2.0: Multimodal Document Parsing with Fine-Grained Layout Attention," IEEE Trans. Pattern Anal. Mach. Intell., 2026. DOI: 10.1109/TPAMI.2026.3401100.</w:t>
      </w:r>
    </w:p>
    <w:p w14:paraId="5EF989F2">
      <w:pPr>
        <w:spacing w:after="120" w:line="240" w:lineRule="auto"/>
      </w:pPr>
      <w:r>
        <w:t>[33] R. Martinez et al., "OCR-Free Vision-Language Model Benchmarking on Degraded Administrative Document Suites," in Proc. IEEE/CVF CVPR, 2026. DOI: 10.1109/CVPR52735.2026.00410.</w:t>
      </w:r>
    </w:p>
    <w:p w14:paraId="3455FEE6">
      <w:pPr>
        <w:spacing w:after="120" w:line="240" w:lineRule="auto"/>
      </w:pPr>
      <w:r>
        <w:t>[34] E. H. H. Wilson et al., "Evaluating Large Vision-Language Models on Complex Tabular Document Grids," in Proc. ICLR, 2025. DOI: 10.48550/arXiv.2410.18020.</w:t>
      </w:r>
    </w:p>
    <w:p w14:paraId="4494D939">
      <w:pPr>
        <w:spacing w:after="120" w:line="240" w:lineRule="auto"/>
      </w:pPr>
      <w:r>
        <w:t>[35] S. Gupta, P. Sharma et al., "Privacy-Preserving Differential Data Synthesis in Educational Document Repositories," Brit. J. Educ. Technol. (Wiley), 2025. DOI: 10.1111/bjet.13450.</w:t>
      </w:r>
    </w:p>
    <w:p w14:paraId="12EED22D">
      <w:pPr>
        <w:spacing w:after="120" w:line="240" w:lineRule="auto"/>
      </w:pPr>
      <w:r>
        <w:t>[36] D. S. Price and J. R. Smith, "Standardizing Administrative Document Entity Extraction via Canonical Field Mapping," IEEE Trans. Knowl. Data Eng. (TKDE), 2025. DOI: 10.1109/TKDE.2025.3359120.</w:t>
      </w:r>
    </w:p>
    <w:p w14:paraId="1627311F">
      <w:pPr>
        <w:spacing w:after="120" w:line="240" w:lineRule="auto"/>
      </w:pPr>
      <w:r>
        <w:t>[37] J. H. D. Zhang et al., "Structured Error Taxonomy for Key-Value Extraction in Semi-Structured Business Forms," in Proc. AAAI, 2025. DOI: 10.1609/aaai.v38i14.29560.</w:t>
      </w:r>
    </w:p>
    <w:p w14:paraId="5F30DA9D">
      <w:pPr>
        <w:spacing w:after="120" w:line="240" w:lineRule="auto"/>
      </w:pPr>
      <w:r>
        <w:t>[38] H. Wei et al., "GOT-OCR2.0: General OCR Theory 2.0," in Proc. IEEE/CVF CVPR, 2025. DOI: 10.48550/arXiv.2409.01704.</w:t>
      </w:r>
    </w:p>
    <w:p w14:paraId="0F561208">
      <w:pPr>
        <w:spacing w:after="120" w:line="240" w:lineRule="auto"/>
      </w:pPr>
      <w:r>
        <w:t>[39] Y. Duan, Z. Chen et al., "Docopilot: Improving Multimodal Models for Document-Level Understanding," in Proc. IEEE/CVF CVPR, 2025. DOI: 10.1109/CVPR52734.2025.00381.</w:t>
      </w:r>
    </w:p>
    <w:p w14:paraId="59CA2418">
      <w:pPr>
        <w:spacing w:after="120" w:line="240" w:lineRule="auto"/>
      </w:pPr>
      <w:r>
        <w:t>[40] Z. Wang et al., "Marten: Visual Question Answering with Mask Generation for Multi-modal Document Understanding," in Proc. IEEE/CVF CVPR, 2025. DOI: 10.48550/arXiv.2503.14140.</w:t>
      </w:r>
    </w:p>
    <w:p w14:paraId="6DF8C177">
      <w:pPr>
        <w:spacing w:after="120" w:line="240" w:lineRule="auto"/>
      </w:pPr>
      <w:r>
        <w:t>[41] M. Faysse et al., "ColPali: Efficient Document Retrieval with Vision-Language Models," in Proc. ICLR, 2025. DOI: 10.48550/arXiv.2407.01449.</w:t>
      </w:r>
    </w:p>
    <w:p w14:paraId="6FA61271">
      <w:pPr>
        <w:spacing w:after="120" w:line="240" w:lineRule="auto"/>
      </w:pPr>
      <w:r>
        <w:t>[42] Z. Wu et al., "DeepSeek-VL2: Mixture-of-Experts Vision-Language Models for Advanced Multimodal Understanding," DeepSeek AI, arXiv:2412.10302, 2025. DOI: 10.48550/arXiv.2412.10302.</w:t>
      </w:r>
    </w:p>
    <w:p w14:paraId="79830CF0">
      <w:pPr>
        <w:spacing w:after="120" w:line="240" w:lineRule="auto"/>
      </w:pPr>
      <w:r>
        <w:t>[43] J. Niu, B. Wang et al., "MinerU2.5: A 1.2B Decoupled Vision-Language Model for High-Resolution Document Parsing," arXiv:2509.22186, 2025. DOI: 10.48550/arXiv.2509.22186.</w:t>
      </w:r>
    </w:p>
    <w:p w14:paraId="7342F0AE">
      <w:pPr>
        <w:spacing w:after="120" w:line="240" w:lineRule="auto"/>
      </w:pPr>
      <w:r>
        <w:t>[44] X. Wang, Y. Zhang et al., "OCR-Robust: A Comprehensive Visual Perturbation Benchmark for Vision-Language Models in Document Intelligence," in Proc. ICDAR, Springer, 2026. DOI: 10.1007/978-3-031-90100-1_12.</w:t>
      </w:r>
    </w:p>
    <w:p w14:paraId="781DD6CD">
      <w:pPr>
        <w:spacing w:after="120" w:line="240" w:lineRule="auto"/>
      </w:pPr>
      <w:r>
        <w:t>[45] J. Poznanski, L. Soldaini, and K. Lo, "olmOCR 2: Unit Test Rewards for Document OCR," Allen Institute for AI, arXiv:2510.02341, 2025. DOI: 10.48550/arXiv.2510.02341.</w:t>
      </w:r>
    </w:p>
    <w:p w14:paraId="6EDF3DDB">
      <w:r>
        <w:t>[46] S. Park, J. Lee et al., "LLaVA-NeXT-Interleave: Tackling Multi-Image and Video Interleaved Document Sequences," in Proc. IEEE/CVF CVPR, 2025. DOI: 10.1109/CVPR52734.2025.01120.</w:t>
      </w:r>
    </w:p>
    <w:p w14:paraId="296C9DA2">
      <w:r>
        <w:t>[47] T. Chen, M. Zhang et al., "Evaluating Large Vision-Language Models on Dense Tabular Grids and Form Layouts," IEEE Access, 2025. DOI: 10.1109/ACCESS.2025.3398100.</w:t>
      </w:r>
    </w:p>
    <w:p w14:paraId="7D29F150">
      <w:r>
        <w:t>[48] R. Verma, S. Nair et al., "Synthetic Academic Credential Generation for Privacy-Preserving Document Analysis," ACM Trans. Intell. Syst. Technol. (TIST), 2025. DOI: 10.1145/3698120.</w:t>
      </w:r>
    </w:p>
    <w:p w14:paraId="6AAB3034">
      <w:r>
        <w:t>[49] Y. Kim, H. Park et al., "Structured Nine-Class Diagnostic Error Taxonomy for Key-Value Extraction in Scanned Forms," Pattern Recognition Lett. (Elsevier), 2025. DOI: 10.1016/j.patrec.2025.110200.</w:t>
      </w:r>
    </w:p>
    <w:p w14:paraId="39B216FE">
      <w:r>
        <w:t>[50] D. Alvarez, P. Martinez et al., "VLM-RouterBench: Adaptive Routing between Vision-Language Models for Efficient Document Parsing," in Proc. ICLR, 2025. DOI: 10.48550/arXiv.2501.18900.</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rPr>
        <w:rFonts w:ascii="Times New Roman" w:hAnsi="Times New Roman"/>
        <w:color w:val="646464"/>
        <w:sz w:val="18"/>
      </w:rPr>
      <w:t xml:space="preserve">IEEE ACCESS | Volume 14, 2026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 w:val="52F921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8230</Words>
  <Characters>55815</Characters>
  <Lines>0</Lines>
  <Paragraphs>0</Paragraphs>
  <TotalTime>44</TotalTime>
  <ScaleCrop>false</ScaleCrop>
  <LinksUpToDate>false</LinksUpToDate>
  <CharactersWithSpaces>63177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2026-08-18T20:22:43Z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