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20"/>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Conclusion</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7. Future Work</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22</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dataset comprises 360 synthetic specimens across certificates, marksheets, and student identity cards evaluated across four optical quality profiles (clean, scanner copy, mobile capture, and 90° rotation). In canonical live evaluation using MiniCPM-V (7.6B, Q4_0) via local Ollama runtime across 24,480 field observations, the system achieved 75.23% field F1, 74.60% raw exact match, 82.18% normalized exact match, 8.21% character error rate, and 100.00% category classification accuracy. Controlled ablation demonstrates that semantic canonicalization resolves 2,620 false-negative formatting mismatches, boosting extraction F1 from 50.00% to 95.49% (+45.49% gain) and reducing CER from 38.13% to 3.65% with high statistical significance (McNemar χ² = 2618.00, p &lt; 0.0001). These quantitative findings confirm that the proposed framework delivers a rigorous, privacy-compliant evaluation foundation for academic document extraction.</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Document Extraction, Synthetic Benchmark Generation, Information Extraction, Semantic Normalization, OCR Error Analysis, Optical Degradation, Document Evaluation</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IX and visualized in Fig. 4 and Fig. 5, canonical normalization resolved superficial syntax variations, increasing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9"/>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