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8.14% to 2.45%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spacing w:before="60" w:after="2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spacing w:before="40" w:after="40" w:line="252" w:lineRule="auto"/>
        <w:jc w:val="center"/>
        <w:rPr>
          <w:rFonts w:hint="default"/>
          <w:lang w:val="en-IN"/>
        </w:rPr>
      </w:pPr>
      <w:r>
        <w:rPr>
          <w:rFonts w:hint="default"/>
          <w:lang w:val="en-IN"/>
        </w:rPr>
        <w:drawing>
          <wp:inline distT="0" distB="0" distL="114300" distR="114300">
            <wp:extent cx="4413885" cy="8218805"/>
            <wp:effectExtent l="0" t="0" r="5715" b="10795"/>
            <wp:docPr id="1" name="Picture 1" descr="a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drawi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413885" cy="8218805"/>
                    </a:xfrm>
                    <a:prstGeom prst="rect">
                      <a:avLst/>
                    </a:prstGeom>
                  </pic:spPr>
                </pic:pic>
              </a:graphicData>
            </a:graphic>
          </wp:inline>
        </w:drawing>
      </w:r>
      <w:bookmarkStart w:id="0" w:name="_GoBack"/>
      <w:bookmarkEnd w:id="0"/>
    </w:p>
    <w:p w14:paraId="3824FF20">
      <w:pPr>
        <w:spacing w:before="2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spacing w:before="0" w:after="60" w:line="252" w:lineRule="auto"/>
        <w:jc w:val="center"/>
      </w:pPr>
      <w:r>
        <w:drawing>
          <wp:inline distT="0" distB="0" distL="114300" distR="114300">
            <wp:extent cx="5486400"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62A8FED5">
      <w:pPr>
        <w:spacing w:before="2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spacing w:before="60" w:after="2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jc w:val="center"/>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spacing w:before="60" w:after="2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440"/>
        <w:gridCol w:w="1584"/>
        <w:gridCol w:w="2304"/>
        <w:gridCol w:w="1872"/>
      </w:tblGrid>
      <w:tr w14:paraId="19AA9128">
        <w:tblPrEx>
          <w:tblCellMar>
            <w:top w:w="0" w:type="dxa"/>
            <w:left w:w="108" w:type="dxa"/>
            <w:bottom w:w="0" w:type="dxa"/>
            <w:right w:w="108" w:type="dxa"/>
          </w:tblCellMar>
        </w:tblPrEx>
        <w:trPr>
          <w:jc w:val="center"/>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color w:val="1E293B"/>
                <w:sz w:val="14"/>
              </w:rPr>
              <w:t>16 Specimens (1,088 Fields)</w:t>
            </w:r>
          </w:p>
        </w:tc>
      </w:tr>
      <w:tr w14:paraId="1C8A094A">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color w:val="1E293B"/>
                <w:sz w:val="14"/>
              </w:rPr>
              <w:t>16 Specimens (4,554 Fields)</w:t>
            </w:r>
          </w:p>
        </w:tc>
      </w:tr>
      <w:tr w14:paraId="48A660A1">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color w:val="1E293B"/>
                <w:sz w:val="14"/>
              </w:rPr>
              <w:t>13 Specimens (884 Fields)</w:t>
            </w:r>
          </w:p>
        </w:tc>
      </w:tr>
      <w:tr w14:paraId="5CE3D04C">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 Synthetic Specimens (9,000 Fields)</w:t>
            </w:r>
          </w:p>
        </w:tc>
      </w:tr>
    </w:tbl>
    <w:p w14:paraId="198642F8">
      <w:pPr>
        <w:spacing w:before="60" w:after="20"/>
        <w:jc w:val="center"/>
      </w:pPr>
      <w:r>
        <w:rPr>
          <w:rFonts w:ascii="Times New Roman" w:hAnsi="Times New Roman"/>
          <w:b/>
          <w:sz w:val="18"/>
        </w:rPr>
        <w:t>TABLE 4: OPTICAL QUALITY DEGRADATION PROFILES</w:t>
      </w:r>
    </w:p>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5BFB018">
      <w:pPr>
        <w:spacing w:before="60" w:after="2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rPr>
          <w:jc w:val="center"/>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sz w:val="16"/>
              </w:rPr>
              <w:t>AU DIC Benchmark v1.0 (45 Synthetic Multi-Modal Specimens Suite)</w:t>
            </w:r>
          </w:p>
        </w:tc>
      </w:tr>
      <w:tr w14:paraId="585E751C">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 Synthetic Specimens (50 Vector PDFs + 200 Lossless PNGs + 200 Compressed JPEGs)</w:t>
            </w:r>
          </w:p>
        </w:tc>
      </w:tr>
      <w:tr w14:paraId="69059160">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color w:val="1E293B"/>
                <w:sz w:val="14"/>
              </w:rPr>
              <w:t>900 Paired Field Observations (20 Atomic Fields / Specimen)</w:t>
            </w:r>
          </w:p>
        </w:tc>
      </w:tr>
      <w:tr w14:paraId="6FF90CA0">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2917.90s / 48.63 mins)</w:t>
            </w:r>
          </w:p>
        </w:tc>
      </w:tr>
      <w:tr w14:paraId="6338564A">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14:paraId="3F1BF42F">
      <w:pPr>
        <w:spacing w:before="60" w:after="2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spacing w:before="60" w:after="2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spacing w:before="0" w:after="6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4143BE0">
      <w:pPr>
        <w:spacing w:before="20" w:after="60"/>
        <w:jc w:val="center"/>
      </w:pPr>
      <w:r>
        <w:rPr>
          <w:rFonts w:ascii="Times New Roman" w:hAnsi="Times New Roman"/>
          <w:i/>
          <w:sz w:val="18"/>
        </w:rPr>
        <w:t>Fig. 3. Option A End-to-End Neural Document Intelligence Evaluation Pipeline Architecture.</w:t>
      </w:r>
    </w:p>
    <w:p w14:paraId="7255D7DD">
      <w:pPr>
        <w:spacing w:before="80" w:after="4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870"/>
      </w:tblGrid>
      <w:tr w14:paraId="492496A2">
        <w:tblPrEx>
          <w:tblCellMar>
            <w:top w:w="0" w:type="dxa"/>
            <w:left w:w="108" w:type="dxa"/>
            <w:bottom w:w="0" w:type="dxa"/>
            <w:right w:w="108" w:type="dxa"/>
          </w:tblCellMar>
        </w:tblPrEx>
        <w:trPr>
          <w:jc w:val="center"/>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jc w:val="center"/>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sz w:val="16"/>
              </w:rPr>
              <w:t>Direct Live Run (AU DIC 45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jc w:val="center"/>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sz w:val="16"/>
              </w:rPr>
              <w:t>Direct Live Run (AU DIC 45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jc w:val="center"/>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sz w:val="16"/>
              </w:rPr>
              <w:t>Direct Live Run (AU DIC 45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color w:val="1E293B"/>
                <w:sz w:val="16"/>
              </w:rPr>
              <w:t>97.80%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jc w:val="center"/>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sz w:val="16"/>
              </w:rPr>
              <w:t>Direct Live Run (AU DIC 45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b/>
                <w:color w:val="1B365D"/>
                <w:sz w:val="16"/>
              </w:rPr>
              <w:t>97.80%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8.14% to 2.45% (a 62.44% relative error reduction).</w:t>
      </w:r>
    </w:p>
    <w:p w14:paraId="6D448B09">
      <w:pPr>
        <w:spacing w:before="60" w:after="20"/>
        <w:jc w:val="center"/>
      </w:pPr>
      <w:r>
        <w:t>TABLE 9: EMPIRICAL METRIC IMPACT OF SEMANTIC CANONICAL NORMALIZATION (45 SPECIMENS / 900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jc w:val="center"/>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jc w:val="center"/>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jc w:val="center"/>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jc w:val="center"/>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jc w:val="center"/>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spacing w:before="0" w:after="6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0777EC43">
      <w:pPr>
        <w:spacing w:before="20" w:after="60"/>
        <w:jc w:val="center"/>
      </w:pPr>
      <w:r>
        <w:rPr>
          <w:rFonts w:ascii="Times New Roman" w:hAnsi="Times New Roman"/>
          <w:i/>
          <w:sz w:val="18"/>
        </w:rPr>
        <w:t>Fig. 4. Accuracy Improvement after Semantic Canonical Normalization.</w:t>
      </w:r>
    </w:p>
    <w:p w14:paraId="263BBB1C">
      <w:pPr>
        <w:spacing w:before="0" w:after="6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620FDBA">
      <w:pPr>
        <w:spacing w:before="2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spacing w:before="60" w:after="2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spacing w:before="0" w:after="6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397DBFA4">
      <w:pPr>
        <w:spacing w:before="20" w:after="60"/>
        <w:jc w:val="center"/>
      </w:pPr>
      <w:r>
        <w:rPr>
          <w:rFonts w:ascii="Times New Roman" w:hAnsi="Times New Roman"/>
          <w:i/>
          <w:sz w:val="18"/>
        </w:rPr>
        <w:t>Fig. 6. Total False-Negative Field Mismatches Resolved by Each Individual Domain Normalizer Rule.</w:t>
      </w:r>
    </w:p>
    <w:p w14:paraId="399F5976">
      <w:pPr>
        <w:spacing w:before="0" w:after="6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121C3644">
      <w:pPr>
        <w:spacing w:before="20" w:after="6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14:paraId="039715DD">
      <w:pPr>
        <w:spacing w:before="60" w:after="2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1"/>
        <w:gridCol w:w="1714"/>
        <w:gridCol w:w="1144"/>
        <w:gridCol w:w="999"/>
        <w:gridCol w:w="1002"/>
        <w:gridCol w:w="1148"/>
      </w:tblGrid>
      <w:tr w14:paraId="3EA7A990">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spacing w:before="60" w:after="2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1"/>
        <w:gridCol w:w="2143"/>
        <w:gridCol w:w="1289"/>
        <w:gridCol w:w="1999"/>
        <w:gridCol w:w="1428"/>
      </w:tblGrid>
      <w:tr w14:paraId="53D28790">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 atomic field observations across the 450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14:paraId="0DECD3CC">
      <w:pPr>
        <w:spacing w:before="60" w:after="2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2"/>
        <w:gridCol w:w="2413"/>
        <w:gridCol w:w="1432"/>
        <w:gridCol w:w="1432"/>
        <w:gridCol w:w="1000"/>
        <w:gridCol w:w="1141"/>
      </w:tblGrid>
      <w:tr w14:paraId="4BCC1689">
        <w:tblPrEx>
          <w:tblCellMar>
            <w:top w:w="0" w:type="dxa"/>
            <w:left w:w="108" w:type="dxa"/>
            <w:bottom w:w="0" w:type="dxa"/>
            <w:right w:w="108" w:type="dxa"/>
          </w:tblCellMar>
        </w:tblPrEx>
        <w:trPr>
          <w:jc w:val="center"/>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+13.64%</w:t>
            </w:r>
          </w:p>
        </w:tc>
      </w:tr>
      <w:tr w14:paraId="25111E07">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spacing w:before="60" w:after="2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jc w:val="center"/>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spacing w:before="0" w:after="6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0FA0587E">
      <w:pPr>
        <w:spacing w:before="20" w:after="60"/>
        <w:jc w:val="center"/>
      </w:pPr>
      <w:r>
        <w:rPr>
          <w:rFonts w:ascii="Times New Roman" w:hAnsi="Times New Roman"/>
          <w:i/>
          <w:sz w:val="18"/>
        </w:rPr>
        <w:t>Fig. 8. Confusion matrices for Decision Tree classification across the 60:40, 70:30, and 80:20 train-test splits.</w:t>
      </w:r>
    </w:p>
    <w:p w14:paraId="478DEAEF">
      <w:pPr>
        <w:spacing w:before="0" w:after="6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486400" cy="2926080"/>
                    </a:xfrm>
                    <a:prstGeom prst="rect">
                      <a:avLst/>
                    </a:prstGeom>
                  </pic:spPr>
                </pic:pic>
              </a:graphicData>
            </a:graphic>
          </wp:inline>
        </w:drawing>
      </w:r>
    </w:p>
    <w:p w14:paraId="3C71E21D">
      <w:pPr>
        <w:spacing w:before="2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97.01,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250FA6F4">
      <w:pPr>
        <w:spacing w:before="240" w:after="80" w:line="252" w:lineRule="auto"/>
        <w:outlineLvl w:val="0"/>
      </w:pPr>
      <w:r>
        <w:rPr>
          <w:rFonts w:ascii="Times New Roman" w:hAnsi="Times New Roman"/>
          <w:b/>
          <w:color w:val="1B365D"/>
          <w:sz w:val="20"/>
        </w:rPr>
        <w:t>REFERENCES</w:t>
      </w:r>
    </w:p>
    <w:p w14:paraId="7B5F048C">
      <w:pPr>
        <w:spacing w:before="20" w:after="40" w:line="252"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20" w:after="40" w:line="252"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20" w:after="40" w:line="252"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20" w:after="40" w:line="252"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20" w:after="40" w:line="252"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20" w:after="40" w:line="252"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20" w:after="40" w:line="252"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20" w:after="40" w:line="252"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20" w:after="40" w:line="252"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20" w:after="40" w:line="252"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20" w:after="40" w:line="252"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20" w:after="40" w:line="252"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20" w:after="40" w:line="252"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20" w:after="40" w:line="252"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20" w:after="40" w:line="252"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20" w:after="40" w:line="252"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20" w:after="40" w:line="252"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20" w:after="40" w:line="252"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20" w:after="40" w:line="252"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20" w:after="40" w:line="252"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20" w:after="40" w:line="252"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20" w:after="40" w:line="252"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20" w:after="40" w:line="252" w:lineRule="auto"/>
        <w:jc w:val="both"/>
      </w:pPr>
      <w:r>
        <w:rPr>
          <w:rFonts w:ascii="Times New Roman" w:hAnsi="Times New Roman"/>
          <w:color w:val="1E293B"/>
          <w:sz w:val="16"/>
        </w:rPr>
        <w:t>[23] Wilcoxon F 1945 Individual comparisons by ranking methods. Biometrics Bull. 1(6): 80–83.</w:t>
      </w:r>
    </w:p>
    <w:p w14:paraId="7C71FD2E">
      <w:pPr>
        <w:spacing w:before="20" w:after="40" w:line="252"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20" w:after="40" w:line="252"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20" w:after="40" w:line="252"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20" w:after="40" w:line="252"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20" w:after="40" w:line="252"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20" w:after="40" w:line="252"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20" w:after="40" w:line="252"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20" w:after="40" w:line="252"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20" w:after="40" w:line="252"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20" w:after="40" w:line="252"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20" w:after="40" w:line="252" w:lineRule="auto"/>
        <w:jc w:val="both"/>
      </w:pPr>
      <w:r>
        <w:rPr>
          <w:rFonts w:ascii="Times New Roman" w:hAnsi="Times New Roman"/>
          <w:color w:val="1E293B"/>
          <w:sz w:val="16"/>
        </w:rPr>
        <w:t>[35] U.S. Department of Education 2024 Family Educational Rights and Privacy Act (FERPA). 34 CFR Part 99.</w:t>
      </w:r>
    </w:p>
    <w:p w14:paraId="6DD7DE89">
      <w:pPr>
        <w:spacing w:before="20" w:after="40" w:line="252"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20" w:after="40" w:line="252"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20" w:after="40" w:line="252"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20" w:after="40" w:line="252"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20" w:after="40" w:line="252"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20" w:after="40" w:line="252"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20" w:after="40" w:line="252"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20" w:after="40" w:line="252"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20" w:after="40" w:line="252"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20" w:after="40" w:line="252"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20" w:after="40" w:line="252" w:lineRule="auto"/>
        <w:jc w:val="both"/>
      </w:pPr>
      <w:r>
        <w:rPr>
          <w:rFonts w:ascii="Times New Roman" w:hAnsi="Times New Roman"/>
          <w:color w:val="1E293B"/>
          <w:sz w:val="16"/>
        </w:rPr>
        <w:t>[48] European Union 2016 General Data Protection Regulation (GDPR). Regulation (EU) 2016/679.</w:t>
      </w:r>
    </w:p>
    <w:p w14:paraId="704321AD">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7503</Words>
  <Characters>49126</Characters>
  <Lines>0</Lines>
  <Paragraphs>0</Paragraphs>
  <TotalTime>46</TotalTime>
  <ScaleCrop>false</ScaleCrop>
  <LinksUpToDate>false</LinksUpToDate>
  <CharactersWithSpaces>55837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2026-08-26T18:34:50Z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