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8.14% to 2.45%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spacing w:before="40" w:after="40" w:line="252" w:lineRule="auto"/>
        <w:jc w:val="center"/>
        <w:rPr>
          <w:rFonts w:hint="default"/>
          <w:lang w:val="en-IN"/>
        </w:rPr>
      </w:pPr>
      <w:r>
        <w:rPr>
          <w:rFonts w:hint="default"/>
          <w:lang w:val="en-IN"/>
        </w:rPr>
        <w:drawing>
          <wp:inline distT="0" distB="0" distL="114300" distR="114300">
            <wp:extent cx="4413885" cy="8218805"/>
            <wp:effectExtent l="0" t="0" r="5715" b="10795"/>
            <wp:docPr id="1" name="Picture 1" descr="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drawi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413885" cy="8218805"/>
                    </a:xfrm>
                    <a:prstGeom prst="rect">
                      <a:avLst/>
                    </a:prstGeom>
                  </pic:spPr>
                </pic:pic>
              </a:graphicData>
            </a:graphic>
          </wp:inline>
        </w:drawing>
      </w:r>
      <w:bookmarkStart w:id="0" w:name="_GoBack"/>
      <w:bookmarkEnd w:id="0"/>
    </w:p>
    <w:p w14:paraId="3824FF20">
      <w:pPr>
        <w:spacing w:before="2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spacing w:before="0" w:after="60" w:line="252" w:lineRule="auto"/>
        <w:jc w:val="center"/>
      </w:pPr>
      <w:r>
        <w:drawing>
          <wp:inline distT="0" distB="0" distL="114300" distR="114300">
            <wp:extent cx="548640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62A8FED5">
      <w:pPr>
        <w:spacing w:before="2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jc w:val="center"/>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jc w:val="center"/>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jc w:val="center"/>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440"/>
        <w:gridCol w:w="1584"/>
        <w:gridCol w:w="2304"/>
        <w:gridCol w:w="1872"/>
      </w:tblGrid>
      <w:tr w14:paraId="19AA9128">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color w:val="1E293B"/>
                <w:sz w:val="14"/>
              </w:rPr>
              <w:t>16 Specimens (1,088 Fields)</w:t>
            </w:r>
          </w:p>
        </w:tc>
      </w:tr>
      <w:tr w14:paraId="1C8A094A">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color w:val="1E293B"/>
                <w:sz w:val="14"/>
              </w:rPr>
              <w:t>16 Specimens (4,554 Fields)</w:t>
            </w:r>
          </w:p>
        </w:tc>
      </w:tr>
      <w:tr w14:paraId="48A660A1">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color w:val="1E293B"/>
                <w:sz w:val="14"/>
              </w:rPr>
              <w:t>13 Specimens (884 Fields)</w:t>
            </w:r>
          </w:p>
        </w:tc>
      </w:tr>
      <w:tr w14:paraId="5CE3D04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spacing w:before="60" w:after="30"/>
        <w:jc w:val="center"/>
      </w:pPr>
      <w:r>
        <w:rPr>
          <w:rFonts w:ascii="Times New Roman" w:hAnsi="Times New Roman"/>
          <w:b/>
          <w:sz w:val="18"/>
        </w:rPr>
        <w:t>TABLE 4: OPTICAL QUALITY DEGRADATION PROFILES</w:t>
      </w:r>
    </w:p>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5BFB018">
      <w:pPr>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rPr>
          <w:jc w:val="center"/>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jc w:val="center"/>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jc w:val="center"/>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3F1BF42F">
      <w:pPr>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spacing w:before="0" w:after="6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4143BE0">
      <w:pPr>
        <w:spacing w:before="20" w:after="60"/>
        <w:jc w:val="center"/>
      </w:pPr>
      <w:r>
        <w:rPr>
          <w:rFonts w:ascii="Times New Roman" w:hAnsi="Times New Roman"/>
          <w:i/>
          <w:sz w:val="18"/>
        </w:rPr>
        <w:t>Fig. 3. Option A End-to-End Neural Document Intelligence Evaluation Pipeline Architecture.</w:t>
      </w:r>
    </w:p>
    <w:p w14:paraId="7255D7DD">
      <w:pPr>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870"/>
      </w:tblGrid>
      <w:tr w14:paraId="492496A2">
        <w:tblPrEx>
          <w:tblCellMar>
            <w:top w:w="0" w:type="dxa"/>
            <w:left w:w="108" w:type="dxa"/>
            <w:bottom w:w="0" w:type="dxa"/>
            <w:right w:w="108" w:type="dxa"/>
          </w:tblCellMar>
        </w:tblPrEx>
        <w:trPr>
          <w:jc w:val="center"/>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jc w:val="center"/>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jc w:val="center"/>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jc w:val="center"/>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8.14% to 2.45% (a 62.44% relative error reduction).</w:t>
      </w:r>
    </w:p>
    <w:p w14:paraId="6D448B09">
      <w:pPr>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jc w:val="center"/>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jc w:val="center"/>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jc w:val="center"/>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spacing w:before="0" w:after="6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0777EC43">
      <w:pPr>
        <w:spacing w:before="20" w:after="60"/>
        <w:jc w:val="center"/>
      </w:pPr>
      <w:r>
        <w:rPr>
          <w:rFonts w:ascii="Times New Roman" w:hAnsi="Times New Roman"/>
          <w:i/>
          <w:sz w:val="18"/>
        </w:rPr>
        <w:t>Fig. 4. Accuracy Improvement after Semantic Canonical Normalization.</w:t>
      </w:r>
    </w:p>
    <w:p w14:paraId="263BBB1C">
      <w:pPr>
        <w:spacing w:before="0" w:after="6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620FDBA">
      <w:pPr>
        <w:spacing w:before="2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spacing w:before="0" w:after="6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397DBFA4">
      <w:pPr>
        <w:spacing w:before="20" w:after="60"/>
        <w:jc w:val="center"/>
      </w:pPr>
      <w:r>
        <w:rPr>
          <w:rFonts w:ascii="Times New Roman" w:hAnsi="Times New Roman"/>
          <w:i/>
          <w:sz w:val="18"/>
        </w:rPr>
        <w:t>Fig. 6. Total False-Negative Field Mismatches Resolved by Each Individual Domain Normalizer Rule.</w:t>
      </w:r>
    </w:p>
    <w:p w14:paraId="399F5976">
      <w:pPr>
        <w:spacing w:before="0" w:after="6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121C3644">
      <w:pPr>
        <w:spacing w:before="2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039715DD">
      <w:pPr>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1"/>
        <w:gridCol w:w="1714"/>
        <w:gridCol w:w="1144"/>
        <w:gridCol w:w="999"/>
        <w:gridCol w:w="1002"/>
        <w:gridCol w:w="1148"/>
      </w:tblGrid>
      <w:tr w14:paraId="3EA7A990">
        <w:tblPrEx>
          <w:tblCellMar>
            <w:top w:w="0" w:type="dxa"/>
            <w:left w:w="108" w:type="dxa"/>
            <w:bottom w:w="0" w:type="dxa"/>
            <w:right w:w="108" w:type="dxa"/>
          </w:tblCellMar>
        </w:tblPrEx>
        <w:trPr>
          <w:jc w:val="center"/>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jc w:val="center"/>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jc w:val="center"/>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1"/>
        <w:gridCol w:w="2143"/>
        <w:gridCol w:w="1289"/>
        <w:gridCol w:w="1999"/>
        <w:gridCol w:w="1428"/>
      </w:tblGrid>
      <w:tr w14:paraId="53D28790">
        <w:tblPrEx>
          <w:tblCellMar>
            <w:top w:w="0" w:type="dxa"/>
            <w:left w:w="108" w:type="dxa"/>
            <w:bottom w:w="0" w:type="dxa"/>
            <w:right w:w="108" w:type="dxa"/>
          </w:tblCellMar>
        </w:tblPrEx>
        <w:trPr>
          <w:jc w:val="center"/>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jc w:val="center"/>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jc w:val="center"/>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ECD3CC">
      <w:pPr>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2"/>
        <w:gridCol w:w="2413"/>
        <w:gridCol w:w="1432"/>
        <w:gridCol w:w="1432"/>
        <w:gridCol w:w="1000"/>
        <w:gridCol w:w="1141"/>
      </w:tblGrid>
      <w:tr w14:paraId="4BCC1689">
        <w:tblPrEx>
          <w:tblCellMar>
            <w:top w:w="0" w:type="dxa"/>
            <w:left w:w="108" w:type="dxa"/>
            <w:bottom w:w="0" w:type="dxa"/>
            <w:right w:w="108" w:type="dxa"/>
          </w:tblCellMar>
        </w:tblPrEx>
        <w:trPr>
          <w:jc w:val="center"/>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+13.64%</w:t>
            </w:r>
          </w:p>
        </w:tc>
      </w:tr>
      <w:tr w14:paraId="25111E07">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jc w:val="center"/>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jc w:val="center"/>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jc w:val="center"/>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jc w:val="center"/>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jc w:val="center"/>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spacing w:before="0" w:after="6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0FA0587E">
      <w:pPr>
        <w:spacing w:before="20" w:after="60"/>
        <w:jc w:val="center"/>
      </w:pPr>
      <w:r>
        <w:rPr>
          <w:rFonts w:ascii="Times New Roman" w:hAnsi="Times New Roman"/>
          <w:i/>
          <w:sz w:val="18"/>
        </w:rPr>
        <w:t>Fig. 8. Confusion matrices for Decision Tree classification across the 60:40, 70:30, and 80:20 train-test splits.</w:t>
      </w:r>
    </w:p>
    <w:p w14:paraId="478DEAEF">
      <w:pPr>
        <w:spacing w:before="0" w:after="6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486400" cy="2926080"/>
                    </a:xfrm>
                    <a:prstGeom prst="rect">
                      <a:avLst/>
                    </a:prstGeom>
                  </pic:spPr>
                </pic:pic>
              </a:graphicData>
            </a:graphic>
          </wp:inline>
        </w:drawing>
      </w:r>
    </w:p>
    <w:p w14:paraId="3C71E21D">
      <w:pPr>
        <w:spacing w:before="2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250FA6F4">
      <w:pPr>
        <w:spacing w:before="60" w:after="20" w:line="252" w:lineRule="auto"/>
        <w:outlineLvl w:val="0"/>
      </w:pPr>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7503</Words>
  <Characters>49126</Characters>
  <Lines>0</Lines>
  <Paragraphs>0</Paragraphs>
  <TotalTime>46</TotalTime>
  <ScaleCrop>false</ScaleCrop>
  <LinksUpToDate>false</LinksUpToDate>
  <CharactersWithSpaces>55837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2026-08-26T18:34:50Z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