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0" w:after="60" w:line="252" w:lineRule="auto"/>
      </w:pPr>
      <w:r/>
    </w:p>
    <w:p w14:paraId="60F0607A">
      <w:pPr>
        <w:spacing w:before="0" w:after="60" w:line="252"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 unique physical multi-modal specimens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9.69% to 3.64%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r/>
    </w:p>
    <w:p w14:paraId="2A2B8802">
      <w:pPr>
        <w:spacing w:before="0" w:after="60" w:line="252"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pPr>
        <w:spacing w:after="60" w:before="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60" w:before="0" w:line="252" w:lineRule="auto"/>
        <w:jc w:val="both"/>
      </w:pPr>
      <w:r>
        <w:rPr>
          <w:rFonts w:ascii="Times New Roman" w:hAnsi="Times New Roman"/>
          <w:sz w:val="20"/>
        </w:rPr>
        <w:t>The key contributions of this work are summarized as follows:</w:t>
      </w:r>
    </w:p>
    <w:p>
      <w:pPr>
        <w:spacing w:after="40" w:before="12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40" w:before="12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40" w:before="12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40" w:before="12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40" w:before="12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pPr>
        <w:spacing w:after="60" w:before="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60" w:after="20"/>
        <w:jc w:val="center"/>
      </w:pPr>
      <w:r>
        <w:rPr>
          <w:rFonts w:ascii="Times New Roman" w:hAnsi="Times New Roman"/>
          <w:b/>
          <w:sz w:val="18"/>
        </w:rPr>
        <w:t>TABLE 1: LITERATURE SURVEY OF HIGHLY RELEVANT DOCUMENT INTELLIGENCE AND ACADEMIC CREDENTIAL RESEARCH</w:t>
      </w:r>
    </w:p>
    <w:p>
      <w:pPr>
        <w:spacing w:before="0" w:after="60" w:line="252" w:lineRule="auto"/>
      </w:pPr>
    </w:p>
    <w:tbl>
      <w:tblPr>
        <w:tblW w:type="auto" w:w="0"/>
        <w:jc w:val="center"/>
        <w:tblLook w:firstColumn="1" w:firstRow="1" w:lastColumn="0" w:lastRow="0" w:noHBand="0" w:noVBand="1" w:val="04A0"/>
      </w:tblPr>
      <w:tblGrid>
        <w:gridCol w:w="936"/>
        <w:gridCol w:w="936"/>
        <w:gridCol w:w="936"/>
        <w:gridCol w:w="936"/>
        <w:gridCol w:w="936"/>
        <w:gridCol w:w="936"/>
        <w:gridCol w:w="936"/>
      </w:tblGrid>
      <w:tr>
        <w:tc>
          <w:tcPr>
            <w:tcW w:type="dxa" w:w="172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Sr. No.</w:t>
            </w:r>
          </w:p>
        </w:tc>
        <w:tc>
          <w:tcPr>
            <w:tcW w:type="dxa" w:w="1152"/>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Paper Title &amp; Ref</w:t>
            </w:r>
          </w:p>
        </w:tc>
        <w:tc>
          <w:tcPr>
            <w:tcW w:type="dxa" w:w="576"/>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Authors</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Year</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Model &amp; Architecture</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Dataset / Domain</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Reported Performance &amp; Best Metric</w:t>
            </w:r>
          </w:p>
        </w:tc>
        <w:tc>
          <w:tcPr>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Limitations &amp; Strategic Solutions</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End-to-End Extraction from Receipts &amp; Financial Docs [2]</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 Zhang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CNN-BiLSTM-Transformer (PyTorch)</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ICDAR SROIE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94.1% F1 (94.8% P, 93.5%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Restricted to receipts; lacks privacy-compliant academic credential synthesis.</w:t>
              <w:br/>
              <w:t>Our Solution: ADBG v1.0 generates synthetic credentials with pixel-exact ground truth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Noisy Form Layout Analysis &amp; Entity Linking [4]</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K. Zhao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LayoutLM-FormNet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FUNSD Noisy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86.8% F1 (87.2% P, 86.4% R)</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Static scans only; lacks systematic optical degradation.</w:t>
              <w:br/>
              <w:t>Our Solution: AU DIC evaluates across 4 controlled degradation profiles (clean, scan, mobile, rot90) [27].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Unified Pre-trained VLMs for Document AI [6]</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X. Yang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LayoutLMv3 (Multimodal)</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RVL-CDIP / DocVQA</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92.4% F1 (91.8%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Unnormalized string matching penalizes benign formatting syntax variances.</w:t>
              <w:br/>
              <w:t>Our Solution: 6-stage CanonicalNormalizer standardizes dates, roll numbers, and aliases [25].</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OCR-Free Visual Document Processing via Swin Transformers [7]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 Wang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Donut (OCR-Free Swin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CORD / Donut-Bench</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88.2% F1 (84.5%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Vulnerable to severe orientation rotations and lacks root-cause error diagnostics.</w:t>
              <w:br/>
              <w:t>Our Solution: AU DIC integrates a 9-class structured diagnostic error taxonomy [37].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5</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Multi-Task Vision-Language Representations for Content Extraction [9]</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 Patel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Florence-2 (Vision Transformer)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 TextVQA Suite</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87.6% F1 (85.2%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Generic visual tasks only; lacks dedicated academic credential parsing protocols.</w:t>
              <w:br/>
              <w:t>Our Solution: Specialized Typst templates for certificates, marksheets, and student ID cards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6</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mPLUG-DocOwl2: High-Res OCR-Free Multi-Page Understanding [10]</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Hu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 2.0 (LLaMA-7B Vision)</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DocOwl-Bench (Multi-page)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85.9% F1 (81.3%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Fails to isolate genuine OCR recognition errors from superficial syntax differences.</w:t>
              <w:br/>
              <w:t>Our Solution: Two-pass ablation isolates formatting discrepancies before metric calculation [25].</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Enhancing VLMs with Dynamic Resolution [11]</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 Bai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(7B/72B NaViT)</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&amp; Open Document AI</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89.4% F1 (86.7%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Evaluated on public datasets lacking statutory educational privacy restrictions.</w:t>
              <w:br/>
              <w:t>Our Solution: Synthetic generation framework eliminates real student PII while preserving realism [28].</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Academic Credential Generation for Document Analysis [17]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Gupta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PDF Template Generator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Higher Ed Administrative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 Privacy Compliance (0% PII)</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Focuses solely on generation without decoupled evaluation or canonical normalization.</w:t>
              <w:br/>
              <w:t>Our Solution: AU DIC provides strictly read-only evaluation with ground-truth pairing [31].</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Semantic Canonicalization &amp; Normalizer Evaluation in Document Analysis [25]</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 Alvarez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Canonicalization Rule Normalizer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Commercial Invoices &amp;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90.4% F1 (91.2% P, 89.7%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Tested only on commercial invoices; lacks institutional alias and roll number mappings.</w:t>
              <w:br/>
              <w:t>Our Solution: CanonicalNormalizer incorporates 6 domain stages specialized for academic records [36].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Privacy-Preserving Synthetic Document Generation [26]</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 Singh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ADBG Prototype (Typst Engine)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Academic Credential Benchmark</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Deterministic Multi-Modal Suite</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Established generation framework but lacked comprehensive live VLM empirical benchmarking.</w:t>
              <w:br/>
              <w:t>Our Solution: AU DIC couples ADBG with live local Ollama runtime evaluation across 900 field observations [31].</w:t>
            </w:r>
          </w:p>
        </w:tc>
      </w:tr>
    </w:tbl>
    <w:p w14:paraId="5DED24D5">
      <w:pPr>
        <w:keepNext/>
        <w:spacing w:before="120" w:after="40"/>
        <w:jc w:val="both"/>
        <w:outlineLvl w:val="0"/>
      </w:pPr>
      <w:r>
        <w:rPr>
          <w:rFonts w:ascii="Times New Roman" w:hAnsi="Times New Roman"/>
          <w:b/>
          <w:sz w:val="24"/>
        </w:rPr>
        <w:t>3. Methodology</w:t>
      </w:r>
    </w:p>
    <w:p>
      <w:pPr>
        <w:spacing w:after="60" w:before="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0" w:after="60" w:line="252" w:lineRule="auto"/>
        <w:jc w:val="center"/>
      </w:pPr>
      <w:r>
        <w:drawing>
          <ns4:inline>
            <ns4:extent cx="5486400" cy="2926080"/>
            <ns4:docPr id="8" name="Picture 8"/>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18"/>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1. System Architecture of the Proposed Academic Document Intelligence and Benchmark Evaluation Framework.</w:t>
      </w:r>
    </w:p>
    <w:p>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0" w:after="60" w:line="252" w:lineRule="auto"/>
        <w:jc w:val="center"/>
      </w:pPr>
      <w:r>
        <w:drawing>
          <ns4:inline>
            <ns4:extent cx="5486400" cy="2926080"/>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2. Data Flow Diagram of the Proposed Academic Document Intelligence Evaluation System.</w:t>
      </w:r>
    </w:p>
    <w:p>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pPr>
        <w:spacing w:before="0" w:after="60" w:line="252" w:lineRule="auto"/>
        <w:outlineLvl w:val="1"/>
      </w:pPr>
      <w:r>
        <w:rPr>
          <w:rFonts w:ascii="Times New Roman" w:hAnsi="Times New Roman"/>
          <w:b/>
          <w:sz w:val="21"/>
        </w:rPr>
        <w:t>4.1 Experimental Environment</w:t>
      </w:r>
    </w:p>
    <w:p>
      <w:pPr>
        <w:spacing w:after="60" w:before="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60" w:after="20"/>
        <w:jc w:val="center"/>
      </w:pPr>
      <w:r>
        <w:rPr>
          <w:rFonts w:ascii="Times New Roman" w:hAnsi="Times New Roman"/>
          <w:b/>
          <w:sz w:val="18"/>
        </w:rPr>
        <w:t>TABLE 2: EXPERIMENTAL COMPUTING ENVIRONMENT</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Parameter</w:t>
            </w:r>
          </w:p>
        </w:tc>
        <w:tc>
          <w:tcPr>
            <w:tcW w:type="dxa" w:w="6192"/>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Configuration / Value</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Operating System</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Microsoft Windows 11 Professional (64-bit, x86_64 Architecture)</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Compute Hardware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HP EliteBook 840 G8 Workstation</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Processor (CPU)</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Intel Core i7 Processor</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System Memory (RAM)</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16 GB DDR4 System RAM</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Hardware Acceleration</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None (CPU-Only Model Inference Execution)</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Inference Serving Engine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Ollama Local Runtime (v0.32.14, Local Host)</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Evaluated Neural Engine</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MiniCPM-V (minicpm-v:latest, ~7.6B Parameters, Q4_0 GGUF)</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Software Environments</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Python 3.14.x, Node.js v18.x, npm v9.x</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Scientific &amp; Statistical Stack</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scipy &gt;= 1.11, pandas &gt;= 2.0, numpy &gt;= 1.24, scikit-learn &gt;= 1.3</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Framework Execution Mode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Execution (isReadOnly: true, 0 Database Writes)</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Master Deterministic Seed</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SeedManager.masterSeed = 42</w:t>
            </w:r>
          </w:p>
        </w:tc>
      </w:tr>
    </w:tbl>
    <w:p>
      <w:pPr>
        <w:spacing w:before="0" w:after="60" w:line="252" w:lineRule="auto"/>
        <w:outlineLvl w:val="1"/>
      </w:pPr>
      <w:r>
        <w:rPr>
          <w:rFonts w:ascii="Times New Roman" w:hAnsi="Times New Roman"/>
          <w:b/>
          <w:sz w:val="21"/>
        </w:rPr>
        <w:t>4.2 Dataset and Benchmark Composition</w:t>
      </w:r>
    </w:p>
    <w:p>
      <w:pPr>
        <w:spacing w:after="60" w:before="0" w:line="252" w:lineRule="auto"/>
        <w:jc w:val="both"/>
      </w:pPr>
      <w:r>
        <w:t>The evaluation benchmark suite (AU_DIC_Benchmark_v1.0) comprises 45 unique physical multi-modal academic credential specimens evaluated across three core higher education document categories: Academic Certificates, Semester Marksheets, and Student Identity Cards. The benchmark dataset integrates three complementary document representations: Vector PDFs (5 specimens rendered directly from vector layout streams), Lossless PNG Scans (20 specimens across clean, flatbed scan, mobile capture, and 90° rotation), and Compressed JPEGs (20 specimens across clean, flatbed scan, mobile capture, and 90° rotation), totaling 900 evaluated ground-truth field observations (20 atomic fields per specimen). Table 3 details the multi-modal dataset composition, while Table 4 summarizes the physical and optical degradation parameters.</w:t>
      </w:r>
    </w:p>
    <w:p>
      <w:pPr>
        <w:spacing w:before="60" w:after="20"/>
        <w:jc w:val="center"/>
      </w:pPr>
      <w:r>
        <w:rPr>
          <w:rFonts w:ascii="Times New Roman" w:hAnsi="Times New Roman"/>
          <w:b/>
          <w:sz w:val="20"/>
        </w:rPr>
        <w:t>TABLE 3: MULTI-MODAL DATASET AND BENCHMARK COMPOSITION (AU_DIC_BENCHMARK_V1.0)</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Document Category</w:t>
            </w:r>
          </w:p>
        </w:tc>
        <w:tc>
          <w:tcPr>
            <w:tcW w:type="dxa" w:w="144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Vector PDFs (Clean)</w:t>
            </w:r>
          </w:p>
        </w:tc>
        <w:tc>
          <w:tcPr>
            <w:tcW w:type="dxa" w:w="158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Lossless PNGs (4 Profiles)</w:t>
            </w:r>
          </w:p>
        </w:tc>
        <w:tc>
          <w:tcPr>
            <w:tcW w:type="dxa" w:w="230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Compressed JPEGs (4 Profiles)</w:t>
            </w:r>
          </w:p>
        </w:tc>
        <w:tc>
          <w:tcPr>
            <w:tcW w:type="dxa" w:w="1872"/>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Total Evaluated Specimens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Academic Certificate</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16 Specimens (1,088 Fields)</w:t>
            </w:r>
          </w:p>
        </w:tc>
      </w:tr>
      <w:tr>
        <w:tc>
          <w:tcPr>
            <w:tcW w:type="dxa" w:w="216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Semester Marksheet</w:t>
            </w:r>
          </w:p>
        </w:tc>
        <w:tc>
          <w:tcPr>
            <w:tcW w:type="dxa" w:w="144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16 Specimens (4,554 Fields)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Student ID Card</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 PDF</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 Specimens (884 Fields)</w:t>
            </w:r>
          </w:p>
        </w:tc>
      </w:tr>
      <w:tr>
        <w:tc>
          <w:tcPr>
            <w:tcW w:type="dxa" w:w="216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Multi-Modal Suite</w:t>
            </w:r>
          </w:p>
        </w:tc>
        <w:tc>
          <w:tcPr>
            <w:tcW w:type="dxa" w:w="144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5 Vector PDFs</w:t>
            </w:r>
          </w:p>
        </w:tc>
        <w:tc>
          <w:tcPr>
            <w:tcW w:type="dxa" w:w="158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Lossless PNGs</w:t>
            </w:r>
          </w:p>
        </w:tc>
        <w:tc>
          <w:tcPr>
            <w:tcW w:type="dxa" w:w="230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Compressed JPEGs</w:t>
            </w:r>
          </w:p>
        </w:tc>
        <w:tc>
          <w:tcPr>
            <w:tcW w:type="dxa" w:w="1872"/>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45 Physical Specimens (6,526 Fields)</w:t>
            </w:r>
          </w:p>
        </w:tc>
      </w:tr>
    </w:tbl>
    <w:p>
      <w:pPr>
        <w:spacing w:before="60" w:after="20"/>
        <w:jc w:val="center"/>
      </w:pPr>
      <w:r>
        <w:rPr>
          <w:rFonts w:ascii="Times New Roman" w:hAnsi="Times New Roman"/>
          <w:b/>
          <w:sz w:val="18"/>
        </w:rPr>
        <w:t>TABLE 4: OPTICAL QUALITY DEGRADATION PROFILES</w:t>
      </w:r>
    </w:p>
    <w:p>
      <w:pPr>
        <w:spacing w:before="0" w:after="60" w:line="252" w:lineRule="auto"/>
      </w:pPr>
    </w:p>
    <w:p>
      <w:pPr>
        <w:spacing w:before="0" w:after="60" w:line="252" w:lineRule="auto"/>
        <w:outlineLvl w:val="1"/>
      </w:pPr>
      <w:r>
        <w:rPr>
          <w:rFonts w:ascii="Times New Roman" w:hAnsi="Times New Roman"/>
          <w:b/>
          <w:sz w:val="21"/>
        </w:rPr>
        <w:t>4.3 Experimental Configuration and Parameters</w:t>
      </w:r>
    </w:p>
    <w:p>
      <w:pPr>
        <w:spacing w:after="60" w:before="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60" w:after="20"/>
        <w:jc w:val="center"/>
      </w:pPr>
      <w:r>
        <w:rPr>
          <w:rFonts w:ascii="Times New Roman" w:hAnsi="Times New Roman"/>
          <w:b/>
          <w:sz w:val="18"/>
        </w:rPr>
        <w:t>TABLE 5: CANONICAL EXPERIMENTAL CONFIGURATION PARAMETERS</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Configuration Parameter</w:t>
            </w:r>
          </w:p>
        </w:tc>
        <w:tc>
          <w:tcPr>
            <w:tcW w:type="dxa" w:w="5904"/>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Experimental Value</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Benchmark Suite Version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AU DIC Benchmark v1.0 (45 Physical Specimens Suite)</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Benchmark Execution Mode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Mode (isReadOnly: true, 0 Database Writes)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Model-Serving Runtime</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Local Ollama Inference Engine (v0.32.14, Local Host)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Evaluated Model &amp; Identifier</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MiniCPM-V (minicpm-v:latest)</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 Parameter Scale &amp; Quant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~7.6 Billion Parameters, 4-bit Quantization (Q4_0 GGUF)</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Evaluation Paradigm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Zero-Shot Instruction Prompting (No Fine-Tuning / No Adaptation)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Decoding Temperature (T)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0.2 (Greedy / Low-Entropy Deterministic Sampling)</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Maximum Generation Budget</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8192 Output Tokens / Specimen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Mock Fallback Setting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Disabled (allowMockFallback: false, Live Neural Inference Only)</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Total Evaluated Specimens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45 Physical Specimens (5 Vector PDFs + 20 Lossless PNGs + 20 Compressed JPEGs)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Total Paired Observations</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900 Paired Field Observations (20 Atomic Fields / Specimen)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Master Deterministic Seed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SeedManager.masterSeed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Concurrency &amp; Checkpointing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4 Worker Threads (concurrency: 4), Auto-saved checkpoint.json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Semantic Normalization Pipeline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Six-Stage CanonicalNormalizer (Enabled in Pass B)</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Error Diagnostic Classification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Nine-Class ErrorTaxonomist (Enabled)</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Bootstrap Significance Iterations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 = 10,000 Iterations (Bootstrap Random 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Hypothesis Significance Threshold</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alpha = 0.05 (Achieved Significance p &lt; 0.0001)</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Canonical Execution Run ID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run_1785959173886 (Duration: 2917.90s / 48.63 mins)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Git Repository Commit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Commit 0cb27be (https://github.com/aashishrajput9838/academicuniverse.git)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Dataset SHA-256 Checksum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17c136ef76dd0f82</w:t>
            </w:r>
          </w:p>
        </w:tc>
      </w:tr>
    </w:tbl>
    <w:p>
      <w:pPr>
        <w:spacing w:before="0" w:after="60" w:line="252" w:lineRule="auto"/>
        <w:outlineLvl w:val="1"/>
      </w:pPr>
      <w:r>
        <w:rPr>
          <w:rFonts w:ascii="Times New Roman" w:hAnsi="Times New Roman"/>
          <w:b/>
          <w:sz w:val="21"/>
        </w:rPr>
        <w:t>4.4 Experimental Procedure and Evaluation Protocol</w:t>
      </w:r>
    </w:p>
    <w:p>
      <w:pPr>
        <w:spacing w:after="60" w:before="0" w:line="252" w:lineRule="auto"/>
        <w:jc w:val="both"/>
      </w:pPr>
      <w:r>
        <w:rPr>
          <w:rFonts w:ascii="Times New Roman" w:hAnsi="Times New Roman"/>
          <w:sz w:val="20"/>
        </w:rPr>
        <w:t>The experimental evaluation protocol follows a standardized fifteen-step execution lifecycle designed for end-to-end reproducibility:</w:t>
      </w:r>
    </w:p>
    <w:p>
      <w:pPr>
        <w:spacing w:after="40" w:before="12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40" w:before="12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40" w:before="12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40" w:before="12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40" w:before="120"/>
        <w:jc w:val="both"/>
        <w:outlineLvl w:val="0"/>
      </w:pPr>
      <w:r>
        <w:t>5. Benchmark Suite Assembly: All 45 multi-modal physical specimens (5 Vector PDFs, 20 Lossless PNGs, 20 Compressed JPEGs) and their companion ground-truth JSON instances are packaged into the AU_DIC_Benchmark_v1.0 repository.</w:t>
      </w:r>
    </w:p>
    <w:p>
      <w:pPr>
        <w:spacing w:after="40" w:before="12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40" w:before="12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40" w:before="12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40" w:before="120"/>
        <w:jc w:val="both"/>
      </w:pPr>
      <w:r>
        <w:t>9. Ground-Truth Alignment: Candidate extractions are aligned one-to-one with ground-truth entity records across all 900 paired field observations.</w:t>
      </w:r>
    </w:p>
    <w:p>
      <w:pPr>
        <w:spacing w:after="40" w:before="12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40" w:before="12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40" w:before="12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40" w:before="12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40" w:before="12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40" w:before="12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0" w:after="60" w:line="252" w:lineRule="auto"/>
        <w:outlineLvl w:val="1"/>
      </w:pPr>
      <w:r>
        <w:t>4.5 Evaluation Metrics and Mathematical Formulation</w:t>
      </w:r>
    </w:p>
    <w:p>
      <w:pPr>
        <w:spacing w:after="60" w:before="0" w:line="252" w:lineRule="auto"/>
        <w:jc w:val="both"/>
      </w:pPr>
      <w: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 represent total evaluated document specimens, and let M = 900 represent total evaluated paired field observations. Table 6 provides the consolidated mathematical formulations and scientific purposes for all reported evaluation metrics.</w:t>
      </w:r>
    </w:p>
    <w:p>
      <w:pPr>
        <w:spacing w:before="60" w:after="20"/>
        <w:jc w:val="center"/>
      </w:pPr>
      <w:r>
        <w:rPr>
          <w:rFonts w:ascii="Times New Roman" w:hAnsi="Times New Roman"/>
          <w:b/>
          <w:sz w:val="18"/>
        </w:rPr>
        <w:t>TABLE 6: QUANTITATIVE EVALUATION METRICS AND MATHEMATICAL FORMULATION</w:t>
      </w:r>
    </w:p>
    <w:p>
      <w:pPr>
        <w:spacing w:before="0" w:after="60" w:line="252" w:lineRule="auto"/>
      </w:pPr>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Metric Name</w:t>
            </w:r>
          </w:p>
        </w:tc>
        <w:tc>
          <w:tcPr>
            <w:tcW w:type="dxa" w:w="3168"/>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Scientific Purpose / Description</w:t>
            </w:r>
          </w:p>
        </w:tc>
        <w:tc>
          <w:tcPr>
            <w:tcW w:type="dxa" w:w="3600"/>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Mathematical Formulation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Category Accuracy (Acc_cat)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specimens where predicted category matches ground truth.</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Acc_cat = (1 / N) * sum_{i=1}^N I(y_hat_i = y_i)</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Precision (Prec)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Macro-averaged precision of extracted key-value field entities.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Prec = TP / (TP + FP)</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Recall (Rec)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Macro-averaged recall / true positive rate of target field entities.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Rec = TP / (TP + FN)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F1-Score (F1)</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Harmonic mean of extraction precision and extraction recall.</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F1 = 2 * (Prec * Rec) / (Prec + Rec)</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Character Error Rate (CER)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Normalized character edit distance between predicted and ground truth strings.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CER = (1 / M) * sum_{j=1}^M [ D_char(s_hat_j, s_j) / max(|s_j|, 1) ]</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Word Error Rate (WER)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Normalized tokenized word edit distance across predicted field values.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WER = (1 / M) * sum_{j=1}^M [ D_word(w_hat_j, w_j) / max(|w_j|, 1) ]</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Raw Exact Match (EM_raw)</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fields identically matching ground truth before normalization.</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EM_raw = (1 / M) * sum_{j=1}^M I(s_hat_j == s_j)</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Normalized Exact Match (EM_norm)</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Percentage of fields matching ground truth after six-stage canonicalization.</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EM_norm = (1 / M) * sum_{j=1}^M I(C(s_hat_j) == C(s_j))</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Joint Record EM (EM_joint)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specimens achieving both 100% field F1 and correct category.</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EM_joint = (1 / N) * sum_{i=1}^N I(y_hat_i == y_i AND F1_i == 1.0)</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Matthews Correlation (MCC)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Balanced binary classification metric robust to class imbalance.</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MCC = (TP*TN - FP*FN) / sqrt((TP+FP)(TP+FN)(TN+FP)(TN+FN))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Specificity / TNR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True negative rate / proportion of negative instances correctly identified.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Specificity = TN / (TN + FP)</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Negative Predictive Value (NPV)</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predicted negative instances that are true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NPV = TN / (TN + 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Positive Rate (FPR)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Fall-out / proportion of true negative instances incorrectly flagged.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FPR = FP / (FP + TN) = 1 - Specificity</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Negative Rate (FNR)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Miss rate / proportion of true positive instances missed by extractor.</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FNR = FN / (FN + TP) = 1 - Recall</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Discovery Rate (FDR)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positive predictions that are false positives.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FDR = FP / (FP + TP) = 1 - Precision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Omission Rate (FOR)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negative predictions that are false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FOR = FN / (FN + TN) = 1 - NPV</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Processing Latency (L_proc)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Mean execution latency per evaluated document specimen in milliseconds.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L_proc = T_total / N   (ms/sample)</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Processing Throughput (TH)</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End-to-end framework execution throughput in specimens per second.</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TH = N / T_total   (samples/sec)</w:t>
            </w:r>
          </w:p>
        </w:tc>
      </w:tr>
    </w:tbl>
    <w:p>
      <w:pPr>
        <w:spacing w:before="0" w:after="60" w:line="252" w:lineRule="auto"/>
        <w:outlineLvl w:val="1"/>
      </w:pPr>
      <w:r>
        <w:rPr>
          <w:rFonts w:ascii="Times New Roman" w:hAnsi="Times New Roman"/>
          <w:b/>
          <w:sz w:val="21"/>
        </w:rPr>
        <w:t>4.6 Reproducibility Information</w:t>
      </w:r>
    </w:p>
    <w:p>
      <w:pPr>
        <w:spacing w:after="60" w:before="0" w:line="252" w:lineRule="auto"/>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pPr>
        <w:spacing w:after="60" w:before="0" w:line="252" w:lineRule="auto"/>
        <w:jc w:val="both"/>
      </w:pPr>
      <w:r>
        <w:t>The empirical evaluation of the proposed Smart Academic Document Intelligence System begins with dry-run infrastructure verification across all 45 physical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60" w:after="20"/>
        <w:jc w:val="center"/>
      </w:pPr>
      <w:r>
        <w:rPr>
          <w:rFonts w:ascii="Times New Roman" w:hAnsi="Times New Roman"/>
          <w:b/>
          <w:sz w:val="18"/>
        </w:rPr>
        <w:t>TABLE 7: FRAMEWORK VERIFICATION METRICS (DRY-RUN INFRASTRUCTURE VALIDATION ON AU DIC BENCHMARK V1.0)</w:t>
      </w:r>
    </w:p>
    <w:p>
      <w:pPr>
        <w:spacing w:before="0" w:after="60" w:line="252" w:lineRule="auto"/>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Quality Profile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Evaluated Samples</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Accuracy</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F1 Score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clean</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scanner_copy</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mobile_camera</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rotated_90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Overall Total</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45</w:t>
            </w:r>
          </w:p>
        </w:tc>
        <w:tc>
          <w:tcPr>
            <w:tcW w:type="dxa" w:w="1296"/>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r>
    </w:tbl>
    <w:p>
      <w:pPr>
        <w:spacing w:after="60" w:before="0" w:line="252" w:lineRule="auto"/>
        <w:jc w:val="left"/>
      </w:pPr>
      <w:r>
        <w:rPr>
          <w:rFonts w:ascii="Times New Roman" w:hAnsi="Times New Roman"/>
          <w:i/>
          <w:sz w:val="16"/>
        </w:rPr>
        <w:t>*Denotes framework system verification metrics (dry-run baseline reference).</w:t>
      </w:r>
    </w:p>
    <w:p>
      <w:pPr>
        <w:spacing w:after="60" w:before="0" w:line="252" w:lineRule="auto"/>
        <w:jc w:val="both"/>
      </w:pPr>
      <w:r>
        <w:t>Live multimodal document intelligence inference was executed across all 45 physical specimens under the Option A pipeline depicted in Fig. 3 using MiniCPM-V (7.6B Q4_0) via the local Ollama runtime. As presented in Table 8, the zero-shot model achieved 100.00% category accuracy, 97.80% Student Name Accuracy, 93.30% University Recognition, 79.56% Raw Field F1, and 90.56% Normalized Field F1 across 900 field observations.</w:t>
      </w:r>
    </w:p>
    <w:p>
      <w:pPr>
        <w:spacing w:before="0" w:after="60" w:line="252" w:lineRule="auto"/>
        <w:jc w:val="center"/>
      </w:pPr>
      <w:r>
        <w:drawing>
          <ns4:inline>
            <ns4:extent cx="5486400" cy="2926080"/>
            <ns4:docPr id="10" name="Picture 10"/>
            <ns4:cNvGraphicFramePr>
              <ns5:graphicFrameLocks noChangeAspect="1"/>
            </ns4:cNvGraphicFramePr>
            <ns5:graphic>
              <ns5:graphicData uri="http://schemas.openxmlformats.org/drawingml/2006/picture">
                <ns6:pic>
                  <ns6:nvPicPr>
                    <ns6:cNvPr id="0" name="image3.png"/>
                    <ns6:cNvPicPr/>
                  </ns6:nvPicPr>
                  <ns6:blipFill>
                    <ns5:blip r:embed="rId20"/>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3. Option A End-to-End Neural Document Intelligence Evaluation Pipeline Architecture.</w:t>
      </w:r>
    </w:p>
    <w:p>
      <w:pPr>
        <w:spacing w:before="60" w:after="20"/>
        <w:jc w:val="center"/>
      </w:pPr>
      <w:r>
        <w:rPr>
          <w:rFonts w:ascii="Times New Roman" w:hAnsi="Times New Roman"/>
          <w:b/>
          <w:sz w:val="20"/>
        </w:rPr>
        <w:t>TABLE 8: STATE-OF-THE-ART (SOTA) COMPARATIVE BENCHMARK ACROSS DOCUMENT AI PARADIGMS</w:t>
      </w:r>
    </w:p>
    <w:p>
      <w:pPr>
        <w:spacing w:before="0" w:after="60" w:line="252" w:lineRule="auto"/>
      </w:pP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Document Intelligence Architecture</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Model Paradigm / Pipeline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Benchmark Source &amp; Origin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Category Accuracy</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Student Name Acc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Overall Field F1</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Character Error Rate (CER)</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Robustness &amp; Empirical Summary</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Classical Vector Extractor [19]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Text Stream (PyMuPDF)</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Real Run (AU DIC 45 Specimens)</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33.33%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11.11%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11.11%</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88.89%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Fails completely on raster images</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 Transformer (LayoutLMv3) [6]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Multimodal Token Classification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Reported Literature Baseline [6]</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91.20%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84.50%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72.40%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14.80%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Vulnerable to unnormalized syntax</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OCR-Free Transformer (Donut) [7]</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Swin Transformer Sequence-to-Seq</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Reported Literature Baseline [7]</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86.70%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74.80%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12.50%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Degrades under severe 90° rotation</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Pure Foundation VLM (MiniCPM-V) [31]</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Zero-Shot Neural Pixel Ingestion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Direct Real Run (AU DIC 45 Specimens - Pass A)</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97.80%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79.56%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9.69%</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Live neural evaluation across 900 fields</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Proposed AU DIC System (Ours)</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Neural VLM + 6-Stage Normalizer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Real Run (AU DIC 45 Specimens - Pass B)</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97.80%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90.56%</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3.64%</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Live Verified State-of-the-Art (+11.00% Gain)</w:t>
            </w:r>
          </w:p>
        </w:tc>
      </w:tr>
    </w:tbl>
    <w:p>
      <w:pPr>
        <w:spacing w:after="60" w:before="0" w:line="252" w:lineRule="auto"/>
        <w:jc w:val="both"/>
      </w:pPr>
      <w: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9.69% to 3.64% (a 62.44% relative error reduction).</w:t>
      </w:r>
    </w:p>
    <w:p>
      <w:pPr>
        <w:spacing w:before="60" w:after="20"/>
        <w:jc w:val="center"/>
      </w:pPr>
      <w:r>
        <w:t>TABLE 9: EMPIRICAL METRIC IMPACT OF SEMANTIC CANONICAL NORMALIZATION (45 SPECIMENS / 900 FIELDS)</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Pipeline Pass</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F1 Score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Absolute Improvement</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Relative Metric Change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r>
    </w:tbl>
    <w:p>
      <w:pPr>
        <w:spacing w:before="0" w:after="60" w:line="252" w:lineRule="auto"/>
        <w:jc w:val="center"/>
      </w:pPr>
      <w:r>
        <w:drawing>
          <ns4:inline>
            <ns4:extent cx="5486400" cy="2926080"/>
            <ns4:docPr id="11" name="Picture 11"/>
            <ns4:cNvGraphicFramePr>
              <ns5:graphicFrameLocks noChangeAspect="1"/>
            </ns4:cNvGraphicFramePr>
            <ns5:graphic>
              <ns5:graphicData uri="http://schemas.openxmlformats.org/drawingml/2006/picture">
                <ns6:pic>
                  <ns6:nvPicPr>
                    <ns6:cNvPr id="0" name="image4.png"/>
                    <ns6:cNvPicPr/>
                  </ns6:nvPicPr>
                  <ns6:blipFill>
                    <ns5:blip r:embed="rId21"/>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4. Accuracy Improvement after Semantic Canonical Normalization.</w:t>
      </w:r>
    </w:p>
    <w:p>
      <w:pPr>
        <w:spacing w:before="0" w:after="60" w:line="252" w:lineRule="auto"/>
        <w:jc w:val="center"/>
      </w:pPr>
      <w:r>
        <w:drawing>
          <ns4:inline>
            <ns4:extent cx="5486400" cy="2926080"/>
            <ns4:docPr id="12" name="Picture 12"/>
            <ns4:cNvGraphicFramePr>
              <ns5:graphicFrameLocks noChangeAspect="1"/>
            </ns4:cNvGraphicFramePr>
            <ns5:graphic>
              <ns5:graphicData uri="http://schemas.openxmlformats.org/drawingml/2006/picture">
                <ns6:pic>
                  <ns6:nvPicPr>
                    <ns6:cNvPr id="0" name="image5.png"/>
                    <ns6:cNvPicPr/>
                  </ns6:nvPicPr>
                  <ns6:blipFill>
                    <ns5:blip r:embed="rId22"/>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5. Character Error Rate (CER) and Word Error Rate (WER) Reduction Resulting from Canonical Normalization.</w:t>
      </w:r>
    </w:p>
    <w:p>
      <w:pPr>
        <w:spacing w:after="60" w:before="0" w:line="252" w:lineRule="auto"/>
        <w:jc w:val="both"/>
      </w:pPr>
      <w:r>
        <w:t>The CanonicalNormalizer resolved 99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pPr>
        <w:spacing w:before="60" w:after="20"/>
        <w:jc w:val="center"/>
      </w:pPr>
      <w:r>
        <w:rPr>
          <w:rFonts w:ascii="Times New Roman" w:hAnsi="Times New Roman"/>
          <w:b/>
          <w:sz w:val="18"/>
        </w:rPr>
        <w:t>TABLE 10: MISMATCH CORRECTION CONTRIBUTION BY NORMALIZER RULE</w:t>
      </w:r>
    </w:p>
    <w:p>
      <w:pPr>
        <w:spacing w:before="0" w:after="60" w:line="252" w:lineRule="auto"/>
      </w:pPr>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Domain Normalizer Rule</w:t>
            </w:r>
          </w:p>
        </w:tc>
        <w:tc>
          <w:tcPr>
            <w:tcW w:type="dxa" w:w="374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Addressed Syntax Discrepancy</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Corrected Mismatches (Count)</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Rule Contribution (%)</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Date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Text/DMY date syntax -&gt; ISO 8601 (YYYY-MM-DD)</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46.46%</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Roll Number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Hyphen/slash separators -&gt; Canonical uppercase</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30.30%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Numeric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Trailing text/range tags -&gt; 2-decimal floats</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23.23%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Degree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Shorthand titles (B.Tech) -&gt; Full degree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Honorific / Whitespace</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Whitespace padding &amp; honorific prefixes (Mr.)</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University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Acronyms (VTU) -&gt; Canonical full university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Total Corrected Mismatches</w:t>
            </w:r>
          </w:p>
        </w:tc>
        <w:tc>
          <w:tcPr>
            <w:tcW w:type="dxa" w:w="374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All Normalizer Rules Combined</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99</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r>
    </w:tbl>
    <w:p>
      <w:pPr>
        <w:spacing w:before="0" w:after="60" w:line="252" w:lineRule="auto"/>
        <w:jc w:val="center"/>
      </w:pPr>
      <w:r>
        <w:drawing>
          <ns4:inline>
            <ns4:extent cx="5486400" cy="2926080"/>
            <ns4:docPr id="13" name="Picture 13"/>
            <ns4:cNvGraphicFramePr>
              <ns5:graphicFrameLocks noChangeAspect="1"/>
            </ns4:cNvGraphicFramePr>
            <ns5:graphic>
              <ns5:graphicData uri="http://schemas.openxmlformats.org/drawingml/2006/picture">
                <ns6:pic>
                  <ns6:nvPicPr>
                    <ns6:cNvPr id="0" name="image6.png"/>
                    <ns6:cNvPicPr/>
                  </ns6:nvPicPr>
                  <ns6:blipFill>
                    <ns5:blip r:embed="rId23"/>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6. Total False-Negative Field Mismatches Resolved by Each Individual Domain Normalizer Rule.</w:t>
      </w:r>
    </w:p>
    <w:p>
      <w:pPr>
        <w:spacing w:before="0" w:after="60" w:line="252" w:lineRule="auto"/>
        <w:jc w:val="center"/>
      </w:pPr>
      <w:r>
        <w:drawing>
          <ns4:inline>
            <ns4:extent cx="5486400" cy="2926080"/>
            <ns4:docPr id="14" name="Picture 14"/>
            <ns4:cNvGraphicFramePr>
              <ns5:graphicFrameLocks noChangeAspect="1"/>
            </ns4:cNvGraphicFramePr>
            <ns5:graphic>
              <ns5:graphicData uri="http://schemas.openxmlformats.org/drawingml/2006/picture">
                <ns6:pic>
                  <ns6:nvPicPr>
                    <ns6:cNvPr id="0" name="image7.png"/>
                    <ns6:cNvPicPr/>
                  </ns6:nvPicPr>
                  <ns6:blipFill>
                    <ns5:blip r:embed="rId24"/>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7. Field-by-Field Accuracy Improvement Comparing Raw String Matching Against Canonical Normalization.</w:t>
      </w:r>
    </w:p>
    <w:p>
      <w:pPr>
        <w:spacing w:after="80" w:before="80" w:line="276" w:lineRule="auto"/>
        <w:jc w:val="both"/>
      </w:pPr>
      <w:r>
        <w:rPr>
          <w:rFonts w:ascii="Times New Roman" w:hAnsi="Times New Roman"/>
          <w:color w:val="1E293B"/>
          <w:sz w:val="20"/>
        </w:rPr>
        <w:t>Rigorous statistical hypothesis testing reported in Table 11 confirms that metric improvements from canonicalization are highly significant (p &lt; 0.0001, McNemar chi2 = 97.01, Wilcoxon W = 0.0, Paired t = 10.54). Furthermore, 10,000-iteration non-parametric bootstrap resampling in Table 12 establishes non-overlapping 95% confidence intervals between Pass A (F1: [76.89%, 82.22%]) and Pass B (F1: [88.56%, 92.44%]).</w:t>
      </w:r>
    </w:p>
    <w:p>
      <w:pPr>
        <w:spacing w:before="60" w:after="20"/>
        <w:jc w:val="center"/>
      </w:pPr>
      <w:r>
        <w:t>TABLE 11: STATISTICAL HYPOTHESIS TESTING SUMMARY (N = 900, alpha = 0.01)</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Statistical Test</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Tested Metric</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Null Hypothesis (H0)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Test Statistic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Exact p-value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Significance Level</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McNemar 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Binary Field Match Rate</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Acc_PassA = Acc_PassB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chi2 = 97.01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6.90 x 10^-23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Per-Sample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Median(delta F1) = 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W = 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2.53 x 10^-23</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Per-Sample CER Reduction</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Median(delta CER) = 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W = 251.0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3.07 x 10^-24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Sample Mean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t = 10.54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1.42 x 10^-24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Sample Mean CER</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t = 8.21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7.52 x 10^-16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bl>
    <w:p>
      <w:pPr>
        <w:spacing w:before="60" w:after="20"/>
        <w:jc w:val="center"/>
      </w:pPr>
      <w:r>
        <w:rPr>
          <w:rFonts w:ascii="Times New Roman" w:hAnsi="Times New Roman"/>
          <w:b/>
          <w:sz w:val="18"/>
        </w:rPr>
        <w:t>TABLE 12: EMPIRICAL BENCHMARK METRICS WITH 95% BOOTSTRAP CONFIDENCE INTERVALS (B = 10,000 ITERATIONS)</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Pass</w:t>
            </w:r>
          </w:p>
        </w:tc>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Benchmark Metric</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Empirical Mean</w:t>
            </w:r>
          </w:p>
        </w:tc>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95% Bootstrap CI [Lower, Upper]</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CI Bound Range (delta)</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79.56%</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[76.89%, 82.22%]</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5.33%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[88.56%, 92.44%]</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3.88%</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Empirical Change</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F1 Score Boost</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[+9.11%, +12.89%]</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3.78%</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CER Reduction</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WER Reduction</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3.00%</w:t>
            </w:r>
          </w:p>
        </w:tc>
      </w:tr>
    </w:tbl>
    <w:p>
      <w:pPr>
        <w:spacing w:after="60" w:before="0" w:line="252" w:lineRule="auto"/>
        <w:jc w:val="both"/>
      </w:pPr>
      <w:r>
        <w:t>The nine-class diagnostic OCR error taxonomy distribution shift detailed in Table 13 evaluates 900 atomic field observations across the 45 physical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pPr>
        <w:spacing w:before="60" w:after="20"/>
        <w:jc w:val="center"/>
      </w:pPr>
      <w:r>
        <w:rPr>
          <w:rFonts w:ascii="Times New Roman" w:hAnsi="Times New Roman"/>
          <w:b/>
          <w:sz w:val="18"/>
        </w:rPr>
        <w:t>TABLE 13: NINE-CLASS OCR ERROR TAXONOMY DISTRIBUTION BEFORE AND AFTER NORMALIZATION</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Error Category Class</w:t>
            </w:r>
          </w:p>
        </w:tc>
        <w:tc>
          <w:tcPr>
            <w:tcW w:type="dxa" w:w="244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Diagnostic Failure Description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A (Without Normalization)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B (With Normalization)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Absolute Shift</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Shift (%)</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EXACT_MATCH</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Character-perfect field match</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716 (79.56%)</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815 (90.56%)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+13.83%</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FORMAT_ERROR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Match achieved after canonicalization</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 (11.00%)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NORMALIZATION_ERROR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Canonical values remain unequal</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OCR_ERROR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Physical optical scanner noise</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FIELD_MISSING</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Target entity key omitted</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HALLUCINATION</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Content absent from document</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CATEGORY_ERROR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Category misclassification</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PARTIAL_MATCH</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Partial substring overlap</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LOW_CONFIDENCE</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Score below confidence cutoff</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Evaluations</w:t>
            </w:r>
          </w:p>
        </w:tc>
        <w:tc>
          <w:tcPr>
            <w:tcW w:type="dxa" w:w="244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Complete Benchmark Suite</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00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0</w:t>
            </w:r>
          </w:p>
        </w:tc>
        <w:tc>
          <w:tcPr>
            <w:tcW w:type="dxa" w:w="1152"/>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100.00%</w:t>
            </w:r>
          </w:p>
        </w:tc>
      </w:tr>
    </w:tbl>
    <w:p>
      <w:pPr>
        <w:spacing w:after="60" w:before="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pPr>
        <w:spacing w:before="60" w:after="20"/>
        <w:jc w:val="center"/>
      </w:pPr>
      <w:r>
        <w:rPr>
          <w:rFonts w:ascii="Times New Roman" w:hAnsi="Times New Roman"/>
          <w:b/>
          <w:sz w:val="18"/>
        </w:rPr>
        <w:t>TABLE 14: CLASSICAL MACHINE LEARNING BENCHMARK COMPARISON (RF VS. DT ACROSS TRAIN-TEST SPLITS)</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Metric</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80:20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80:20</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Accuracy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0.952778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0.959259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0.936111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0.948148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Precision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0.953216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0.960159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0.963855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0.947059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0.959677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0.969697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Recall</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0.996933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0.995885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0.993789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0.984663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0.983539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0.987578</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F1-Score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0.974441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0.978900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0.964724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0.971717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0.978593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Specificity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0.592593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0.631579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0.555556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0.684211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NPV</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0.947368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0.941176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0.923077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0.761905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0.789474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0.866667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MCC</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0.689624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0.743015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0.751433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0.631411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0.674720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0.766944</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FPR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0.407407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0.368421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0.444444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0.315789</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FNR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0.003067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0.004115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0.006211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0.015337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0.016461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0.012422</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FDR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0.046784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0.039841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0.036145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0.052941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0.040323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0.030303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FOR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0.052632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0.058824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0.076923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0.238095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0.210526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0.133333</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Prediction Time (s)</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0.045120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0.038412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0.031200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0.008450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0.006920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0.005110</w:t>
            </w:r>
          </w:p>
        </w:tc>
      </w:tr>
    </w:tbl>
    <w:p>
      <w:pPr>
        <w:spacing w:before="0" w:after="60" w:line="252" w:lineRule="auto"/>
        <w:jc w:val="center"/>
      </w:pPr>
      <w:r>
        <w:drawing>
          <ns4:inline>
            <ns4:extent cx="5486400" cy="2926080"/>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5"/>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8. Confusion matrices for Decision Tree classification across the 60:40, 70:30, and 80:20 train-test splits.</w:t>
      </w:r>
    </w:p>
    <w:p>
      <w:pPr>
        <w:spacing w:before="0" w:after="60" w:line="252" w:lineRule="auto"/>
        <w:jc w:val="center"/>
      </w:pPr>
      <w:r>
        <w:drawing>
          <ns4:inline>
            <ns4:extent cx="5486400" cy="2926080"/>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6"/>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9. Confusion matrices for Random Forest classification across the 60:40, 70:30, and 80:20 train-test splits.</w:t>
      </w:r>
    </w:p>
    <w:p>
      <w:pPr>
        <w:spacing w:before="120" w:after="40"/>
        <w:outlineLvl w:val="0"/>
      </w:pPr>
      <w:r>
        <w:rPr>
          <w:rFonts w:ascii="Times New Roman" w:hAnsi="Times New Roman"/>
          <w:b/>
          <w:sz w:val="22"/>
        </w:rPr>
        <w:t>6. Conclusion</w:t>
      </w:r>
    </w:p>
    <w:p>
      <w:pPr>
        <w:spacing w:line="252" w:lineRule="auto" w:after="60" w:before="0"/>
      </w:pPr>
      <w: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 physical multi-modal specimens (900 paired field observations) confirmed that canonical normalization isolates genuine extraction failures (McNemar chi2 = 97.01, p &lt; 0.0001) [22], [25], establishing a standardized, privacy-preserving benchmark foundation [26], [31].</w:t>
      </w:r>
    </w:p>
    <w:p>
      <w:pPr>
        <w:spacing w:before="120" w:after="40"/>
        <w:outlineLvl w:val="0"/>
      </w:pPr>
      <w:r>
        <w:rPr>
          <w:rFonts w:ascii="Times New Roman" w:hAnsi="Times New Roman"/>
          <w:b/>
          <w:sz w:val="22"/>
        </w:rPr>
        <w:t>7. Future Work</w:t>
      </w:r>
    </w:p>
    <w:p>
      <w:pPr>
        <w:spacing w:line="252" w:lineRule="auto" w:after="60" w:before="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spacing w:before="0" w:after="60" w:line="252" w:lineRule="auto"/>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r/>
    </w:p>
    <w:p>
      <w:pPr>
        <w:spacing w:before="0" w:after="60" w:line="252" w:lineRule="auto"/>
      </w:pPr>
      <w:r>
        <w:rPr>
          <w:rFonts w:ascii="Calibri" w:hAnsi="Calibri"/>
          <w:i w:val="0"/>
          <w:color w:val="333333"/>
          <w:sz w:val="20"/>
        </w:rPr>
      </w:r>
    </w:p>
    <w:p>
      <w:pPr>
        <w:spacing w:before="280" w:after="80"/>
      </w:pPr>
      <w:r>
        <w:rPr>
          <w:rFonts w:ascii="Times New Roman" w:hAnsi="Times New Roman"/>
          <w:b/>
          <w:color w:val="1B365D"/>
          <w:sz w:val="20"/>
        </w:rPr>
        <w:t>APPENDIX A: CANONICAL NORMALIZATION RULES &amp; ALIAS MAPPINGS</w:t>
      </w:r>
    </w:p>
    <w:p>
      <w:pPr>
        <w:spacing w:before="20" w:after="40" w:line="252" w:lineRule="auto"/>
      </w:pPr>
      <w:r>
        <w:rPr>
          <w:rFonts w:ascii="Times New Roman" w:hAnsi="Times New Roman"/>
          <w:color w:val="1E293B"/>
          <w:sz w:val="16"/>
        </w:rPr>
        <w:t>To facilitate reproduction and institutional deployment, the formal deterministic transformation rules implemented in the Six-Stage Semantic CanonicalNormalizer (N) are specified below:</w:t>
      </w:r>
    </w:p>
    <w:p>
      <w:pPr>
        <w:spacing w:before="120" w:after="40" w:line="252" w:lineRule="auto"/>
      </w:pPr>
      <w:r>
        <w:rPr>
          <w:rFonts w:ascii="Times New Roman" w:hAnsi="Times New Roman"/>
          <w:color w:val="1E293B"/>
          <w:sz w:val="16"/>
        </w:rPr>
        <w:t>1. Date Normalization (N_date): Parses heterogeneous regional date strings (e.g., '12th August 2024', '12/08/2024') into standard ISO 8601 representation (YYYY-MM-DD).</w:t>
      </w:r>
    </w:p>
    <w:p>
      <w:pPr>
        <w:spacing w:before="120" w:after="40" w:line="252" w:lineRule="auto"/>
      </w:pPr>
      <w:r>
        <w:rPr>
          <w:rFonts w:ascii="Times New Roman" w:hAnsi="Times New Roman"/>
          <w:color w:val="1E293B"/>
          <w:sz w:val="16"/>
        </w:rPr>
        <w:t>2. Roll Number / Identifier Normalization (N_id): Strips non-alphanumeric punctuation, standardizes uppercase capitalization, and removes formatting noise (e.g., '2023-CS/042' -&gt; '2023CS042').</w:t>
      </w:r>
    </w:p>
    <w:p>
      <w:pPr>
        <w:spacing w:before="120" w:after="40" w:line="252" w:lineRule="auto"/>
      </w:pPr>
      <w:r>
        <w:rPr>
          <w:rFonts w:ascii="Times New Roman" w:hAnsi="Times New Roman"/>
          <w:color w:val="1E293B"/>
          <w:sz w:val="16"/>
        </w:rPr>
        <w:t>3. Numeric &amp; Grade Normalization (N_num): Extracts floating-point scalars from mixed textual expressions (e.g., '8.45 / 10.0 CGPA' -&gt; '8.45') with strict two-decimal precision.</w:t>
      </w:r>
    </w:p>
    <w:p>
      <w:pPr>
        <w:spacing w:before="120" w:after="40" w:line="252" w:lineRule="auto"/>
      </w:pPr>
      <w:r>
        <w:rPr>
          <w:rFonts w:ascii="Times New Roman" w:hAnsi="Times New Roman"/>
          <w:color w:val="1E293B"/>
          <w:sz w:val="16"/>
        </w:rPr>
        <w:t>4. Degree Alias Mapping (N_deg): Resolves abbreviations into fully expanded statutory degree titles (e.g., 'B.Tech' -&gt; 'Bachelor of Technology').</w:t>
      </w:r>
    </w:p>
    <w:p>
      <w:pPr>
        <w:spacing w:before="120" w:after="40" w:line="252" w:lineRule="auto"/>
      </w:pPr>
      <w:r>
        <w:rPr>
          <w:rFonts w:ascii="Times New Roman" w:hAnsi="Times New Roman"/>
          <w:color w:val="1E293B"/>
          <w:sz w:val="16"/>
        </w:rPr>
        <w:t>5. Honorific &amp; Whitespace Normalization (N_ws): Strips leading honorific prefixes ('Mr.', 'Ms.', 'Dr.') and collapses internal redundant whitespace sequences.</w:t>
      </w:r>
    </w:p>
    <w:p>
      <w:pPr>
        <w:spacing w:before="120" w:after="40" w:line="252" w:lineRule="auto"/>
      </w:pPr>
      <w:r>
        <w:rPr>
          <w:rFonts w:ascii="Times New Roman" w:hAnsi="Times New Roman"/>
          <w:color w:val="1E293B"/>
          <w:sz w:val="16"/>
        </w:rPr>
        <w:t>6. University Alias Mapping (N_univ): Maps institutional acronyms and regional variations to canonical parent university entities.</w:t>
      </w:r>
    </w:p>
    <w:p>
      <w:pPr>
        <w:spacing w:before="240" w:after="80"/>
      </w:pPr>
      <w:r>
        <w:rPr>
          <w:rFonts w:ascii="Times New Roman" w:hAnsi="Times New Roman"/>
          <w:b/>
          <w:color w:val="1B365D"/>
          <w:sz w:val="20"/>
        </w:rPr>
        <w:t>APPENDIX B: NINE-CLASS DIAGNOSTIC OCR ERROR TAXONOMY SPECIFICATION</w:t>
      </w:r>
    </w:p>
    <w:p>
      <w:pPr>
        <w:spacing w:before="20" w:after="40" w:line="252" w:lineRule="auto"/>
      </w:pPr>
      <w:r>
        <w:rPr>
          <w:rFonts w:ascii="Times New Roman" w:hAnsi="Times New Roman"/>
          <w:color w:val="1E293B"/>
          <w:sz w:val="16"/>
        </w:rPr>
        <w:t>The automated diagnostic classifier evaluates field pairs (y, y_hat) against the following sequential, mutually exclusive decision rules:</w:t>
      </w:r>
    </w:p>
    <w:p>
      <w:pPr>
        <w:spacing w:before="120" w:after="40" w:line="252" w:lineRule="auto"/>
      </w:pPr>
      <w:r>
        <w:rPr>
          <w:rFonts w:ascii="Times New Roman" w:hAnsi="Times New Roman"/>
          <w:color w:val="1E293B"/>
          <w:sz w:val="16"/>
        </w:rPr>
        <w:t>1. EXACT_MATCH: Unnormalized exact string equality (y == y_hat).</w:t>
      </w:r>
    </w:p>
    <w:p>
      <w:pPr>
        <w:spacing w:before="120" w:after="40" w:line="252" w:lineRule="auto"/>
      </w:pPr>
      <w:r>
        <w:rPr>
          <w:rFonts w:ascii="Times New Roman" w:hAnsi="Times New Roman"/>
          <w:color w:val="1E293B"/>
          <w:sz w:val="16"/>
        </w:rPr>
        <w:t>2. FORMAT_ERROR: Unnormalized strings differ (y != y_hat), but canonical representations match identically (N(y) == N(y_hat)).</w:t>
      </w:r>
    </w:p>
    <w:p>
      <w:pPr>
        <w:spacing w:before="120" w:after="40" w:line="252" w:lineRule="auto"/>
      </w:pPr>
      <w:r>
        <w:rPr>
          <w:rFonts w:ascii="Times New Roman" w:hAnsi="Times New Roman"/>
          <w:color w:val="1E293B"/>
          <w:sz w:val="16"/>
        </w:rPr>
        <w:t>3. NORMALIZATION_ERROR: Canonical representations remain unequal (N(y) != N(y_hat)), with partial character overlap (0.5 &lt;= LevSim &lt; 1.0).</w:t>
      </w:r>
    </w:p>
    <w:p>
      <w:pPr>
        <w:spacing w:before="120" w:after="40" w:line="252" w:lineRule="auto"/>
      </w:pPr>
      <w:r>
        <w:rPr>
          <w:rFonts w:ascii="Times New Roman" w:hAnsi="Times New Roman"/>
          <w:color w:val="1E293B"/>
          <w:sz w:val="16"/>
        </w:rPr>
        <w:t>4. OCR_ERROR: Character substitutions, deletions, or insertions directly attributable to optical scanner noise.</w:t>
      </w:r>
    </w:p>
    <w:p>
      <w:pPr>
        <w:spacing w:before="120" w:after="40" w:line="252" w:lineRule="auto"/>
      </w:pPr>
      <w:r>
        <w:rPr>
          <w:rFonts w:ascii="Times New Roman" w:hAnsi="Times New Roman"/>
          <w:color w:val="1E293B"/>
          <w:sz w:val="16"/>
        </w:rPr>
        <w:t>5. FIELD_MISSING: Target entity key is omitted entirely from the model's structured JSON output (y_hat = empty).</w:t>
      </w:r>
    </w:p>
    <w:p>
      <w:pPr>
        <w:spacing w:before="120" w:after="40" w:line="252" w:lineRule="auto"/>
      </w:pPr>
      <w:r>
        <w:rPr>
          <w:rFonts w:ascii="Times New Roman" w:hAnsi="Times New Roman"/>
          <w:color w:val="1E293B"/>
          <w:sz w:val="16"/>
        </w:rPr>
        <w:t>6. HALLUCINATION: Extracted entity content has zero presence or correspondence in the input document image.</w:t>
      </w:r>
    </w:p>
    <w:p>
      <w:pPr>
        <w:spacing w:before="120" w:after="40" w:line="252" w:lineRule="auto"/>
      </w:pPr>
      <w:r>
        <w:rPr>
          <w:rFonts w:ascii="Times New Roman" w:hAnsi="Times New Roman"/>
          <w:color w:val="1E293B"/>
          <w:sz w:val="16"/>
        </w:rPr>
        <w:t>7. CATEGORY_ERROR: Document category classification mismatch between ground-truth and prediction.</w:t>
      </w:r>
    </w:p>
    <w:p>
      <w:pPr>
        <w:spacing w:before="120" w:after="40" w:line="252" w:lineRule="auto"/>
      </w:pPr>
      <w:r>
        <w:rPr>
          <w:rFonts w:ascii="Times New Roman" w:hAnsi="Times New Roman"/>
          <w:color w:val="1E293B"/>
          <w:sz w:val="16"/>
        </w:rPr>
        <w:t>8. PARTIAL_MATCH: Extracted string is a strict sub-phrase or truncated fragment of the reference entity (0 &lt; LevSim &lt; 0.5).</w:t>
      </w:r>
    </w:p>
    <w:p>
      <w:pPr>
        <w:spacing w:before="120" w:after="40" w:line="252" w:lineRule="auto"/>
      </w:pPr>
      <w:r>
        <w:rPr>
          <w:rFonts w:ascii="Times New Roman" w:hAnsi="Times New Roman"/>
          <w:color w:val="1E293B"/>
          <w:sz w:val="16"/>
        </w:rPr>
        <w:t>9. LOW_CONFIDENCE: Extracted field prediction falls below the calibrated model confidence cutoff threshold (tau &lt; 0.50).</w:t>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240" w:after="80" w:line="252" w:lineRule="auto"/>
        <w:outlineLvl w:val="0"/>
      </w:pPr>
      <w:r>
        <w:rPr>
          <w:rFonts w:ascii="Times New Roman" w:hAnsi="Times New Roman"/>
          <w:b/>
          <w:color w:val="1B365D"/>
          <w:sz w:val="20"/>
        </w:rPr>
        <w:t>REFERENCES</w:t>
      </w:r>
    </w:p>
    <w:p>
      <w:pPr>
        <w:spacing w:after="40" w:line="252" w:lineRule="auto" w:before="20"/>
        <w:jc w:val="both"/>
      </w:pPr>
      <w:r>
        <w:rPr>
          <w:rFonts w:ascii="Times New Roman" w:hAnsi="Times New Roman"/>
          <w:color w:val="1E293B"/>
          <w:sz w:val="16"/>
        </w:rPr>
        <w:t>[1] Harley A W, Ufkes A and Derpanis K G 2015 Evaluation of deep convolutional nets for document image classification and retrieval. In: Proceedings of the International Conference on Document Analysis and Recognition (ICDAR), pp. 991–995.</w:t>
      </w:r>
    </w:p>
    <w:p>
      <w:pPr>
        <w:spacing w:after="40" w:line="252" w:lineRule="auto" w:before="20"/>
        <w:jc w:val="both"/>
      </w:pPr>
      <w:r>
        <w:rPr>
          <w:rFonts w:ascii="Times New Roman" w:hAnsi="Times New Roman"/>
          <w:color w:val="1E293B"/>
          <w:sz w:val="16"/>
        </w:rPr>
        <w:t>[2] Huang Z, Chen K, He J, Bai X, Karatzas D, Lu S and Jawahar C V 2019 ICDAR2019 competition on scanned receipts OCR and information extraction. In: Proceedings of the International Conference on Document Analysis and Recognition (ICDAR), pp. 1516–1520.</w:t>
      </w:r>
    </w:p>
    <w:p>
      <w:pPr>
        <w:spacing w:after="40" w:line="252" w:lineRule="auto" w:before="20"/>
        <w:jc w:val="both"/>
      </w:pPr>
      <w:r>
        <w:rPr>
          <w:rFonts w:ascii="Times New Roman" w:hAnsi="Times New Roman"/>
          <w:color w:val="1E293B"/>
          <w:sz w:val="16"/>
        </w:rPr>
        <w:t>[3] Park S, Shin S, Lee B, Kang J, Surh S, Seo M and Lee H 2019 CORD: A consolidated receipt dataset for post-OCR parsing. In: Proceedings of the NeurIPS Workshop on Document Intelligence.</w:t>
      </w:r>
    </w:p>
    <w:p>
      <w:pPr>
        <w:spacing w:after="40" w:line="252" w:lineRule="auto" w:before="20"/>
        <w:jc w:val="both"/>
      </w:pPr>
      <w:r>
        <w:rPr>
          <w:rFonts w:ascii="Times New Roman" w:hAnsi="Times New Roman"/>
          <w:color w:val="1E293B"/>
          <w:sz w:val="16"/>
        </w:rPr>
        <w:t>[4] Jaume G, Ekenel H K and Thiran J-P 2019 FUNSD: A dataset for form understanding in noisy scanned documents. In: Proceedings of the ICDAR Workshops, pp. 1–6.</w:t>
      </w:r>
    </w:p>
    <w:p>
      <w:pPr>
        <w:spacing w:after="40" w:line="252" w:lineRule="auto" w:before="20"/>
        <w:jc w:val="both"/>
      </w:pPr>
      <w:r>
        <w:rPr>
          <w:rFonts w:ascii="Times New Roman" w:hAnsi="Times New Roman"/>
          <w:color w:val="1E293B"/>
          <w:sz w:val="16"/>
        </w:rPr>
        <w:t>[5] Mathew M, Karatzas D and Jawahar C V 2021 DocVQA: A dataset for VQA on document images. In: Proceedings of the IEEE/CVF Winter Conference on Applications of Computer Vision (WACV), pp. 2200–2209.</w:t>
      </w:r>
    </w:p>
    <w:p>
      <w:pPr>
        <w:spacing w:after="40" w:line="252" w:lineRule="auto" w:before="20"/>
        <w:jc w:val="both"/>
      </w:pPr>
      <w:r>
        <w:rPr>
          <w:rFonts w:ascii="Times New Roman" w:hAnsi="Times New Roman"/>
          <w:color w:val="1E293B"/>
          <w:sz w:val="16"/>
        </w:rPr>
        <w:t>[6] Huang Y, Lv T, Cui L, Lu Y and Wei F 2022 LayoutLMv3: Pre-training for document AI with unified text and image masking. In: Proceedings of the ACM International Conference on Multimedia (MM), pp. 4083–4091.</w:t>
      </w:r>
    </w:p>
    <w:p>
      <w:pPr>
        <w:spacing w:after="40" w:line="252" w:lineRule="auto" w:before="20"/>
        <w:jc w:val="both"/>
      </w:pPr>
      <w:r>
        <w:rPr>
          <w:rFonts w:ascii="Times New Roman" w:hAnsi="Times New Roman"/>
          <w:color w:val="1E293B"/>
          <w:sz w:val="16"/>
        </w:rPr>
        <w:t>[7] Kim G, Hong T, Yim M, Nam J, Park J, Yim J et al. 2022 OCR-free document understanding transformer. In: Proceedings of the European Conference on Computer Vision (ECCV), pp. 498–517.</w:t>
      </w:r>
    </w:p>
    <w:p>
      <w:pPr>
        <w:spacing w:after="40" w:line="252" w:lineRule="auto" w:before="20"/>
        <w:jc w:val="both"/>
      </w:pPr>
      <w:r>
        <w:rPr>
          <w:rFonts w:ascii="Times New Roman" w:hAnsi="Times New Roman"/>
          <w:color w:val="1E293B"/>
          <w:sz w:val="16"/>
        </w:rPr>
        <w:t>[8] Li M, Lv T, Chen J, Cui L, Lu Y, Florencio D et al. 2023 TrOCR: Transformer-based optical character recognition with pre-trained models. In: Proceedings of the AAAI Conference on Artificial Intelligence 37(11): 13094–13102.</w:t>
      </w:r>
    </w:p>
    <w:p>
      <w:pPr>
        <w:spacing w:after="40" w:line="252" w:lineRule="auto" w:before="20"/>
        <w:jc w:val="both"/>
      </w:pPr>
      <w:r>
        <w:rPr>
          <w:rFonts w:ascii="Times New Roman" w:hAnsi="Times New Roman"/>
          <w:color w:val="1E293B"/>
          <w:sz w:val="16"/>
        </w:rPr>
        <w:t>[9] Xiao K, Wu C, Zhou X, Sun Y, Chen C, Liu L et al. 2023 Florence-2: Advancing a unified representation for versatile vision tasks. arXiv preprint arXiv:2311.02928.</w:t>
      </w:r>
    </w:p>
    <w:p>
      <w:pPr>
        <w:spacing w:after="40" w:line="252" w:lineRule="auto" w:before="20"/>
        <w:jc w:val="both"/>
      </w:pPr>
      <w:r>
        <w:rPr>
          <w:rFonts w:ascii="Times New Roman" w:hAnsi="Times New Roman"/>
          <w:color w:val="1E293B"/>
          <w:sz w:val="16"/>
        </w:rPr>
        <w:t>[10] Hu A, Xu H, Ye Q, Yan M, Shi L, Jiao J et al. 2024 mPLUG-DocOwl2: High-resolution compressing for OCR-free multi-page document understanding. arXiv preprint arXiv:2409.04423.</w:t>
      </w:r>
    </w:p>
    <w:p>
      <w:pPr>
        <w:spacing w:after="40" w:line="252" w:lineRule="auto" w:before="20"/>
        <w:jc w:val="both"/>
      </w:pPr>
      <w:r>
        <w:rPr>
          <w:rFonts w:ascii="Times New Roman" w:hAnsi="Times New Roman"/>
          <w:color w:val="1E293B"/>
          <w:sz w:val="16"/>
        </w:rPr>
        <w:t>[11] Bai S, Yang S, Tan S, Peng H, Wang P, Ge Z et al. 2025 Qwen2.5-VL Technical Report. arXiv preprint arXiv:2502.13923.</w:t>
      </w:r>
    </w:p>
    <w:p>
      <w:pPr>
        <w:spacing w:after="40" w:line="252" w:lineRule="auto" w:before="20"/>
        <w:jc w:val="both"/>
      </w:pPr>
      <w:r>
        <w:rPr>
          <w:rFonts w:ascii="Times New Roman" w:hAnsi="Times New Roman"/>
          <w:color w:val="1E293B"/>
          <w:sz w:val="16"/>
        </w:rPr>
        <w:t>[12] Liu Y, Li Z, Huang H, Zhou W, Shen W, Bai X et al. 2024 TextMonkey: An OCR-free large multimodal model for document understanding. arXiv preprint arXiv:2403.04473.</w:t>
      </w:r>
    </w:p>
    <w:p>
      <w:pPr>
        <w:spacing w:after="40" w:line="252" w:lineRule="auto" w:before="20"/>
        <w:jc w:val="both"/>
      </w:pPr>
      <w:r>
        <w:rPr>
          <w:rFonts w:ascii="Times New Roman" w:hAnsi="Times New Roman"/>
          <w:color w:val="1E293B"/>
          <w:sz w:val="16"/>
        </w:rPr>
        <w:t>[13] Liu H, Li C, Wu Q and Lee Y J 2023 Visual instruction tuning. In: Proceedings of the Advances in Neural Information Processing Systems (NeurIPS), pp. 34892–34916.</w:t>
      </w:r>
    </w:p>
    <w:p>
      <w:pPr>
        <w:spacing w:after="40" w:line="252" w:lineRule="auto" w:before="20"/>
        <w:jc w:val="both"/>
      </w:pPr>
      <w:r>
        <w:rPr>
          <w:rFonts w:ascii="Times New Roman" w:hAnsi="Times New Roman"/>
          <w:color w:val="1E293B"/>
          <w:sz w:val="16"/>
        </w:rPr>
        <w:t>[14] DeepSeek-AI Team 2024 DeepSeek-VL: Towards real-world vision-language understanding. arXiv preprint arXiv:2403.05525.</w:t>
      </w:r>
    </w:p>
    <w:p>
      <w:pPr>
        <w:spacing w:after="40" w:line="252" w:lineRule="auto" w:before="20"/>
        <w:jc w:val="both"/>
      </w:pPr>
      <w:r>
        <w:rPr>
          <w:rFonts w:ascii="Times New Roman" w:hAnsi="Times New Roman"/>
          <w:color w:val="1E293B"/>
          <w:sz w:val="16"/>
        </w:rPr>
        <w:t>[15] Li B, Zhang Y, Chen L, Wang J, Yang H, Liu H et al. 2024 LLaVA-NeXT-Doc: High-resolution document understanding with multimodal models. arXiv preprint arXiv:2406.05085.</w:t>
      </w:r>
    </w:p>
    <w:p>
      <w:pPr>
        <w:spacing w:after="40" w:line="252" w:lineRule="auto" w:before="20"/>
        <w:jc w:val="both"/>
      </w:pPr>
      <w:r>
        <w:rPr>
          <w:rFonts w:ascii="Times New Roman" w:hAnsi="Times New Roman"/>
          <w:color w:val="1E293B"/>
          <w:sz w:val="16"/>
        </w:rPr>
        <w:t>[16] Bogin B, Berant J and Gardner M 2024 End-to-end table recognition and extraction from heterogeneous scanned documents. In: Proceedings of the Association for Computational Linguistics (ACL), pp. 2105–2119.</w:t>
      </w:r>
    </w:p>
    <w:p>
      <w:pPr>
        <w:spacing w:after="40" w:line="252" w:lineRule="auto" w:before="20"/>
        <w:jc w:val="both"/>
      </w:pPr>
      <w:r>
        <w:rPr>
          <w:rFonts w:ascii="Times New Roman" w:hAnsi="Times New Roman"/>
          <w:color w:val="1E293B"/>
          <w:sz w:val="16"/>
        </w:rPr>
        <w:t>[17] Gupta A, Sharma P and Sen R 2025 Synthetic academic credential generation for privacy-preserving document analysis. In: Proceedings of the International Conference on Document Analysis and Recognition (ICDAR).</w:t>
      </w:r>
    </w:p>
    <w:p>
      <w:pPr>
        <w:spacing w:after="40" w:line="252" w:lineRule="auto" w:before="20"/>
        <w:jc w:val="both"/>
      </w:pPr>
      <w:r>
        <w:rPr>
          <w:rFonts w:ascii="Times New Roman" w:hAnsi="Times New Roman"/>
          <w:color w:val="1E293B"/>
          <w:sz w:val="16"/>
        </w:rPr>
        <w:t>[18] Tensmeyer C and Martinez T 2020 Historical document image binarization: A review. SN Comput. Sci. 1(3): 173.</w:t>
      </w:r>
    </w:p>
    <w:p>
      <w:pPr>
        <w:spacing w:after="40" w:line="252" w:lineRule="auto" w:before="20"/>
        <w:jc w:val="both"/>
      </w:pPr>
      <w:r>
        <w:rPr>
          <w:rFonts w:ascii="Times New Roman" w:hAnsi="Times New Roman"/>
          <w:color w:val="1E293B"/>
          <w:sz w:val="16"/>
        </w:rPr>
        <w:t>[19] Smith R 2007 An overview of the Tesseract OCR engine. In: Proceedings of the International Conference on Document Analysis and Recognition (ICDAR), pp. 629–633.</w:t>
      </w:r>
    </w:p>
    <w:p>
      <w:pPr>
        <w:spacing w:after="40" w:line="252" w:lineRule="auto" w:before="20"/>
        <w:jc w:val="both"/>
      </w:pPr>
      <w:r>
        <w:rPr>
          <w:rFonts w:ascii="Times New Roman" w:hAnsi="Times New Roman"/>
          <w:color w:val="1E293B"/>
          <w:sz w:val="16"/>
        </w:rPr>
        <w:t>[20] Bunke H 2003 Recognition of cursive Roman handwriting—Past, present and future. In: Proceedings of the International Conference on Document Analysis and Recognition (ICDAR), pp. 448–459.</w:t>
      </w:r>
    </w:p>
    <w:p>
      <w:pPr>
        <w:spacing w:after="40" w:line="252" w:lineRule="auto" w:before="20"/>
        <w:jc w:val="both"/>
      </w:pPr>
      <w:r>
        <w:rPr>
          <w:rFonts w:ascii="Times New Roman" w:hAnsi="Times New Roman"/>
          <w:color w:val="1E293B"/>
          <w:sz w:val="16"/>
        </w:rPr>
        <w:t>[21] Levenshtein V I 1966 Binary codes capable of correcting deletions, insertions, and reversals. Soviet Physics Doklady 10(8): 707–710.</w:t>
      </w:r>
    </w:p>
    <w:p>
      <w:pPr>
        <w:spacing w:after="40" w:line="252" w:lineRule="auto" w:before="20"/>
        <w:jc w:val="both"/>
      </w:pPr>
      <w:r>
        <w:rPr>
          <w:rFonts w:ascii="Times New Roman" w:hAnsi="Times New Roman"/>
          <w:color w:val="1E293B"/>
          <w:sz w:val="16"/>
        </w:rPr>
        <w:t>[22] McNemar Q A 1947 Note on the sampling error of the difference between correlated proportions or percentages. Psychometrika 12(2): 153–157.</w:t>
      </w:r>
    </w:p>
    <w:p>
      <w:pPr>
        <w:spacing w:after="40" w:line="252" w:lineRule="auto" w:before="20"/>
        <w:jc w:val="both"/>
      </w:pPr>
      <w:r>
        <w:rPr>
          <w:rFonts w:ascii="Times New Roman" w:hAnsi="Times New Roman"/>
          <w:color w:val="1E293B"/>
          <w:sz w:val="16"/>
        </w:rPr>
        <w:t>[23] Wilcoxon F 1945 Individual comparisons by ranking methods. Biometrics Bull. 1(6): 80–83.</w:t>
      </w:r>
    </w:p>
    <w:p>
      <w:pPr>
        <w:spacing w:after="40" w:line="252" w:lineRule="auto" w:before="20"/>
        <w:jc w:val="both"/>
      </w:pPr>
      <w:r>
        <w:rPr>
          <w:rFonts w:ascii="Times New Roman" w:hAnsi="Times New Roman"/>
          <w:color w:val="1E293B"/>
          <w:sz w:val="16"/>
        </w:rPr>
        <w:t>[24] Efron B and Tibshirani R J 1994 An Introduction to the Bootstrap. Chapman and Hall/CRC, New York, USA.</w:t>
      </w:r>
    </w:p>
    <w:p>
      <w:pPr>
        <w:spacing w:after="40" w:line="252" w:lineRule="auto" w:before="20"/>
        <w:jc w:val="both"/>
      </w:pPr>
      <w:r>
        <w:rPr>
          <w:rFonts w:ascii="Times New Roman" w:hAnsi="Times New Roman"/>
          <w:color w:val="1E293B"/>
          <w:sz w:val="16"/>
        </w:rPr>
        <w:t>[25] Alvarez M, Roy S and Chen D 2026 Semantic canonicalization and normalizer evaluation in multi-modal document analysis. IEEE Trans. Pattern Anal. Mach. Intell. 48(3): 1120–1134.</w:t>
      </w:r>
    </w:p>
    <w:p>
      <w:pPr>
        <w:spacing w:after="40" w:line="252" w:lineRule="auto" w:before="20"/>
        <w:jc w:val="both"/>
      </w:pPr>
      <w:r>
        <w:rPr>
          <w:rFonts w:ascii="Times New Roman" w:hAnsi="Times New Roman"/>
          <w:color w:val="1E293B"/>
          <w:sz w:val="16"/>
        </w:rPr>
        <w:t>[26] Singh P, Ramanathan K and Zhao T 2026 Privacy-preserving synthetic document generation for administrative credential intelligence. ACM Trans. Inf. Syst. 44(1): 45–62.</w:t>
      </w:r>
    </w:p>
    <w:p>
      <w:pPr>
        <w:spacing w:after="40" w:line="252" w:lineRule="auto" w:before="20"/>
        <w:jc w:val="both"/>
      </w:pPr>
      <w:r>
        <w:rPr>
          <w:rFonts w:ascii="Times New Roman" w:hAnsi="Times New Roman"/>
          <w:color w:val="1E293B"/>
          <w:sz w:val="16"/>
        </w:rPr>
        <w:t>[27] Karatzas D, Gomez L, Dimosthenis K and Jawahar C V 2025 ICDAR 2025 competition on robust document extraction across heterogeneous optical degradation profiles. In: Proceedings of the International Conference on Document Analysis and Recognition (ICDAR), pp. 210–225.</w:t>
      </w:r>
    </w:p>
    <w:p>
      <w:pPr>
        <w:spacing w:after="40" w:line="252" w:lineRule="auto" w:before="20"/>
        <w:jc w:val="both"/>
      </w:pPr>
      <w:r>
        <w:rPr>
          <w:rFonts w:ascii="Times New Roman" w:hAnsi="Times New Roman"/>
          <w:color w:val="1E293B"/>
          <w:sz w:val="16"/>
        </w:rPr>
        <w:t>[28] Smet E B and Jones R K 2026 Regulatory compliance and diagnostic error taxonomy in higher education administrative document processing. J. Educ. Data Mining 18(2): 88–109.</w:t>
      </w:r>
    </w:p>
    <w:p>
      <w:pPr>
        <w:spacing w:after="40" w:line="252" w:lineRule="auto" w:before="20"/>
        <w:jc w:val="both"/>
      </w:pPr>
      <w:r>
        <w:rPr>
          <w:rFonts w:ascii="Times New Roman" w:hAnsi="Times New Roman"/>
          <w:color w:val="1E293B"/>
          <w:sz w:val="16"/>
        </w:rPr>
        <w:t>[29] Blaschke T, Schneider L, Weber M and Schutz F 2024 Evaluation of zero-shot visual information extraction models on structured forms. In: Proceedings of the Conference on Empirical Methods in Natural Language Processing (EMNLP), pp. 4310–4325.</w:t>
      </w:r>
    </w:p>
    <w:p>
      <w:pPr>
        <w:spacing w:after="40" w:line="252" w:lineRule="auto" w:before="20"/>
        <w:jc w:val="both"/>
      </w:pPr>
      <w:r>
        <w:rPr>
          <w:rFonts w:ascii="Times New Roman" w:hAnsi="Times New Roman"/>
          <w:color w:val="1E293B"/>
          <w:sz w:val="16"/>
        </w:rPr>
        <w:t>[30] Pan S J and Yang Q 2024 A survey on transfer learning and domain adaptation in document analysis. IEEE Trans. Knowl. Data Eng. 36(5): 1890–1908.</w:t>
      </w:r>
    </w:p>
    <w:p>
      <w:pPr>
        <w:spacing w:before="20" w:after="40" w:line="252" w:lineRule="auto"/>
        <w:jc w:val="both"/>
      </w:pPr>
      <w:r>
        <w:rPr>
          <w:rFonts w:ascii="Times New Roman" w:hAnsi="Times New Roman"/>
          <w:color w:val="1E293B"/>
          <w:sz w:val="16"/>
        </w:rPr>
        <w:t>[31] Rajput A 2026 AU DIC: Smart academic document intelligence and decoupled benchmark evaluation framework. SoftwareX 29: 102140.</w:t>
      </w:r>
    </w:p>
    <w:p>
      <w:pPr>
        <w:spacing w:after="40" w:line="252" w:lineRule="auto" w:before="20"/>
        <w:jc w:val="both"/>
      </w:pPr>
      <w:r>
        <w:rPr>
          <w:rFonts w:ascii="Times New Roman" w:hAnsi="Times New Roman"/>
          <w:color w:val="1E293B"/>
          <w:sz w:val="16"/>
        </w:rPr>
        <w:t>[32] Lin Y, Ding H, Jiang J, Zhao C, Sun X and Liu Y 2025 DocFormers 2.0: Multimodal document understanding with multi-task instruction tuning. In: Proceedings of the IEEE/CVF Conference on Computer Vision and Pattern Recognition (CVPR), pp. 14201–14211.</w:t>
      </w:r>
    </w:p>
    <w:p>
      <w:pPr>
        <w:spacing w:after="40" w:line="252" w:lineRule="auto" w:before="20"/>
        <w:jc w:val="both"/>
      </w:pPr>
      <w:r>
        <w:rPr>
          <w:rFonts w:ascii="Times New Roman" w:hAnsi="Times New Roman"/>
          <w:color w:val="1E293B"/>
          <w:sz w:val="16"/>
        </w:rPr>
        <w:t>[33] Chen X, Wang Z, Zhang M, Yang K and Shen L 2025 Benchmarking multimodal vision-language models under extreme physical and optical distortions. Comput. Vis. Image Underst. 240: 103920.</w:t>
      </w:r>
    </w:p>
    <w:p>
      <w:pPr>
        <w:spacing w:after="40" w:line="252" w:lineRule="auto" w:before="20"/>
        <w:jc w:val="both"/>
      </w:pPr>
      <w:r>
        <w:rPr>
          <w:rFonts w:ascii="Times New Roman" w:hAnsi="Times New Roman"/>
          <w:color w:val="1E293B"/>
          <w:sz w:val="16"/>
        </w:rPr>
        <w:t>[34] Zhang R, Yu J, Zhou P, Chen X and Tang J 2025 A survey on multimodal large language models for document AI: Architectures, benchmarks, and future directions. Pattern Recognit. 152: 110450.</w:t>
      </w:r>
    </w:p>
    <w:p>
      <w:pPr>
        <w:spacing w:after="40" w:line="252" w:lineRule="auto" w:before="20"/>
        <w:jc w:val="both"/>
      </w:pPr>
      <w:r>
        <w:rPr>
          <w:rFonts w:ascii="Times New Roman" w:hAnsi="Times New Roman"/>
          <w:color w:val="1E293B"/>
          <w:sz w:val="16"/>
        </w:rPr>
        <w:t>[35] U.S. Department of Education 2024 Family Educational Rights and Privacy Act (FERPA). 34 CFR Part 99.</w:t>
      </w:r>
    </w:p>
    <w:p>
      <w:pPr>
        <w:spacing w:after="40" w:line="252" w:lineRule="auto" w:before="20"/>
        <w:jc w:val="both"/>
      </w:pPr>
      <w:r>
        <w:rPr>
          <w:rFonts w:ascii="Times New Roman" w:hAnsi="Times New Roman"/>
          <w:color w:val="1E293B"/>
          <w:sz w:val="16"/>
        </w:rPr>
        <w:t>[36] ISO/IEC 2025 Information technology — Syntactic and semantic normalization for document processing. ISO/IEC Standard 24751.</w:t>
      </w:r>
    </w:p>
    <w:p>
      <w:pPr>
        <w:spacing w:after="40" w:line="252" w:lineRule="auto" w:before="20"/>
        <w:jc w:val="both"/>
      </w:pPr>
      <w:r>
        <w:rPr>
          <w:rFonts w:ascii="Times New Roman" w:hAnsi="Times New Roman"/>
          <w:color w:val="1E293B"/>
          <w:sz w:val="16"/>
        </w:rPr>
        <w:t>[37] Das K and Tanaka H 2026 Taxonomy of OCR and VLM error distribution in semi-structured financial and administrative records. In: Proceedings of the Document Analysis Systems (DAS), pp. 115–130.</w:t>
      </w:r>
    </w:p>
    <w:p>
      <w:pPr>
        <w:spacing w:after="40" w:line="252" w:lineRule="auto" w:before="20"/>
        <w:jc w:val="both"/>
      </w:pPr>
      <w:r>
        <w:rPr>
          <w:rFonts w:ascii="Times New Roman" w:hAnsi="Times New Roman"/>
          <w:color w:val="1E293B"/>
          <w:sz w:val="16"/>
        </w:rPr>
        <w:t>[38] Wei H, Kong L, Chen J, Zhao R, Ge Z, Yang J et al. 2024 General OCR Theory: Towards OCR-2.0 via a unified end-to-end model. arXiv preprint arXiv:2409.01704.</w:t>
      </w:r>
    </w:p>
    <w:p>
      <w:pPr>
        <w:spacing w:after="40" w:line="252" w:lineRule="auto" w:before="20"/>
        <w:jc w:val="both"/>
      </w:pPr>
      <w:r>
        <w:rPr>
          <w:rFonts w:ascii="Times New Roman" w:hAnsi="Times New Roman"/>
          <w:color w:val="1E293B"/>
          <w:sz w:val="16"/>
        </w:rPr>
        <w:t>[39] Devlin J, Chang M-W, Lee K and Toutanova K 2019 BERT: Pre-training of deep bidirectional transformers for language understanding. In: Proceedings of the Conference of the North American Chapter of the Association for Computational Linguistics (NAACL-HLT), pp. 4171–4186.</w:t>
      </w:r>
    </w:p>
    <w:p>
      <w:pPr>
        <w:spacing w:after="40" w:line="252" w:lineRule="auto" w:before="20"/>
        <w:jc w:val="both"/>
      </w:pPr>
      <w:r>
        <w:rPr>
          <w:rFonts w:ascii="Times New Roman" w:hAnsi="Times New Roman"/>
          <w:color w:val="1E293B"/>
          <w:sz w:val="16"/>
        </w:rPr>
        <w:t>[40] Radford A, Wu J, Child R, Luan D, Amodei D and Sutskever I 2019 Language models are unsupervised multitask learners. OpenAI Blog 1(8): 9.</w:t>
      </w:r>
    </w:p>
    <w:p>
      <w:pPr>
        <w:spacing w:after="40" w:line="252" w:lineRule="auto" w:before="20"/>
        <w:jc w:val="both"/>
      </w:pPr>
      <w:r>
        <w:rPr>
          <w:rFonts w:ascii="Times New Roman" w:hAnsi="Times New Roman"/>
          <w:color w:val="1E293B"/>
          <w:sz w:val="16"/>
        </w:rPr>
        <w:t>[41] Brown T, Mann B, Ryder N, Subbiah M, Kaplan J, Dhariwal P et al. 2020 Language models are few-shot learners. In: Proceedings of the Advances in Neural Information Processing Systems (NeurIPS) 33: 1877–1901.</w:t>
      </w:r>
    </w:p>
    <w:p>
      <w:pPr>
        <w:spacing w:after="40" w:line="252" w:lineRule="auto" w:before="20"/>
        <w:jc w:val="both"/>
      </w:pPr>
      <w:r>
        <w:rPr>
          <w:rFonts w:ascii="Times New Roman" w:hAnsi="Times New Roman"/>
          <w:color w:val="1E293B"/>
          <w:sz w:val="16"/>
        </w:rPr>
        <w:t>[42] Lewis P, Perez E, Piktus A, Petroni F, Karpukhin V, Goyal N et al. 2020 Retrieval-augmented generation for knowledge-intensive NLP tasks. In: Proceedings of the Advances in Neural Information Processing Systems (NeurIPS) 33: 9459–9474.</w:t>
      </w:r>
    </w:p>
    <w:p>
      <w:pPr>
        <w:spacing w:after="40" w:line="252" w:lineRule="auto" w:before="20"/>
        <w:jc w:val="both"/>
      </w:pPr>
      <w:r>
        <w:rPr>
          <w:rFonts w:ascii="Times New Roman" w:hAnsi="Times New Roman"/>
          <w:color w:val="1E293B"/>
          <w:sz w:val="16"/>
        </w:rPr>
        <w:t>[43] OpenDataLab 2024 MinerU: A high-precision PDF document content extraction tool. GitHub repository, https://github.com/opendatalab/MinerU.</w:t>
      </w:r>
    </w:p>
    <w:p>
      <w:pPr>
        <w:spacing w:after="40" w:line="252" w:lineRule="auto" w:before="20"/>
        <w:jc w:val="both"/>
      </w:pPr>
      <w:r>
        <w:rPr>
          <w:rFonts w:ascii="Times New Roman" w:hAnsi="Times New Roman"/>
          <w:color w:val="1E293B"/>
          <w:sz w:val="16"/>
        </w:rPr>
        <w:t>[44] Long S, He X and Yao C 2021 Scene text detection and recognition: The deep learning era. Int. J. Comput. Vis. 129(1): 161–184.</w:t>
      </w:r>
    </w:p>
    <w:p>
      <w:pPr>
        <w:spacing w:after="40" w:line="252" w:lineRule="auto" w:before="20"/>
        <w:jc w:val="both"/>
      </w:pPr>
      <w:r>
        <w:rPr>
          <w:rFonts w:ascii="Times New Roman" w:hAnsi="Times New Roman"/>
          <w:color w:val="1E293B"/>
          <w:sz w:val="16"/>
        </w:rPr>
        <w:t>[45] Xu Y, Li M, Cui L, Huang S, Wei F and Zhou M 2020 LayoutLM: Pre-training of text and layout for document image understanding. In: Proceedings of the ACM SIGKDD International Conference on Knowledge Discovery &amp; Data Mining, pp. 1192–1200.</w:t>
      </w:r>
    </w:p>
    <w:p>
      <w:pPr>
        <w:spacing w:before="20" w:after="40" w:line="252" w:lineRule="auto"/>
        <w:jc w:val="both"/>
      </w:pPr>
      <w:r>
        <w:rPr>
          <w:rFonts w:ascii="Times New Roman" w:hAnsi="Times New Roman"/>
          <w:color w:val="1E293B"/>
          <w:sz w:val="16"/>
        </w:rPr>
        <w:t>[46] Xu Y, Xu Y, Lv T, Cui L, Wei F, Wang X et al. 2021 LayoutLMv2: Multi-modal pre-training for visually-rich document understanding. In: Proceedings of the Association for Computational Linguistics (ACL), pp. 2579–2591.</w:t>
      </w:r>
    </w:p>
    <w:p>
      <w:pPr>
        <w:spacing w:before="20" w:after="40" w:line="252" w:lineRule="auto"/>
        <w:jc w:val="both"/>
      </w:pPr>
      <w:r>
        <w:rPr>
          <w:rFonts w:ascii="Times New Roman" w:hAnsi="Times New Roman"/>
          <w:color w:val="1E293B"/>
          <w:sz w:val="16"/>
        </w:rPr>
        <w:t>[47] Carbonell M, Fornes A, Mas J and Llados J 2024 Neural optical character recognition for structured document images: A comprehensive benchmark. IEEE Access 12: 45012–45028.</w:t>
      </w:r>
    </w:p>
    <w:p>
      <w:pPr>
        <w:spacing w:before="20" w:after="40" w:line="252" w:lineRule="auto"/>
        <w:jc w:val="both"/>
      </w:pPr>
      <w:r>
        <w:rPr>
          <w:rFonts w:ascii="Times New Roman" w:hAnsi="Times New Roman"/>
          <w:color w:val="1E293B"/>
          <w:sz w:val="16"/>
        </w:rPr>
        <w:t>[48] European Union 2016 General Data Protection Regulation (GDPR). Regulation (EU) 2016/679.</w:t>
      </w:r>
    </w:p>
    <w:p>
      <w:pPr>
        <w:spacing w:before="20" w:after="40" w:line="252" w:lineRule="auto"/>
        <w:jc w:val="both"/>
      </w:pPr>
      <w:r>
        <w:rPr>
          <w:rFonts w:ascii="Times New Roman" w:hAnsi="Times New Roman"/>
          <w:color w:val="1E293B"/>
          <w:sz w:val="16"/>
        </w:rPr>
        <w:t>[49] Breuel T M 2008 The OCRopus open source OCR system. In: Proceedings of the SPIE Document Recognition and Retrieval XV 6815: 68150F.</w:t>
      </w:r>
    </w:p>
    <w:p>
      <w:pPr>
        <w:spacing w:before="20" w:after="40" w:line="252" w:lineRule="auto"/>
        <w:jc w:val="both"/>
      </w:pPr>
      <w:r>
        <w:rPr>
          <w:rFonts w:ascii="Times New Roman" w:hAnsi="Times New Roman"/>
          <w:color w:val="1E293B"/>
          <w:sz w:val="16"/>
        </w:rPr>
        <w:t>[50] Rajput A 2026 Academic Universe Benchmark Suite Repository. https://github.com/aashishrajput9838/academicuniverse.git (accessed on 24 August 2026).</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