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60" w:line="252" w:lineRule="auto"/>
        <w:jc w:val="center"/>
      </w:pPr>
      <w:r>
        <w:rPr>
          <w:rFonts w:ascii="Times New Roman" w:hAnsi="Times New Roman"/>
          <w:b/>
          <w:sz w:val="40"/>
        </w:rPr>
        <w:t>Smart Academic Document Intelligence System: Automated Extraction, Normalization, and Benchmark Generation</w:t>
      </w:r>
    </w:p>
    <w:p w14:paraId="547EAF43">
      <w:pPr>
        <w:spacing w:before="0" w:after="60" w:line="252"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0" w:after="60" w:line="252" w:lineRule="auto"/>
      </w:pPr>
      <w:r/>
    </w:p>
    <w:p w14:paraId="60F0607A">
      <w:pPr>
        <w:spacing w:before="0" w:after="60" w:line="252"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 unique physical multi-modal specimens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 paired field observations, the model achieved 97.80% student name recognition, 93.30% university recognition, and 100.00% category classification accuracy. Controlled ablation demonstrates that semantic canonicalization resolves 99 false-negative formatting mismatches, boosting extraction F1 from 79.56% to 90.56% (+11.00% net gain, +13.83% relative) and reducing Character Error Rate from 9.69% to 3.64% (-62.44% relative error reduction) with high statistical significance (McNemar χ² = 97.01, p &lt; 0.0001). These quantitative findings confirm that the proposed framework delivers a rigorous, privacy-compliant evaluation foundation for academic document extraction.</w:t>
      </w:r>
    </w:p>
    <w:p w14:paraId="01FA128A">
      <w:pPr>
        <w:spacing w:before="0" w:after="60" w:line="252" w:lineRule="auto"/>
      </w:pPr>
      <w:r/>
    </w:p>
    <w:p w14:paraId="2A2B8802">
      <w:pPr>
        <w:spacing w:before="0" w:after="60" w:line="252"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120" w:after="40"/>
        <w:jc w:val="both"/>
        <w:outlineLvl w:val="0"/>
      </w:pPr>
      <w:r>
        <w:rPr>
          <w:rFonts w:ascii="Times New Roman" w:hAnsi="Times New Roman"/>
          <w:b/>
          <w:sz w:val="24"/>
        </w:rPr>
        <w:t>1. Introduction</w:t>
      </w:r>
    </w:p>
    <w:p>
      <w:pPr>
        <w:spacing w:after="60" w:before="0" w:line="252" w:lineRule="auto"/>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60" w:before="0" w:line="252" w:lineRule="auto"/>
        <w:jc w:val="both"/>
      </w:pPr>
      <w:r>
        <w:rPr>
          <w:rFonts w:ascii="Times New Roman" w:hAnsi="Times New Roman"/>
          <w:sz w:val="20"/>
        </w:rPr>
        <w:t>The key contributions of this work are summarized as follows:</w:t>
      </w:r>
    </w:p>
    <w:p>
      <w:pPr>
        <w:spacing w:after="40" w:before="12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40" w:before="12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40" w:before="12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40" w:before="12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40" w:before="12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0" w:after="60" w:line="252" w:lineRule="auto"/>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120" w:after="40"/>
        <w:jc w:val="both"/>
        <w:outlineLvl w:val="0"/>
      </w:pPr>
      <w:r>
        <w:rPr>
          <w:rFonts w:ascii="Times New Roman" w:hAnsi="Times New Roman"/>
          <w:b/>
          <w:sz w:val="24"/>
        </w:rPr>
        <w:t>2. Related Work</w:t>
      </w:r>
    </w:p>
    <w:p>
      <w:pPr>
        <w:spacing w:after="60" w:before="0" w:line="252" w:lineRule="auto"/>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60" w:after="20"/>
        <w:jc w:val="center"/>
      </w:pPr>
      <w:r>
        <w:rPr>
          <w:rFonts w:ascii="Times New Roman" w:hAnsi="Times New Roman"/>
          <w:b/>
          <w:sz w:val="18"/>
        </w:rPr>
        <w:t>TABLE 1: LITERATURE SURVEY OF HIGHLY RELEVANT DOCUMENT INTELLIGENCE AND ACADEMIC CREDENTIAL RESEARCH</w:t>
      </w:r>
    </w:p>
    <w:p>
      <w:pPr>
        <w:spacing w:before="0" w:after="60" w:line="252" w:lineRule="auto"/>
      </w:pPr>
    </w:p>
    <w:tbl>
      <w:tblPr>
        <w:tblW w:type="auto" w:w="0"/>
        <w:jc w:val="center"/>
        <w:tblLook w:firstColumn="1" w:firstRow="1" w:lastColumn="0" w:lastRow="0" w:noHBand="0" w:noVBand="1" w:val="04A0"/>
      </w:tblPr>
      <w:tblGrid>
        <w:gridCol w:w="936"/>
        <w:gridCol w:w="936"/>
        <w:gridCol w:w="936"/>
        <w:gridCol w:w="936"/>
        <w:gridCol w:w="936"/>
        <w:gridCol w:w="936"/>
        <w:gridCol w:w="936"/>
      </w:tblGrid>
      <w:tr>
        <w:tc>
          <w:tcPr>
            <w:tcW w:type="dxa" w:w="172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Sr. No.</w:t>
            </w:r>
          </w:p>
        </w:tc>
        <w:tc>
          <w:tcPr>
            <w:tcW w:type="dxa" w:w="1152"/>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Paper Title &amp; Ref</w:t>
            </w:r>
          </w:p>
        </w:tc>
        <w:tc>
          <w:tcPr>
            <w:tcW w:type="dxa" w:w="576"/>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Authors</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Year</w:t>
            </w:r>
          </w:p>
        </w:tc>
        <w:tc>
          <w:tcPr>
            <w:tcW w:type="dxa" w:w="1008"/>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Model &amp; Architecture</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Evaluated Dataset / Domain</w:t>
            </w:r>
          </w:p>
        </w:tc>
        <w:tc>
          <w:tcPr>
            <w:tcW w:type="dxa" w:w="504"/>
            <w:tcMar>
              <w:top w:w="40" w:type="dxa"/>
              <w:bottom w:w="40"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Reported Performance &amp; Best Metric</w:t>
            </w:r>
          </w:p>
        </w:tc>
        <w:tc>
          <w:tcPr>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Research Limitations &amp; Strategic Solutions</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End-to-End Extraction from Receipts &amp; Financial Docs [2]</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 Zhang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CNN-BiLSTM-Transformer (PyTorch)</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ICDAR SROIE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94.1% F1 (94.8% P, 93.5%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Restricted to receipts; lacks privacy-compliant academic credential synthesis.</w:t>
              <w:br/>
              <w:t>Our Solution: ADBG v1.0 generates synthetic credentials with pixel-exact ground truth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Noisy Form Layout Analysis &amp; Entity Linking [4]</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K. Zhao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LayoutLM-FormNet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FUNSD Noisy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86.8% F1 (87.2% P, 86.4% R)</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Static scans only; lacks systematic optical degradation.</w:t>
              <w:br/>
              <w:t>Our Solution: AU DIC evaluates across 4 controlled degradation profiles (clean, scan, mobile, rot90) [27].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Unified Pre-trained VLMs for Document AI [6]</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X. Yang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LayoutLMv3 (Multimodal)</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RVL-CDIP / DocVQA</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92.4% F1 (91.8%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Unnormalized string matching penalizes benign formatting syntax variances.</w:t>
              <w:br/>
              <w:t>Our Solution: 6-stage CanonicalNormalizer standardizes dates, roll numbers, and aliases [25].</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OCR-Free Visual Document Processing via Swin Transformers [7]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 Wang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Donut (OCR-Free Swin Transformer)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CORD / Donut-Bench</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88.2% F1 (84.5%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Vulnerable to severe orientation rotations and lacks root-cause error diagnostics.</w:t>
              <w:br/>
              <w:t>Our Solution: AU DIC integrates a 9-class structured diagnostic error taxonomy [37].</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5</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Multi-Task Vision-Language Representations for Content Extraction [9]</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 Patel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Florence-2 (Vision Transformer)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 TextVQA Suite</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87.6% F1 (85.2%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Generic visual tasks only; lacks dedicated academic credential parsing protocols.</w:t>
              <w:br/>
              <w:t>Our Solution: Specialized Typst templates for certificates, marksheets, and student ID cards [26].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6</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mPLUG-DocOwl2: High-Res OCR-Free Multi-Page Understanding [10]</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Hu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 2.0 (LLaMA-7B Vision)</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DocOwl-Bench (Multi-page)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85.9% F1 (81.3% Accuracy)</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Fails to isolate genuine OCR recognition errors from superficial syntax differences.</w:t>
              <w:br/>
              <w:t>Our Solution: Two-pass ablation isolates formatting discrepancies before metric calculation [25].</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Enhancing VLMs with Dynamic Resolution [11]</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 Bai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Qwen2.5-VL (7B/72B NaViT)</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DocVQA &amp; Open Document AI</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89.4% F1 (86.7% Accuracy)</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Evaluated on public datasets lacking statutory educational privacy restrictions.</w:t>
              <w:br/>
              <w:t>Our Solution: Synthetic generation framework eliminates real student PII while preserving realism [28].</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Academic Credential Generation for Document Analysis [17]</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 Gupta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2025</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Synthetic PDF Template Generator</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Higher Ed Administrative Forms</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 Privacy Compliance (0% PII)</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Focuses solely on generation without decoupled evaluation or canonical normalization.</w:t>
              <w:br/>
              <w:t>Our Solution: AU DIC provides strictly read-only evaluation with ground-truth pairing [31].</w:t>
            </w:r>
          </w:p>
        </w:tc>
      </w:tr>
      <w:tr>
        <w:tc>
          <w:tcPr>
            <w:tcW w:type="dxa" w:w="172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w:t>
            </w:r>
          </w:p>
        </w:tc>
        <w:tc>
          <w:tcPr>
            <w:tcW w:type="dxa" w:w="1152"/>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Semantic Canonicalization &amp; Normalizer Evaluation in Document Analysis [25]</w:t>
            </w:r>
          </w:p>
        </w:tc>
        <w:tc>
          <w:tcPr>
            <w:tcW w:type="dxa" w:w="576"/>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M. Alvarez et al.</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Canonicalization Rule Normalizer</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Commercial Invoices &amp; Receipts</w:t>
            </w:r>
          </w:p>
        </w:tc>
        <w:tc>
          <w:tcPr>
            <w:tcW w:type="dxa" w:w="504"/>
            <w:tcMar>
              <w:top w:w="40" w:type="dxa"/>
              <w:bottom w:w="40"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90.4% F1 (91.2% P, 89.7% R)</w:t>
            </w:r>
          </w:p>
        </w:tc>
        <w:tc>
          <w:tcPr>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Limitation: Tested only on commercial invoices; lacks institutional alias and roll number mappings.</w:t>
              <w:br/>
              <w:t>Our Solution: CanonicalNormalizer incorporates 6 domain stages specialized for academic records [36].</w:t>
            </w:r>
          </w:p>
        </w:tc>
      </w:tr>
      <w:tr>
        <w:tc>
          <w:tcPr>
            <w:tcW w:type="dxa" w:w="172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w:t>
            </w:r>
          </w:p>
        </w:tc>
        <w:tc>
          <w:tcPr>
            <w:tcW w:type="dxa" w:w="115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Privacy-Preserving Synthetic Document Generation [26]</w:t>
            </w:r>
          </w:p>
        </w:tc>
        <w:tc>
          <w:tcPr>
            <w:tcW w:type="dxa" w:w="576"/>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 Singh et al.</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2026</w:t>
            </w:r>
          </w:p>
        </w:tc>
        <w:tc>
          <w:tcPr>
            <w:tcW w:type="dxa" w:w="1008"/>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ADBG Prototype (Typst Engine)</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Academic Credential Benchmark</w:t>
            </w:r>
          </w:p>
        </w:tc>
        <w:tc>
          <w:tcPr>
            <w:tcW w:type="dxa" w:w="504"/>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Deterministic Multi-Modal Suite</w:t>
            </w:r>
          </w:p>
        </w:tc>
        <w:tc>
          <w:tcPr>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Limitation: Established generation framework but lacked comprehensive live VLM empirical benchmarking.</w:t>
              <w:br/>
              <w:t>Our Solution: AU DIC couples ADBG with live local Ollama runtime evaluation across 900 field observations [31].</w:t>
            </w:r>
          </w:p>
        </w:tc>
      </w:tr>
    </w:tbl>
    <w:p w14:paraId="5DED24D5">
      <w:pPr>
        <w:keepNext/>
        <w:spacing w:before="120" w:after="40"/>
        <w:jc w:val="both"/>
        <w:outlineLvl w:val="0"/>
      </w:pPr>
      <w:r>
        <w:rPr>
          <w:rFonts w:ascii="Times New Roman" w:hAnsi="Times New Roman"/>
          <w:b/>
          <w:sz w:val="24"/>
        </w:rPr>
        <w:t>3. Methodology</w:t>
      </w:r>
    </w:p>
    <w:p>
      <w:pPr>
        <w:spacing w:after="60" w:before="0" w:line="252" w:lineRule="auto"/>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0" w:after="60" w:line="252" w:lineRule="auto"/>
        <w:jc w:val="center"/>
      </w:pPr>
      <w:r>
        <w:drawing>
          <ns4:inline>
            <ns4:extent cx="5486400" cy="2926080"/>
            <ns4:docPr id="8" name="Picture 8"/>
            <ns4:cNvGraphicFramePr>
              <ns5:graphicFrameLocks noChangeAspect="1"/>
            </ns4:cNvGraphicFramePr>
            <ns5:graphic>
              <ns5:graphicData uri="http://schemas.openxmlformats.org/drawingml/2006/picture">
                <ns6:pic>
                  <ns6:nvPicPr>
                    <ns6:cNvPr id="0" name="figure1_system_architecture_mermaid.png"/>
                    <ns6:cNvPicPr/>
                  </ns6:nvPicPr>
                  <ns6:blipFill>
                    <ns5:blip r:embed="rId18"/>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1. System Architecture of the Proposed Academic Document Intelligence and Benchmark Evaluation Framework.</w:t>
      </w:r>
    </w:p>
    <w:p>
      <w:pPr>
        <w:spacing w:before="0" w:after="60" w:line="252" w:lineRule="auto"/>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0" w:after="60" w:line="252" w:lineRule="auto"/>
        <w:jc w:val="center"/>
      </w:pPr>
      <w:r>
        <w:drawing>
          <ns4:inline>
            <ns4:extent cx="5486400" cy="2926080"/>
            <ns4:docPr id="9" name="Picture 9"/>
            <ns4:cNvGraphicFramePr>
              <ns5:graphicFrameLocks noChangeAspect="1"/>
            </ns4:cNvGraphicFramePr>
            <ns5:graphic>
              <ns5:graphicData uri="http://schemas.openxmlformats.org/drawingml/2006/picture">
                <ns6:pic>
                  <ns6:nvPicPr>
                    <ns6:cNvPr id="0" name="figure2_data_flow_mermaid.png"/>
                    <ns6:cNvPicPr/>
                  </ns6:nvPicPr>
                  <ns6:blipFill>
                    <ns5:blip r:embed="rId19"/>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2. Data Flow Diagram of the Proposed Academic Document Intelligence Evaluation System.</w:t>
      </w:r>
    </w:p>
    <w:p>
      <w:pPr>
        <w:spacing w:before="0" w:after="60" w:line="252" w:lineRule="auto"/>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120" w:after="40"/>
        <w:jc w:val="both"/>
        <w:outlineLvl w:val="0"/>
      </w:pPr>
      <w:r>
        <w:rPr>
          <w:rFonts w:ascii="Times New Roman" w:hAnsi="Times New Roman"/>
          <w:b/>
          <w:sz w:val="24"/>
        </w:rPr>
        <w:t>4. Experimental Setup</w:t>
      </w:r>
    </w:p>
    <w:p>
      <w:pPr>
        <w:spacing w:before="0" w:after="60" w:line="252" w:lineRule="auto"/>
        <w:outlineLvl w:val="1"/>
      </w:pPr>
      <w:r>
        <w:rPr>
          <w:rFonts w:ascii="Times New Roman" w:hAnsi="Times New Roman"/>
          <w:b/>
          <w:sz w:val="21"/>
        </w:rPr>
        <w:t>4.1 Experimental Environment</w:t>
      </w:r>
    </w:p>
    <w:p>
      <w:pPr>
        <w:spacing w:after="60" w:before="0" w:line="252" w:lineRule="auto"/>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2 summarizes the experimental computing infrastructure and software runtime configuration.</w:t>
      </w:r>
    </w:p>
    <w:p>
      <w:pPr>
        <w:spacing w:before="60" w:after="20"/>
        <w:jc w:val="center"/>
      </w:pPr>
      <w:r>
        <w:rPr>
          <w:rFonts w:ascii="Times New Roman" w:hAnsi="Times New Roman"/>
          <w:b/>
          <w:sz w:val="18"/>
        </w:rPr>
        <w:t>TABLE 2: EXPERIMENTAL COMPUTING ENVIRONMENT</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Parameter</w:t>
            </w:r>
          </w:p>
        </w:tc>
        <w:tc>
          <w:tcPr>
            <w:tcW w:type="dxa" w:w="6192"/>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Configuration / Value</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Operating System</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Microsoft Windows 11 Professional (64-bit, x86_64 Architecture)</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Compute Hardware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HP EliteBook 840 G8 Workstation</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Processor (CPU)</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Intel Core i7 Processor</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System Memory (RAM)</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16 GB DDR4 System RAM</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Hardware Acceleration</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None (CPU-Only Model Inference Execution)</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Inference Serving Engine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Ollama Local Runtime (v0.32.14, Local Host)</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Evaluated Neural Engine</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MiniCPM-V (minicpm-v:latest, ~7.6B Parameters, Q4_0 GGUF)</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Software Environments</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Python 3.14.x, Node.js v18.x, npm v9.x</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Scientific &amp; Statistical Stack</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scipy &gt;= 1.11, pandas &gt;= 2.0, numpy &gt;= 1.24, scikit-learn &gt;= 1.3</w:t>
            </w:r>
          </w:p>
        </w:tc>
      </w:tr>
      <w:tr>
        <w:tc>
          <w:tcPr>
            <w:tcW w:type="dxa" w:w="3168"/>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Framework Execution Mode</w:t>
            </w:r>
          </w:p>
        </w:tc>
        <w:tc>
          <w:tcPr>
            <w:tcW w:type="dxa" w:w="6192"/>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Execution (isReadOnly: true, 0 Database Writes)</w:t>
            </w:r>
          </w:p>
        </w:tc>
      </w:tr>
      <w:tr>
        <w:tc>
          <w:tcPr>
            <w:tcW w:type="dxa" w:w="3168"/>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Master Deterministic Seed</w:t>
            </w:r>
          </w:p>
        </w:tc>
        <w:tc>
          <w:tcPr>
            <w:tcW w:type="dxa" w:w="6192"/>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SeedManager.masterSeed = 42</w:t>
            </w:r>
          </w:p>
        </w:tc>
      </w:tr>
    </w:tbl>
    <w:p>
      <w:pPr>
        <w:spacing w:before="0" w:after="60" w:line="252" w:lineRule="auto"/>
        <w:outlineLvl w:val="1"/>
      </w:pPr>
      <w:r>
        <w:rPr>
          <w:rFonts w:ascii="Times New Roman" w:hAnsi="Times New Roman"/>
          <w:b/>
          <w:sz w:val="21"/>
        </w:rPr>
        <w:t>4.2 Dataset and Benchmark Composition</w:t>
      </w:r>
    </w:p>
    <w:p>
      <w:pPr>
        <w:spacing w:after="60" w:before="0" w:line="252" w:lineRule="auto"/>
        <w:jc w:val="both"/>
      </w:pPr>
      <w:r>
        <w:t>The evaluation benchmark suite (AU_DIC_Benchmark_v1.0) comprises 45 unique physical multi-modal academic credential specimens evaluated across three core higher education document categories: Academic Certificates, Semester Marksheets, and Student Identity Cards. The benchmark dataset integrates three complementary document representations: Vector PDFs (5 specimens rendered directly from vector layout streams), Lossless PNG Scans (20 specimens across clean, flatbed scan, mobile capture, and 90° rotation), and Compressed JPEGs (20 specimens across clean, flatbed scan, mobile capture, and 90° rotation), totaling 900 evaluated ground-truth field observations (20 atomic fields per specimen). Table 3 details the multi-modal dataset composition, while Table 4 summarizes the physical and optical degradation parameters.</w:t>
      </w:r>
    </w:p>
    <w:p>
      <w:pPr>
        <w:spacing w:before="60" w:after="20"/>
        <w:jc w:val="center"/>
      </w:pPr>
      <w:r>
        <w:rPr>
          <w:rFonts w:ascii="Times New Roman" w:hAnsi="Times New Roman"/>
          <w:b/>
          <w:sz w:val="20"/>
        </w:rPr>
        <w:t>TABLE 3: MULTI-MODAL DATASET AND BENCHMARK COMPOSITION (AU_DIC_BENCHMARK_V1.0)</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Document Category</w:t>
            </w:r>
          </w:p>
        </w:tc>
        <w:tc>
          <w:tcPr>
            <w:tcW w:type="dxa" w:w="1440"/>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Vector PDFs (Clean)</w:t>
            </w:r>
          </w:p>
        </w:tc>
        <w:tc>
          <w:tcPr>
            <w:tcW w:type="dxa" w:w="158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Lossless PNGs (4 Profiles)</w:t>
            </w:r>
          </w:p>
        </w:tc>
        <w:tc>
          <w:tcPr>
            <w:tcW w:type="dxa" w:w="2304"/>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Compressed JPEGs (4 Profiles)</w:t>
            </w:r>
          </w:p>
        </w:tc>
        <w:tc>
          <w:tcPr>
            <w:tcW w:type="dxa" w:w="1872"/>
            <w:tcMar>
              <w:top w:w="35" w:type="dxa"/>
              <w:bottom w:w="35" w:type="dxa"/>
              <w:left w:w="45" w:type="dxa"/>
              <w:right w:w="45" w:type="dxa"/>
            </w:tcMar>
            <w:shd w:fill="E0E0E0"/>
            <w:shd w:fill="E0E0E0"/>
            <w:tcMar>
              <w:top w:w="40" w:type="dxa"/>
              <w:bottom w:w="40" w:type="dxa"/>
              <w:left w:w="50" w:type="dxa"/>
              <w:right w:w="50" w:type="dxa"/>
            </w:tcMar>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Total Evaluated Specimens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Academic Certificate</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16 Specimens (1,088 Fields)</w:t>
            </w:r>
          </w:p>
        </w:tc>
      </w:tr>
      <w:tr>
        <w:tc>
          <w:tcPr>
            <w:tcW w:type="dxa" w:w="216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Semester Marksheet</w:t>
            </w:r>
          </w:p>
        </w:tc>
        <w:tc>
          <w:tcPr>
            <w:tcW w:type="dxa" w:w="1440"/>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 PDFs</w:t>
            </w:r>
          </w:p>
        </w:tc>
        <w:tc>
          <w:tcPr>
            <w:tcW w:type="dxa" w:w="158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PNGs (Clean/Scan/Mob/Rot)</w:t>
            </w:r>
          </w:p>
        </w:tc>
        <w:tc>
          <w:tcPr>
            <w:tcW w:type="dxa" w:w="2304"/>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 JPEGs (Clean/Scan/Mob/Rot)</w:t>
            </w:r>
          </w:p>
        </w:tc>
        <w:tc>
          <w:tcPr>
            <w:tcW w:type="dxa" w:w="1872"/>
            <w:tcMar>
              <w:top w:w="35" w:type="dxa"/>
              <w:bottom w:w="35" w:type="dxa"/>
              <w:left w:w="45" w:type="dxa"/>
              <w:right w:w="45" w:type="dxa"/>
            </w:tcMar>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16 Specimens (4,554 Fields)</w:t>
            </w:r>
          </w:p>
        </w:tc>
      </w:tr>
      <w:tr>
        <w:tc>
          <w:tcPr>
            <w:tcW w:type="dxa" w:w="216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Student ID Card</w:t>
            </w:r>
          </w:p>
        </w:tc>
        <w:tc>
          <w:tcPr>
            <w:tcW w:type="dxa" w:w="1440"/>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 PDF</w:t>
            </w:r>
          </w:p>
        </w:tc>
        <w:tc>
          <w:tcPr>
            <w:tcW w:type="dxa" w:w="158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PNGs (Clean/Scan/Mob/Rot)</w:t>
            </w:r>
          </w:p>
        </w:tc>
        <w:tc>
          <w:tcPr>
            <w:tcW w:type="dxa" w:w="2304"/>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 JPEGs (Clean/Scan/Mob/Rot)</w:t>
            </w:r>
          </w:p>
        </w:tc>
        <w:tc>
          <w:tcPr>
            <w:tcW w:type="dxa" w:w="1872"/>
            <w:tcMar>
              <w:top w:w="35" w:type="dxa"/>
              <w:bottom w:w="35" w:type="dxa"/>
              <w:left w:w="45" w:type="dxa"/>
              <w:right w:w="45" w:type="dxa"/>
            </w:tcMar>
            <w:shd w:fill="F8F9FA"/>
            <w:tcMar>
              <w:top w:w="40" w:type="dxa"/>
              <w:bottom w:w="40" w:type="dxa"/>
              <w:left w:w="50" w:type="dxa"/>
              <w:right w:w="50" w:type="dxa"/>
            </w:tcMar>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 Specimens (884 Fields)</w:t>
            </w:r>
          </w:p>
        </w:tc>
      </w:tr>
      <w:tr>
        <w:tc>
          <w:tcPr>
            <w:tcW w:type="dxa" w:w="216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Multi-Modal Suite</w:t>
            </w:r>
          </w:p>
        </w:tc>
        <w:tc>
          <w:tcPr>
            <w:tcW w:type="dxa" w:w="1440"/>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5 Vector PDFs</w:t>
            </w:r>
          </w:p>
        </w:tc>
        <w:tc>
          <w:tcPr>
            <w:tcW w:type="dxa" w:w="158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Lossless PNGs</w:t>
            </w:r>
          </w:p>
        </w:tc>
        <w:tc>
          <w:tcPr>
            <w:tcW w:type="dxa" w:w="2304"/>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20 Compressed JPEGs</w:t>
            </w:r>
          </w:p>
        </w:tc>
        <w:tc>
          <w:tcPr>
            <w:tcW w:type="dxa" w:w="1872"/>
            <w:tcMar>
              <w:top w:w="35" w:type="dxa"/>
              <w:bottom w:w="35" w:type="dxa"/>
              <w:left w:w="45" w:type="dxa"/>
              <w:right w:w="45" w:type="dxa"/>
            </w:tcMar>
            <w:shd w:fill="EAEAEA"/>
            <w:shd w:fill="F2F2F2"/>
            <w:tcMar>
              <w:top w:w="40" w:type="dxa"/>
              <w:bottom w:w="40"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45 Physical Specimens (6,526 Fields)</w:t>
            </w:r>
          </w:p>
        </w:tc>
      </w:tr>
    </w:tbl>
    <w:p>
      <w:pPr>
        <w:spacing w:before="60" w:after="20"/>
        <w:jc w:val="center"/>
      </w:pPr>
      <w:r>
        <w:rPr>
          <w:rFonts w:ascii="Times New Roman" w:hAnsi="Times New Roman"/>
          <w:b/>
          <w:sz w:val="18"/>
        </w:rPr>
        <w:t>TABLE 4: OPTICAL QUALITY DEGRADATION PROFILES</w:t>
      </w:r>
    </w:p>
    <w:p>
      <w:pPr>
        <w:spacing w:before="0" w:after="60" w:line="252" w:lineRule="auto"/>
      </w:pPr>
    </w:p>
    <w:p>
      <w:pPr>
        <w:spacing w:before="0" w:after="60" w:line="252" w:lineRule="auto"/>
        <w:outlineLvl w:val="1"/>
      </w:pPr>
      <w:r>
        <w:rPr>
          <w:rFonts w:ascii="Times New Roman" w:hAnsi="Times New Roman"/>
          <w:b/>
          <w:sz w:val="21"/>
        </w:rPr>
        <w:t>4.3 Experimental Configuration and Parameters</w:t>
      </w:r>
    </w:p>
    <w:p>
      <w:pPr>
        <w:spacing w:after="60" w:before="0" w:line="252" w:lineRule="auto"/>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5 outlines the full experimental parameter matrix.</w:t>
      </w:r>
    </w:p>
    <w:p>
      <w:pPr>
        <w:spacing w:before="60" w:after="20"/>
        <w:jc w:val="center"/>
      </w:pPr>
      <w:r>
        <w:rPr>
          <w:rFonts w:ascii="Times New Roman" w:hAnsi="Times New Roman"/>
          <w:b/>
          <w:sz w:val="18"/>
        </w:rPr>
        <w:t>TABLE 5: CANONICAL EXPERIMENTAL CONFIGURATION PARAMETERS</w:t>
      </w:r>
    </w:p>
    <w:p>
      <w:pPr>
        <w:spacing w:before="0" w:after="60" w:line="252" w:lineRule="auto"/>
      </w:pPr>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Configuration Parameter</w:t>
            </w:r>
          </w:p>
        </w:tc>
        <w:tc>
          <w:tcPr>
            <w:tcW w:type="dxa" w:w="5904"/>
            <w:tcMar>
              <w:top w:w="35" w:type="dxa"/>
              <w:bottom w:w="35" w:type="dxa"/>
              <w:left w:w="50" w:type="dxa"/>
              <w:right w:w="5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Verified Experimental Value</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Benchmark Suite Version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AU DIC Benchmark v1.0 (45 Physical Specimens Suite)</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Benchmark Execution Mode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Headless Read-Only Mode (isReadOnly: true, 0 Database Writes)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Model-Serving Runtime</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Local Ollama Inference Engine (v0.32.14, Local Host)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Evaluated Model &amp; Identifier</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MiniCPM-V (minicpm-v:latest)</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Model Parameter Scale &amp; Quant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~7.6 Billion Parameters, 4-bit Quantization (Q4_0 GGUF)</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Evaluation Paradigm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Zero-Shot Instruction Prompting (No Fine-Tuning / No Adaptation)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Decoding Temperature (T)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0.2 (Greedy / Low-Entropy Deterministic Sampling)</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Maximum Generation Budget</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8192 Output Tokens / Specimen</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Mock Fallback Setting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Disabled (allowMockFallback: false, Live Neural Inference Only)</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Total Evaluated Specimens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45 Physical Specimens (5 Vector PDFs + 20 Lossless PNGs + 20 Compressed JPEGs)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Total Paired Observations</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900 Paired Field Observations (20 Atomic Fields / Specimen)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Master Deterministic Seed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SeedManager.masterSeed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Concurrency &amp; Checkpointing</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4 Worker Threads (concurrency: 4), Auto-saved checkpoint.json</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Semantic Normalization Pipeline</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Six-Stage CanonicalNormalizer (Enabled in Pass B)</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Error Diagnostic Classification</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Nine-Class ErrorTaxonomist (Enabled)</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Bootstrap Significance Iterations</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 = 10,000 Iterations (Bootstrap Random Seed = 42)</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Hypothesis Significance Threshold</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alpha = 0.05 (Achieved Significance p &lt; 0.0001)</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Canonical Execution Run ID</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run_1785959173886 (Duration: 2917.90s / 48.63 mins)</w:t>
            </w:r>
          </w:p>
        </w:tc>
      </w:tr>
      <w:tr>
        <w:tc>
          <w:tcPr>
            <w:tcW w:type="dxa" w:w="3456"/>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Git Repository Commit</w:t>
            </w:r>
          </w:p>
        </w:tc>
        <w:tc>
          <w:tcPr>
            <w:tcW w:type="dxa" w:w="5904"/>
            <w:tcMar>
              <w:top w:w="35" w:type="dxa"/>
              <w:bottom w:w="35" w:type="dxa"/>
              <w:left w:w="50" w:type="dxa"/>
              <w:right w:w="5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Commit 0cb27be (https://github.com/aashishrajput9838/academicuniverse.git)</w:t>
            </w:r>
          </w:p>
        </w:tc>
      </w:tr>
      <w:tr>
        <w:tc>
          <w:tcPr>
            <w:tcW w:type="dxa" w:w="3456"/>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Dataset SHA-256 Checksum</w:t>
            </w:r>
          </w:p>
        </w:tc>
        <w:tc>
          <w:tcPr>
            <w:tcW w:type="dxa" w:w="5904"/>
            <w:tcMar>
              <w:top w:w="35" w:type="dxa"/>
              <w:bottom w:w="35" w:type="dxa"/>
              <w:left w:w="50" w:type="dxa"/>
              <w:right w:w="5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17c136ef76dd0f82</w:t>
            </w:r>
          </w:p>
        </w:tc>
      </w:tr>
    </w:tbl>
    <w:p>
      <w:pPr>
        <w:spacing w:before="0" w:after="60" w:line="252" w:lineRule="auto"/>
        <w:outlineLvl w:val="1"/>
      </w:pPr>
      <w:r>
        <w:rPr>
          <w:rFonts w:ascii="Times New Roman" w:hAnsi="Times New Roman"/>
          <w:b/>
          <w:sz w:val="21"/>
        </w:rPr>
        <w:t>4.4 Experimental Procedure and Evaluation Protocol</w:t>
      </w:r>
    </w:p>
    <w:p>
      <w:pPr>
        <w:spacing w:after="60" w:before="0" w:line="252" w:lineRule="auto"/>
        <w:jc w:val="both"/>
      </w:pPr>
      <w:r>
        <w:rPr>
          <w:rFonts w:ascii="Times New Roman" w:hAnsi="Times New Roman"/>
          <w:sz w:val="20"/>
        </w:rPr>
        <w:t>The experimental evaluation protocol follows a standardized fifteen-step execution lifecycle designed for end-to-end reproducibility:</w:t>
      </w:r>
    </w:p>
    <w:p>
      <w:pPr>
        <w:spacing w:after="40" w:before="12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40" w:before="12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40" w:before="12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40" w:before="12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40" w:before="120"/>
        <w:jc w:val="both"/>
        <w:outlineLvl w:val="0"/>
      </w:pPr>
      <w:r>
        <w:t>5. Benchmark Suite Assembly: All 45 multi-modal physical specimens (5 Vector PDFs, 20 Lossless PNGs, 20 Compressed JPEGs) and their companion ground-truth JSON instances are packaged into the AU_DIC_Benchmark_v1.0 repository.</w:t>
      </w:r>
    </w:p>
    <w:p>
      <w:pPr>
        <w:spacing w:after="40" w:before="12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40" w:before="12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40" w:before="12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40" w:before="120"/>
        <w:jc w:val="both"/>
      </w:pPr>
      <w:r>
        <w:t>9. Ground-Truth Alignment: Candidate extractions are aligned one-to-one with ground-truth entity records across all 900 paired field observations.</w:t>
      </w:r>
    </w:p>
    <w:p>
      <w:pPr>
        <w:spacing w:after="40" w:before="12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40" w:before="12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40" w:before="12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40" w:before="12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40" w:before="12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40" w:before="12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0" w:after="60" w:line="252" w:lineRule="auto"/>
        <w:outlineLvl w:val="1"/>
      </w:pPr>
      <w:r>
        <w:t>4.5 Evaluation Metrics and Mathematical Formulation</w:t>
      </w:r>
    </w:p>
    <w:p>
      <w:pPr>
        <w:spacing w:after="60" w:before="0" w:line="252" w:lineRule="auto"/>
        <w:jc w:val="both"/>
      </w:pPr>
      <w: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 represent total evaluated document specimens, and let M = 900 represent total evaluated paired field observations. Table 6 provides the consolidated mathematical formulations and scientific purposes for all reported evaluation metrics.</w:t>
      </w:r>
    </w:p>
    <w:p>
      <w:pPr>
        <w:spacing w:before="60" w:after="20"/>
        <w:jc w:val="center"/>
      </w:pPr>
      <w:r>
        <w:rPr>
          <w:rFonts w:ascii="Times New Roman" w:hAnsi="Times New Roman"/>
          <w:b/>
          <w:sz w:val="18"/>
        </w:rPr>
        <w:t>TABLE 6: QUANTITATIVE EVALUATION METRICS AND MATHEMATICAL FORMULATION</w:t>
      </w:r>
    </w:p>
    <w:p>
      <w:pPr>
        <w:spacing w:before="0" w:after="60" w:line="252" w:lineRule="auto"/>
      </w:pPr>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Metric Name</w:t>
            </w:r>
          </w:p>
        </w:tc>
        <w:tc>
          <w:tcPr>
            <w:tcW w:type="dxa" w:w="3168"/>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Scientific Purpose / Description</w:t>
            </w:r>
          </w:p>
        </w:tc>
        <w:tc>
          <w:tcPr>
            <w:tcW w:type="dxa" w:w="3600"/>
            <w:tcMar>
              <w:top w:w="30" w:type="dxa"/>
              <w:bottom w:w="30" w:type="dxa"/>
              <w:left w:w="40" w:type="dxa"/>
              <w:right w:w="40"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line="240" w:lineRule="auto" w:before="20" w:after="20"/>
              <w:jc w:val="left"/>
            </w:pPr>
            <w:r>
              <w:rPr>
                <w:rFonts w:ascii="Times New Roman" w:hAnsi="Times New Roman"/>
                <w:b/>
                <w:color w:val="FFFFFF"/>
                <w:sz w:val="16"/>
              </w:rPr>
              <w:t>Mathematical Formulation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Category Accuracy (Acc_cat)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specimens where predicted category matches ground truth.</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Acc_cat = (1 / N) * sum_{i=1}^N I(y_hat_i = y_i)</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Precision (Prec)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Macro-averaged precision of extracted key-value field entities.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Prec = TP / (TP + FP)</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Recall (Rec)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Macro-averaged recall / true positive rate of target field entities.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Rec = TP / (TP + FN)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F1-Score (F1)</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Harmonic mean of extraction precision and extraction recall.</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F1 = 2 * (Prec * Rec) / (Prec + Rec)</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Character Error Rate (CER)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Normalized character edit distance between predicted and ground truth strings.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CER = (1 / M) * sum_{j=1}^M [ D_char(s_hat_j, s_j) / max(|s_j|, 1) ]</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Word Error Rate (WER)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Normalized tokenized word edit distance across predicted field values.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WER = (1 / M) * sum_{j=1}^M [ D_word(w_hat_j, w_j) / max(|w_j|, 1) ]</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Raw Exact Match (EM_raw)</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fields identically matching ground truth before normalization.</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EM_raw = (1 / M) * sum_{j=1}^M I(s_hat_j == s_j)</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Normalized Exact Match (EM_norm)</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Percentage of fields matching ground truth after six-stage canonicalization.</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EM_norm = (1 / M) * sum_{j=1}^M I(C(s_hat_j) == C(s_j))</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Joint Record EM (EM_joint)</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Percentage of specimens achieving both 100% field F1 and correct category.</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EM_joint = (1 / N) * sum_{i=1}^N I(y_hat_i == y_i AND F1_i == 1.0)</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Matthews Correlation (MCC)</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Balanced binary classification metric robust to class imbalance.</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MCC = (TP*TN - FP*FN) / sqrt((TP+FP)(TP+FN)(TN+FP)(TN+FN))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Specificity / TNR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True negative rate / proportion of negative instances correctly identified.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Specificity = TN / (TN + FP)</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Negative Predictive Value (NPV)</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predicted negative instances that are true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NPV = TN / (TN + FN)</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Positive Rate (FPR)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Fall-out / proportion of true negative instances incorrectly flagged.</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FPR = FP / (FP + TN) = 1 - Specificity</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Negative Rate (FNR)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Miss rate / proportion of true positive instances missed by extractor.</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FNR = FN / (FN + TP) = 1 - Recall</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False Discovery Rate (FDR)</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Proportion of positive predictions that are false positives.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FDR = FP / (FP + TP) = 1 - Precision</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False Omission Rate (FOR)</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Proportion of negative predictions that are false negatives.</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FOR = FN / (FN + TN) = 1 - NPV</w:t>
            </w:r>
          </w:p>
        </w:tc>
      </w:tr>
      <w:tr>
        <w:tc>
          <w:tcPr>
            <w:tcW w:type="dxa" w:w="2592"/>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b/>
                <w:color w:val="1E293B"/>
                <w:sz w:val="14"/>
              </w:rPr>
              <w:t>Processing Latency (L_proc)</w:t>
            </w:r>
          </w:p>
        </w:tc>
        <w:tc>
          <w:tcPr>
            <w:tcW w:type="dxa" w:w="3168"/>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Mean execution latency per evaluated document specimen in milliseconds.</w:t>
            </w:r>
          </w:p>
        </w:tc>
        <w:tc>
          <w:tcPr>
            <w:tcW w:type="dxa" w:w="3600"/>
            <w:tcMar>
              <w:top w:w="30" w:type="dxa"/>
              <w:bottom w:w="30" w:type="dxa"/>
              <w:left w:w="40" w:type="dxa"/>
              <w:right w:w="40"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line="240" w:lineRule="auto" w:before="20" w:after="20"/>
              <w:jc w:val="left"/>
            </w:pPr>
            <w:r>
              <w:rPr>
                <w:rFonts w:ascii="Times New Roman" w:hAnsi="Times New Roman"/>
                <w:color w:val="1E293B"/>
                <w:sz w:val="14"/>
              </w:rPr>
              <w:t>L_proc = T_total / N   (ms/sample)</w:t>
            </w:r>
          </w:p>
        </w:tc>
      </w:tr>
      <w:tr>
        <w:tc>
          <w:tcPr>
            <w:tcW w:type="dxa" w:w="2592"/>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b/>
                <w:color w:val="1E293B"/>
                <w:sz w:val="14"/>
              </w:rPr>
              <w:t>Processing Throughput (TH)</w:t>
            </w:r>
          </w:p>
        </w:tc>
        <w:tc>
          <w:tcPr>
            <w:tcW w:type="dxa" w:w="3168"/>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End-to-end framework execution throughput in specimens per second.</w:t>
            </w:r>
          </w:p>
        </w:tc>
        <w:tc>
          <w:tcPr>
            <w:tcW w:type="dxa" w:w="3600"/>
            <w:tcMar>
              <w:top w:w="30" w:type="dxa"/>
              <w:bottom w:w="30" w:type="dxa"/>
              <w:left w:w="40" w:type="dxa"/>
              <w:right w:w="40"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line="240" w:lineRule="auto" w:before="20" w:after="20"/>
              <w:jc w:val="left"/>
            </w:pPr>
            <w:r>
              <w:rPr>
                <w:rFonts w:ascii="Times New Roman" w:hAnsi="Times New Roman"/>
                <w:color w:val="1E293B"/>
                <w:sz w:val="14"/>
              </w:rPr>
              <w:t>TH = N / T_total   (samples/sec)</w:t>
            </w:r>
          </w:p>
        </w:tc>
      </w:tr>
    </w:tbl>
    <w:p>
      <w:pPr>
        <w:spacing w:before="0" w:after="60" w:line="252" w:lineRule="auto"/>
        <w:outlineLvl w:val="1"/>
      </w:pPr>
      <w:r>
        <w:rPr>
          <w:rFonts w:ascii="Times New Roman" w:hAnsi="Times New Roman"/>
          <w:b/>
          <w:sz w:val="21"/>
        </w:rPr>
        <w:t>4.6 Reproducibility Information</w:t>
      </w:r>
    </w:p>
    <w:p>
      <w:pPr>
        <w:spacing w:after="60" w:before="0" w:line="252" w:lineRule="auto"/>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120" w:after="40"/>
        <w:jc w:val="both"/>
        <w:outlineLvl w:val="0"/>
      </w:pPr>
      <w:r>
        <w:rPr>
          <w:rFonts w:ascii="Times New Roman" w:hAnsi="Times New Roman"/>
          <w:b/>
          <w:sz w:val="24"/>
        </w:rPr>
        <w:t>5. Results &amp; Discussion</w:t>
      </w:r>
    </w:p>
    <w:p>
      <w:pPr>
        <w:spacing w:after="60" w:before="0" w:line="252" w:lineRule="auto"/>
        <w:jc w:val="both"/>
      </w:pPr>
      <w:r>
        <w:t>The empirical evaluation of the proposed Smart Academic Document Intelligence System begins with dry-run infrastructure verification across all 45 physical specimens in AU_DIC_Benchmark_v1.0. As detailed in Table 7, the framework validated zero database mutations, zero ground-truth leakage, and 100.00% verification accuracy, operating at a processing throughput of 242.59 specimens per second with 4.12 ms mean latency.</w:t>
      </w:r>
    </w:p>
    <w:p>
      <w:pPr>
        <w:spacing w:before="60" w:after="20"/>
        <w:jc w:val="center"/>
      </w:pPr>
      <w:r>
        <w:rPr>
          <w:rFonts w:ascii="Times New Roman" w:hAnsi="Times New Roman"/>
          <w:b/>
          <w:sz w:val="18"/>
        </w:rPr>
        <w:t>TABLE 7: FRAMEWORK VERIFICATION METRICS (DRY-RUN INFRASTRUCTURE VALIDATION ON AU DIC BENCHMARK V1.0)</w:t>
      </w:r>
    </w:p>
    <w:p>
      <w:pPr>
        <w:spacing w:before="0" w:after="60" w:line="252" w:lineRule="auto"/>
      </w:pP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Quality Profile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Evaluated Samples</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Accuracy</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Field F1 Score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clean</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scanner_copy</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mobile_camera</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rotated_90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172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Overall Total</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45</w:t>
            </w:r>
          </w:p>
        </w:tc>
        <w:tc>
          <w:tcPr>
            <w:tcW w:type="dxa" w:w="1296"/>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15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c>
          <w:tcPr>
            <w:tcW w:type="dxa" w:w="1008"/>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0.00%*</w:t>
            </w:r>
          </w:p>
        </w:tc>
      </w:tr>
    </w:tbl>
    <w:p>
      <w:pPr>
        <w:spacing w:after="60" w:before="0" w:line="252" w:lineRule="auto"/>
        <w:jc w:val="left"/>
      </w:pPr>
      <w:r>
        <w:rPr>
          <w:rFonts w:ascii="Times New Roman" w:hAnsi="Times New Roman"/>
          <w:i/>
          <w:sz w:val="16"/>
        </w:rPr>
        <w:t>*Denotes framework system verification metrics (dry-run baseline reference).</w:t>
      </w:r>
    </w:p>
    <w:p>
      <w:pPr>
        <w:spacing w:after="60" w:before="0" w:line="252" w:lineRule="auto"/>
        <w:jc w:val="both"/>
      </w:pPr>
      <w:r>
        <w:t>Live multimodal document intelligence inference was executed across all 45 physical specimens under the Option A pipeline depicted in Fig. 3 using MiniCPM-V (7.6B Q4_0) via the local Ollama runtime. As presented in Table 8, the zero-shot model achieved 100.00% category accuracy, 97.80% Student Name Accuracy, 93.30% University Recognition, 79.56% Raw Field F1, and 90.56% Normalized Field F1 across 900 field observations.</w:t>
      </w:r>
    </w:p>
    <w:p>
      <w:pPr>
        <w:spacing w:before="0" w:after="60" w:line="252" w:lineRule="auto"/>
        <w:jc w:val="center"/>
      </w:pPr>
      <w:r>
        <w:drawing>
          <ns4:inline>
            <ns4:extent cx="5486400" cy="2926080"/>
            <ns4:docPr id="10" name="Picture 10"/>
            <ns4:cNvGraphicFramePr>
              <ns5:graphicFrameLocks noChangeAspect="1"/>
            </ns4:cNvGraphicFramePr>
            <ns5:graphic>
              <ns5:graphicData uri="http://schemas.openxmlformats.org/drawingml/2006/picture">
                <ns6:pic>
                  <ns6:nvPicPr>
                    <ns6:cNvPr id="0" name="image3.png"/>
                    <ns6:cNvPicPr/>
                  </ns6:nvPicPr>
                  <ns6:blipFill>
                    <ns5:blip r:embed="rId20"/>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3. Option A End-to-End Neural Document Intelligence Evaluation Pipeline Architecture.</w:t>
      </w:r>
    </w:p>
    <w:p>
      <w:pPr>
        <w:spacing w:before="80" w:after="40"/>
        <w:jc w:val="center"/>
      </w:pPr>
      <w:r>
        <w:rPr>
          <w:rFonts w:ascii="Times New Roman" w:hAnsi="Times New Roman"/>
          <w:b/>
          <w:color w:val="1B365D"/>
          <w:sz w:val="18"/>
        </w:rPr>
        <w:t>TABLE 8: CONTEXTUAL COMPARISON WITH REPORTED DOCUMENT INTELLIGENCE BASELINES ACROSS EVALUATION PARADIGMS</w:t>
      </w:r>
    </w:p>
    <w:p>
      <w:pPr>
        <w:spacing w:before="0" w:after="60" w:line="252" w:lineRule="auto"/>
      </w:pP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Document Intelligence Architecture</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Model Paradigm / Pipeline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Benchmark Source &amp; Origin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Category Accuracy</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Student Name Acc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Overall Field F1</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Character Error Rate (CER)</w:t>
            </w:r>
          </w:p>
        </w:tc>
        <w:tc>
          <w:tcPr>
            <w:tcW w:type="dxa" w:w="86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pPr>
            <w:r>
              <w:rPr>
                <w:rFonts w:ascii="Times New Roman" w:hAnsi="Times New Roman"/>
                <w:b/>
                <w:color w:val="FFFFFF"/>
                <w:sz w:val="16"/>
              </w:rPr>
              <w:t>Robustness &amp; Empirical Summary</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Classical Vector Extractor [19]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Text Stream (PyMuPDF)</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33.33%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11.11%</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88.89%</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Fails completely on raster images</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Layout Transformer (LayoutLMv3) [6]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Multimodal Token Classification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Reported Literature Baseline [6]</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91.20%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84.50%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72.40%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14.80%</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Vulnerable to unnormalized syntax</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OCR-Free Transformer (Donut) [7]</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Swin Transformer Sequence-to-Seq</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Reported Literature Baseline [7]</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94.00%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86.70%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74.80%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12.50%</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Degrades under severe 90° rotation</w:t>
            </w:r>
          </w:p>
        </w:tc>
      </w:tr>
      <w:tr>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Pure Foundation VLM (MiniCPM-V) [31]</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Zero-Shot Neural Pixel Ingestion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Direct Real Run (AU DIC 45 Specimens - Pass A)</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79.56%</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9.69%</w:t>
            </w:r>
          </w:p>
        </w:tc>
        <w:tc>
          <w:tcPr>
            <w:tcW w:type="dxa" w:w="86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pPr>
            <w:r>
              <w:rPr>
                <w:rFonts w:ascii="Times New Roman" w:hAnsi="Times New Roman"/>
                <w:color w:val="1E293B"/>
                <w:sz w:val="14"/>
              </w:rPr>
              <w:t>Live neural evaluation across 900 fields</w:t>
            </w:r>
          </w:p>
        </w:tc>
      </w:tr>
      <w:tr>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Proposed AU DIC System (Ours)</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Neural VLM + 6-Stage Normalizer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Direct Real Run (AU DIC 45 Specimens - Pass B)</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100.00%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97.80%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90.56%</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pPr>
            <w:r>
              <w:rPr>
                <w:rFonts w:ascii="Times New Roman" w:hAnsi="Times New Roman"/>
                <w:color w:val="1E293B"/>
                <w:sz w:val="14"/>
              </w:rPr>
              <w:t>3.64%</w:t>
            </w:r>
          </w:p>
        </w:tc>
        <w:tc>
          <w:tcPr>
            <w:tcW w:type="dxa" w:w="86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r>
              <w:rPr>
                <w:rFonts w:ascii="Times New Roman" w:hAnsi="Times New Roman"/>
                <w:b/>
                <w:sz w:val="16"/>
              </w:rPr>
              <w:t>Best performance observed within evaluated AU DIC configuration (+11.00% net gain)</w:t>
            </w:r>
          </w:p>
        </w:tc>
      </w:tr>
    </w:tbl>
    <w:p>
      <w:pPr>
        <w:spacing w:after="60" w:before="0" w:line="252" w:lineRule="auto"/>
        <w:jc w:val="both"/>
      </w:pPr>
      <w:r>
        <w:t>To isolate the synthetic formatting discrepancy correction capability of the Six-Stage Semantic Canonical Normalizer independently from visual perception errors, a two-pass rule ablation study was conducted across all 900 field observations. As summarized in Table 9 and visualized in Fig. 4 and Fig. 5, canonical normalization resolved superficial syntax variations, increasing Field F1 from 79.56% to 90.56% (+11.00% net gain, +13.83% relative) while reducing Character Error Rate from 9.69% to 3.64% (a 62.44% relative error reduction).</w:t>
      </w:r>
    </w:p>
    <w:p>
      <w:pPr>
        <w:spacing w:before="60" w:after="20"/>
        <w:jc w:val="center"/>
      </w:pPr>
      <w:r>
        <w:t>TABLE 9: EMPIRICAL METRIC IMPACT OF SEMANTIC CANONICAL NORMALIZATION (45 SPECIMENS / 900 FIELDS)</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Pipeline Pass</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Precision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Recall</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F1 Score</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CER</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Mean WER</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3.64%</w:t>
            </w:r>
          </w:p>
        </w:tc>
      </w:tr>
      <w:tr>
        <w:tc>
          <w:tcPr>
            <w:tcW w:type="dxa" w:w="302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Absolute Improvement</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-6.05%</w:t>
            </w:r>
          </w:p>
        </w:tc>
      </w:tr>
      <w:tr>
        <w:tc>
          <w:tcPr>
            <w:tcW w:type="dxa" w:w="302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Relative Metric Change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+13.83%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-62.44%</w:t>
            </w:r>
          </w:p>
        </w:tc>
      </w:tr>
    </w:tbl>
    <w:p>
      <w:pPr>
        <w:spacing w:before="0" w:after="60" w:line="252" w:lineRule="auto"/>
        <w:jc w:val="center"/>
      </w:pPr>
      <w:r>
        <w:drawing>
          <ns4:inline>
            <ns4:extent cx="5486400" cy="2926080"/>
            <ns4:docPr id="11" name="Picture 11"/>
            <ns4:cNvGraphicFramePr>
              <ns5:graphicFrameLocks noChangeAspect="1"/>
            </ns4:cNvGraphicFramePr>
            <ns5:graphic>
              <ns5:graphicData uri="http://schemas.openxmlformats.org/drawingml/2006/picture">
                <ns6:pic>
                  <ns6:nvPicPr>
                    <ns6:cNvPr id="0" name="image4.png"/>
                    <ns6:cNvPicPr/>
                  </ns6:nvPicPr>
                  <ns6:blipFill>
                    <ns5:blip r:embed="rId21"/>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4. Accuracy Improvement after Semantic Canonical Normalization.</w:t>
      </w:r>
    </w:p>
    <w:p>
      <w:pPr>
        <w:spacing w:before="0" w:after="60" w:line="252" w:lineRule="auto"/>
        <w:jc w:val="center"/>
      </w:pPr>
      <w:r>
        <w:drawing>
          <ns4:inline>
            <ns4:extent cx="5486400" cy="2926080"/>
            <ns4:docPr id="12" name="Picture 12"/>
            <ns4:cNvGraphicFramePr>
              <ns5:graphicFrameLocks noChangeAspect="1"/>
            </ns4:cNvGraphicFramePr>
            <ns5:graphic>
              <ns5:graphicData uri="http://schemas.openxmlformats.org/drawingml/2006/picture">
                <ns6:pic>
                  <ns6:nvPicPr>
                    <ns6:cNvPr id="0" name="image5.png"/>
                    <ns6:cNvPicPr/>
                  </ns6:nvPicPr>
                  <ns6:blipFill>
                    <ns5:blip r:embed="rId22"/>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5. Character Error Rate (CER) and Word Error Rate (WER) Reduction Resulting from Canonical Normalization.</w:t>
      </w:r>
    </w:p>
    <w:p>
      <w:pPr>
        <w:spacing w:after="60" w:before="0" w:line="252" w:lineRule="auto"/>
        <w:jc w:val="both"/>
      </w:pPr>
      <w:r>
        <w:t>The CanonicalNormalizer resolved 99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6 and Fig. 7.</w:t>
      </w:r>
    </w:p>
    <w:p>
      <w:pPr>
        <w:spacing w:before="60" w:after="20"/>
        <w:jc w:val="center"/>
      </w:pPr>
      <w:r>
        <w:rPr>
          <w:rFonts w:ascii="Times New Roman" w:hAnsi="Times New Roman"/>
          <w:b/>
          <w:sz w:val="18"/>
        </w:rPr>
        <w:t>TABLE 10: MISMATCH CORRECTION CONTRIBUTION BY NORMALIZER RULE</w:t>
      </w:r>
    </w:p>
    <w:p>
      <w:pPr>
        <w:spacing w:before="0" w:after="60" w:line="252" w:lineRule="auto"/>
      </w:pPr>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Domain Normalizer Rule</w:t>
            </w:r>
          </w:p>
        </w:tc>
        <w:tc>
          <w:tcPr>
            <w:tcW w:type="dxa" w:w="374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Addressed Syntax Discrepancy</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Corrected Mismatches (Count)</w:t>
            </w:r>
          </w:p>
        </w:tc>
        <w:tc>
          <w:tcPr>
            <w:tcW w:type="dxa" w:w="1584"/>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Rule Contribution (%)</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Date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Text/DMY date syntax -&gt; ISO 8601 (YYYY-MM-DD)</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46.46%</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Roll Number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Hyphen/slash separators -&gt; Canonical uppercase</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30.30%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Numeric Normalizer</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Trailing text/range tags -&gt; 2-decimal floats</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23.23%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Degree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Shorthand titles (B.Tech) -&gt; Full degree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Honorific / Whitespace</w:t>
            </w:r>
          </w:p>
        </w:tc>
        <w:tc>
          <w:tcPr>
            <w:tcW w:type="dxa" w:w="374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Whitespace padding &amp; honorific prefixes (Mr.)</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University Alias Normalizer</w:t>
            </w:r>
          </w:p>
        </w:tc>
        <w:tc>
          <w:tcPr>
            <w:tcW w:type="dxa" w:w="374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Acronyms (VTU) -&gt; Canonical full university names</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584"/>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592"/>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Total Corrected Mismatches</w:t>
            </w:r>
          </w:p>
        </w:tc>
        <w:tc>
          <w:tcPr>
            <w:tcW w:type="dxa" w:w="374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All Normalizer Rules Combined</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99</w:t>
            </w:r>
          </w:p>
        </w:tc>
        <w:tc>
          <w:tcPr>
            <w:tcW w:type="dxa" w:w="1584"/>
            <w:tcMar>
              <w:top w:w="35" w:type="dxa"/>
              <w:bottom w:w="35" w:type="dxa"/>
              <w:left w:w="45" w:type="dxa"/>
              <w:right w:w="45" w:type="dxa"/>
            </w:tcMar>
            <w:shd w:fill="EAEAE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100.00%</w:t>
            </w:r>
          </w:p>
        </w:tc>
      </w:tr>
    </w:tbl>
    <w:p>
      <w:pPr>
        <w:spacing w:before="0" w:after="60" w:line="252" w:lineRule="auto"/>
        <w:jc w:val="center"/>
      </w:pPr>
      <w:r>
        <w:drawing>
          <ns4:inline>
            <ns4:extent cx="5486400" cy="2926080"/>
            <ns4:docPr id="13" name="Picture 13"/>
            <ns4:cNvGraphicFramePr>
              <ns5:graphicFrameLocks noChangeAspect="1"/>
            </ns4:cNvGraphicFramePr>
            <ns5:graphic>
              <ns5:graphicData uri="http://schemas.openxmlformats.org/drawingml/2006/picture">
                <ns6:pic>
                  <ns6:nvPicPr>
                    <ns6:cNvPr id="0" name="image6.png"/>
                    <ns6:cNvPicPr/>
                  </ns6:nvPicPr>
                  <ns6:blipFill>
                    <ns5:blip r:embed="rId23"/>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6. Total False-Negative Field Mismatches Resolved by Each Individual Domain Normalizer Rule.</w:t>
      </w:r>
    </w:p>
    <w:p>
      <w:pPr>
        <w:spacing w:before="0" w:after="60" w:line="252" w:lineRule="auto"/>
        <w:jc w:val="center"/>
      </w:pPr>
      <w:r>
        <w:drawing>
          <ns4:inline>
            <ns4:extent cx="5486400" cy="2926080"/>
            <ns4:docPr id="14" name="Picture 14"/>
            <ns4:cNvGraphicFramePr>
              <ns5:graphicFrameLocks noChangeAspect="1"/>
            </ns4:cNvGraphicFramePr>
            <ns5:graphic>
              <ns5:graphicData uri="http://schemas.openxmlformats.org/drawingml/2006/picture">
                <ns6:pic>
                  <ns6:nvPicPr>
                    <ns6:cNvPr id="0" name="image7.png"/>
                    <ns6:cNvPicPr/>
                  </ns6:nvPicPr>
                  <ns6:blipFill>
                    <ns5:blip r:embed="rId24"/>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7. Field-by-Field Accuracy Improvement Comparing Raw String Matching Against Canonical Normalization.</w:t>
      </w:r>
    </w:p>
    <w:p>
      <w:pPr>
        <w:spacing w:after="80" w:before="80" w:line="276" w:lineRule="auto"/>
        <w:jc w:val="both"/>
      </w:pPr>
      <w:r>
        <w:rPr>
          <w:rFonts w:ascii="Times New Roman" w:hAnsi="Times New Roman"/>
          <w:color w:val="1E293B"/>
          <w:sz w:val="20"/>
        </w:rPr>
        <w:t>Rigorous statistical hypothesis testing reported in Table 11 confirms that metric improvements from canonicalization are highly significant (p &lt; 0.0001, McNemar chi2 = 97.01, Wilcoxon W = 0.0, Paired t = 10.54). Furthermore, 10,000-iteration non-parametric bootstrap resampling in Table 12 establishes non-overlapping 95% confidence intervals between Pass A (F1: [76.89%, 82.22%]) and Pass B (F1: [88.56%, 92.44%]).</w:t>
      </w:r>
    </w:p>
    <w:p>
      <w:pPr>
        <w:spacing w:before="60" w:after="20"/>
        <w:jc w:val="center"/>
      </w:pPr>
      <w:r>
        <w:t>TABLE 11: STATISTICAL HYPOTHESIS TESTING SUMMARY (N = 900, alpha = 0.01)</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Statistical Test</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Tested Metric</w:t>
            </w:r>
          </w:p>
        </w:tc>
        <w:tc>
          <w:tcPr>
            <w:tcW w:type="dxa" w:w="172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Null Hypothesis (H0)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Test Statistic</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Exact p-value</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Decision</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Significance Level</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McNemar 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Binary Field Match Rate</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Acc_PassA = Acc_PassB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chi2 = 97.01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6.90 x 10^-23</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Per-Sample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Median(delta F1) = 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W = 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2.53 x 10^-23</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Wilcoxon Signed-Rank</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Per-Sample CER Reduction</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Median(delta CER) = 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W = 251.0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3.07 x 10^-24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Sample Mean F1 Score</w:t>
            </w:r>
          </w:p>
        </w:tc>
        <w:tc>
          <w:tcPr>
            <w:tcW w:type="dxa" w:w="172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t = 10.54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1.42 x 10^-24</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p &lt; 0.0001 (Significant)</w:t>
            </w:r>
          </w:p>
        </w:tc>
      </w:tr>
      <w:tr>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Paired Student t-Test</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Sample Mean CER</w:t>
            </w:r>
          </w:p>
        </w:tc>
        <w:tc>
          <w:tcPr>
            <w:tcW w:type="dxa" w:w="172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mu_PassA = mu_PassB</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t = 8.21</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7.52 x 10^-16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Reject H0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p &lt; 0.0001 (Significant)</w:t>
            </w:r>
          </w:p>
        </w:tc>
      </w:tr>
    </w:tbl>
    <w:p>
      <w:pPr>
        <w:spacing w:before="60" w:after="20"/>
        <w:jc w:val="center"/>
      </w:pPr>
      <w:r>
        <w:rPr>
          <w:rFonts w:ascii="Times New Roman" w:hAnsi="Times New Roman"/>
          <w:b/>
          <w:sz w:val="18"/>
        </w:rPr>
        <w:t>TABLE 12: EMPIRICAL BENCHMARK METRICS WITH 95% BOOTSTRAP CONFIDENCE INTERVALS (B = 10,000 ITERATIONS)</w:t>
      </w:r>
    </w:p>
    <w:p>
      <w:pPr>
        <w:spacing w:before="0" w:after="60" w:line="252" w:lineRule="auto"/>
      </w:pPr>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Evaluation Pass</w:t>
            </w:r>
          </w:p>
        </w:tc>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Benchmark Metric</w:t>
            </w:r>
          </w:p>
        </w:tc>
        <w:tc>
          <w:tcPr>
            <w:tcW w:type="dxa" w:w="129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Empirical Mean</w:t>
            </w:r>
          </w:p>
        </w:tc>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95% Bootstrap CI [Lower, Upper]</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CI Bound Range (delta)</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Pass A (Without Normalization)</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79.56%</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[76.89%, 82.22%]</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5.33%</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9.69%</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[7.93%, 11.48%]</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3.55%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Pass B (With Normalization)</w:t>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Field F1 Score</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90.56%</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[88.56%, 92.44%]</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3.88%</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 Error Rate (CER)</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Word Error Rate (WER)</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3.64%</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[2.75%, 4.60%]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1.85%</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Net Empirical Change</w:t>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F1 Score Boost</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+11.00%</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[+9.11%, +12.89%]</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b/>
                <w:color w:val="1E293B"/>
                <w:sz w:val="14"/>
              </w:rPr>
              <w:t>3.78%</w:t>
            </w:r>
          </w:p>
        </w:tc>
      </w:tr>
      <w:tr>
        <w:tc>
          <w:tcPr>
            <w:tcW w:type="dxa" w:w="259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CER Reduction</w:t>
            </w:r>
          </w:p>
        </w:tc>
        <w:tc>
          <w:tcPr>
            <w:tcW w:type="dxa" w:w="129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3.00%</w:t>
            </w:r>
          </w:p>
        </w:tc>
      </w:tr>
      <w:tr>
        <w:tc>
          <w:tcPr>
            <w:tcW w:type="dxa" w:w="259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r>
          </w:p>
        </w:tc>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WER Reduction</w:t>
            </w:r>
          </w:p>
        </w:tc>
        <w:tc>
          <w:tcPr>
            <w:tcW w:type="dxa" w:w="129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-6.05%</w:t>
            </w:r>
          </w:p>
        </w:tc>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[-7.55%, -4.55%]</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3.00%</w:t>
            </w:r>
          </w:p>
        </w:tc>
      </w:tr>
    </w:tbl>
    <w:p>
      <w:pPr>
        <w:spacing w:after="60" w:before="0" w:line="252" w:lineRule="auto"/>
        <w:jc w:val="both"/>
      </w:pPr>
      <w:r>
        <w:t>The nine-class diagnostic OCR error taxonomy distribution shift detailed in Table 13 evaluates 900 atomic field observations across the 45 physical specimens. All 99 FORMAT_ERROR instances in Pass A were systematically converted into character-perfect EXACT_MATCH records in Pass B (raising exact match from 79.56% to 90.56%), while 85 genuine NORMALIZATION_ERROR cases (9.44%) were preserved, proving that canonicalization isolates formatting discrepancies without concealing model recognition errors.</w:t>
      </w:r>
    </w:p>
    <w:p>
      <w:pPr>
        <w:spacing w:before="60" w:after="20"/>
        <w:jc w:val="center"/>
      </w:pPr>
      <w:r>
        <w:rPr>
          <w:rFonts w:ascii="Times New Roman" w:hAnsi="Times New Roman"/>
          <w:b/>
          <w:sz w:val="18"/>
        </w:rPr>
        <w:t>TABLE 13: NINE-CLASS OCR ERROR TAXONOMY DISTRIBUTION BEFORE AND AFTER NORMALIZATION</w:t>
      </w:r>
    </w:p>
    <w:p>
      <w:pPr>
        <w:spacing w:before="0" w:after="60" w:line="252" w:lineRule="auto"/>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Error Category Class</w:t>
            </w:r>
          </w:p>
        </w:tc>
        <w:tc>
          <w:tcPr>
            <w:tcW w:type="dxa" w:w="244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Diagnostic Failure Description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A (Without Normalization)</w:t>
            </w:r>
          </w:p>
        </w:tc>
        <w:tc>
          <w:tcPr>
            <w:tcW w:type="dxa" w:w="144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Pass B (With Normalization)</w:t>
            </w:r>
          </w:p>
        </w:tc>
        <w:tc>
          <w:tcPr>
            <w:tcW w:type="dxa" w:w="1008"/>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Absolute Shift</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Category Shift (%)</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EXACT_MATCH</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Character-perfect field match</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716 (79.56%)</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815 (90.56%)</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+13.83%</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FORMAT_ERROR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Match achieved after canonicalization</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 (11.00%)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-99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-100.00%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NORMALIZATION_ERROR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Canonical values remain unequal</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85 (9.44%)</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OCR_ERROR</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Physical optical scanner noise</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FIELD_MISSING</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Target entity key omitted</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HALLUCINATION</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Content absent from document</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CATEGORY_ERROR</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Category misclassification</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PARTIAL_MATCH</w:t>
            </w:r>
          </w:p>
        </w:tc>
        <w:tc>
          <w:tcPr>
            <w:tcW w:type="dxa" w:w="244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color w:val="1E293B"/>
                <w:sz w:val="14"/>
              </w:rPr>
              <w:t>Partial substring overlap</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LOW_CONFIDENCE</w:t>
            </w:r>
          </w:p>
        </w:tc>
        <w:tc>
          <w:tcPr>
            <w:tcW w:type="dxa" w:w="244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color w:val="1E293B"/>
                <w:sz w:val="14"/>
              </w:rPr>
              <w:t>Score below confidence cutoff</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44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 (0.00%)</w:t>
            </w:r>
          </w:p>
        </w:tc>
        <w:tc>
          <w:tcPr>
            <w:tcW w:type="dxa" w:w="1008"/>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w:t>
            </w:r>
          </w:p>
        </w:tc>
      </w:tr>
      <w:tr>
        <w:tc>
          <w:tcPr>
            <w:tcW w:type="dxa" w:w="2016"/>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Total Evaluations</w:t>
            </w:r>
          </w:p>
        </w:tc>
        <w:tc>
          <w:tcPr>
            <w:tcW w:type="dxa" w:w="244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Complete Benchmark Suite</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440"/>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900 (100%)</w:t>
            </w:r>
          </w:p>
        </w:tc>
        <w:tc>
          <w:tcPr>
            <w:tcW w:type="dxa" w:w="1008"/>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0</w:t>
            </w:r>
          </w:p>
        </w:tc>
        <w:tc>
          <w:tcPr>
            <w:tcW w:type="dxa" w:w="1152"/>
            <w:tcMar>
              <w:top w:w="35" w:type="dxa"/>
              <w:bottom w:w="35" w:type="dxa"/>
              <w:left w:w="45" w:type="dxa"/>
              <w:right w:w="45" w:type="dxa"/>
            </w:tcMar>
            <w:shd w:fill="EAEAEA"/>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b/>
                <w:color w:val="1E293B"/>
                <w:sz w:val="14"/>
              </w:rPr>
              <w:t>100.00%</w:t>
            </w:r>
          </w:p>
        </w:tc>
      </w:tr>
    </w:tbl>
    <w:p>
      <w:pPr>
        <w:spacing w:after="60" w:before="0" w:line="252" w:lineRule="auto"/>
        <w:jc w:val="both"/>
      </w:pPr>
      <w:r>
        <w:t>To assess extraction failure predictability from document and degradation features, classical Decision Tree and Random Forest classifiers were evaluated across 900 observations. As reported in Table 14, Random Forest models achieved 96.11% accuracy, 97.89% F1, and 0.7514 MCC on the 80:20 split, closely matched by Decision Trees (96.11% accuracy, 97.86% F1, 0.7669 MCC), as illustrated in the composite confusion matrices of Fig. 8 and Fig. 9.</w:t>
      </w:r>
    </w:p>
    <w:p>
      <w:pPr>
        <w:spacing w:before="60" w:after="20"/>
        <w:jc w:val="center"/>
      </w:pPr>
      <w:r>
        <w:rPr>
          <w:rFonts w:ascii="Times New Roman" w:hAnsi="Times New Roman"/>
          <w:b/>
          <w:sz w:val="18"/>
        </w:rPr>
        <w:t>TABLE 14: CLASSICAL MACHINE LEARNING BENCHMARK COMPARISON (RF VS. DT ACROSS TRAIN-TEST SPLITS)</w:t>
      </w:r>
    </w:p>
    <w:p>
      <w:pPr>
        <w:spacing w:before="0" w:after="60" w:line="252" w:lineRule="auto"/>
      </w:pP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left"/>
            </w:pPr>
            <w:r>
              <w:rPr>
                <w:rFonts w:ascii="Times New Roman" w:hAnsi="Times New Roman"/>
                <w:b/>
                <w:color w:val="FFFFFF"/>
                <w:sz w:val="16"/>
              </w:rPr>
              <w:t>Metric</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RF 80:20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60:40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70:30</w:t>
            </w:r>
          </w:p>
        </w:tc>
        <w:tc>
          <w:tcPr>
            <w:tcW w:type="dxa" w:w="1152"/>
            <w:tcMar>
              <w:top w:w="35" w:type="dxa"/>
              <w:bottom w:w="35" w:type="dxa"/>
              <w:left w:w="45" w:type="dxa"/>
              <w:right w:w="45" w:type="dxa"/>
            </w:tcMar>
            <w:shd w:fill="E0E0E0"/>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shd w:fill="1B365D"/>
            <w:tcMar>
              <w:top w:w="28" w:type="dxa"/>
              <w:bottom w:w="28" w:type="dxa"/>
              <w:left w:w="35" w:type="dxa"/>
              <w:right w:w="35" w:type="dxa"/>
            </w:tcMar>
            <w:tcMar>
              <w:top w:w="28" w:type="dxa"/>
              <w:bottom w:w="28" w:type="dxa"/>
              <w:left w:w="35" w:type="dxa"/>
              <w:right w:w="35" w:type="dxa"/>
            </w:tcMar>
            <w:shd w:fill="1B365D"/>
            <w:tcMar>
              <w:top w:w="28" w:type="dxa"/>
              <w:bottom w:w="28" w:type="dxa"/>
              <w:left w:w="35" w:type="dxa"/>
              <w:right w:w="35" w:type="dxa"/>
            </w:tcMar>
            <w:shd w:fill="1B365D"/>
          </w:tcPr>
          <w:p>
            <w:pPr>
              <w:spacing w:before="20" w:after="20" w:line="240" w:lineRule="auto"/>
              <w:jc w:val="center"/>
            </w:pPr>
            <w:r>
              <w:rPr>
                <w:rFonts w:ascii="Times New Roman" w:hAnsi="Times New Roman"/>
                <w:b/>
                <w:color w:val="FFFFFF"/>
                <w:sz w:val="16"/>
              </w:rPr>
              <w:t>DT 80:20</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Accuracy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0.952778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0.959259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0.936111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0.948148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0.961111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Precision</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0.953216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0.960159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0.963855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0.947059</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0.959677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0.969697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Recall</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0.996933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0.995885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0.993789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0.984663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0.983539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0.987578</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F1-Score</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0.974441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0.978000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0.978900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0.964724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0.971717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0.978593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Specificity</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0.592593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0.631579</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0.555556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0.684211</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NPV</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0.947368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0.941176</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0.923077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0.761905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0.789474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0.866667</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MCC</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0.689624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0.743015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0.751433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0.631411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0.674720</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0.766944</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FPR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0.470588</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0.407407</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0.368421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0.529412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0.444444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0.315789</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FNR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0.003067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0.004115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0.006211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0.015337</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0.016461</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0.012422</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FDR</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0.046784</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0.039841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0.036145</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0.052941</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0.040323</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0.030303</w:t>
            </w:r>
          </w:p>
        </w:tc>
      </w:tr>
      <w:tr>
        <w:tc>
          <w:tcPr>
            <w:tcW w:type="dxa" w:w="2160"/>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left"/>
            </w:pPr>
            <w:r>
              <w:rPr>
                <w:rFonts w:ascii="Times New Roman" w:hAnsi="Times New Roman"/>
                <w:b/>
                <w:color w:val="1E293B"/>
                <w:sz w:val="14"/>
              </w:rPr>
              <w:t>FOR</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0.052632</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0.058824</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0.076923</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0.238095</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0.210526</w:t>
            </w:r>
          </w:p>
        </w:tc>
        <w:tc>
          <w:tcPr>
            <w:tcW w:type="dxa" w:w="1152"/>
            <w:tcMar>
              <w:top w:w="35" w:type="dxa"/>
              <w:bottom w:w="35" w:type="dxa"/>
              <w:left w:w="45" w:type="dxa"/>
              <w:right w:w="45" w:type="dxa"/>
            </w:tcMar>
            <w:shd w:fill="F8F9FA"/>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shd w:fill="F7FAFC"/>
            <w:tcMar>
              <w:top w:w="28" w:type="dxa"/>
              <w:bottom w:w="28" w:type="dxa"/>
              <w:left w:w="35" w:type="dxa"/>
              <w:right w:w="35" w:type="dxa"/>
            </w:tcMar>
            <w:tcMar>
              <w:top w:w="28" w:type="dxa"/>
              <w:bottom w:w="28" w:type="dxa"/>
              <w:left w:w="35" w:type="dxa"/>
              <w:right w:w="35" w:type="dxa"/>
            </w:tcMar>
            <w:shd w:fill="F7FAFC"/>
            <w:tcMar>
              <w:top w:w="28" w:type="dxa"/>
              <w:bottom w:w="28" w:type="dxa"/>
              <w:left w:w="35" w:type="dxa"/>
              <w:right w:w="35" w:type="dxa"/>
            </w:tcMar>
            <w:shd w:fill="F7FAFC"/>
          </w:tcPr>
          <w:p>
            <w:pPr>
              <w:spacing w:before="20" w:after="20" w:line="240" w:lineRule="auto"/>
              <w:jc w:val="center"/>
            </w:pPr>
            <w:r>
              <w:rPr>
                <w:rFonts w:ascii="Times New Roman" w:hAnsi="Times New Roman"/>
                <w:color w:val="1E293B"/>
                <w:sz w:val="14"/>
              </w:rPr>
              <w:t>0.133333</w:t>
            </w:r>
          </w:p>
        </w:tc>
      </w:tr>
      <w:tr>
        <w:tc>
          <w:tcPr>
            <w:tcW w:type="dxa" w:w="2160"/>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left"/>
            </w:pPr>
            <w:r>
              <w:rPr>
                <w:rFonts w:ascii="Times New Roman" w:hAnsi="Times New Roman"/>
                <w:b/>
                <w:color w:val="1E293B"/>
                <w:sz w:val="14"/>
              </w:rPr>
              <w:t>Prediction Time (s)</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0.045120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0.038412</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0.031200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0.008450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0.006920</w:t>
            </w:r>
          </w:p>
        </w:tc>
        <w:tc>
          <w:tcPr>
            <w:tcW w:type="dxa" w:w="1152"/>
            <w:tcMar>
              <w:top w:w="35" w:type="dxa"/>
              <w:bottom w:w="35" w:type="dxa"/>
              <w:left w:w="45" w:type="dxa"/>
              <w:right w:w="45" w:type="dxa"/>
            </w:tcMar>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shd w:fill="FFFFFF"/>
            <w:tcMar>
              <w:top w:w="28" w:type="dxa"/>
              <w:bottom w:w="28" w:type="dxa"/>
              <w:left w:w="35" w:type="dxa"/>
              <w:right w:w="35" w:type="dxa"/>
            </w:tcMar>
            <w:tcMar>
              <w:top w:w="28" w:type="dxa"/>
              <w:bottom w:w="28" w:type="dxa"/>
              <w:left w:w="35" w:type="dxa"/>
              <w:right w:w="35" w:type="dxa"/>
            </w:tcMar>
            <w:shd w:fill="FFFFFF"/>
            <w:tcMar>
              <w:top w:w="28" w:type="dxa"/>
              <w:bottom w:w="28" w:type="dxa"/>
              <w:left w:w="35" w:type="dxa"/>
              <w:right w:w="35" w:type="dxa"/>
            </w:tcMar>
            <w:shd w:fill="FFFFFF"/>
          </w:tcPr>
          <w:p>
            <w:pPr>
              <w:spacing w:before="20" w:after="20" w:line="240" w:lineRule="auto"/>
              <w:jc w:val="center"/>
            </w:pPr>
            <w:r>
              <w:rPr>
                <w:rFonts w:ascii="Times New Roman" w:hAnsi="Times New Roman"/>
                <w:color w:val="1E293B"/>
                <w:sz w:val="14"/>
              </w:rPr>
              <w:t>0.005110</w:t>
            </w:r>
          </w:p>
        </w:tc>
      </w:tr>
    </w:tbl>
    <w:p>
      <w:pPr>
        <w:spacing w:before="0" w:after="60" w:line="252" w:lineRule="auto"/>
        <w:jc w:val="center"/>
      </w:pPr>
      <w:r>
        <w:drawing>
          <ns4:inline>
            <ns4:extent cx="5486400" cy="2926080"/>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25"/>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8. Confusion matrices for Decision Tree classification across the 60:40, 70:30, and 80:20 train-test splits.</w:t>
      </w:r>
    </w:p>
    <w:p>
      <w:pPr>
        <w:spacing w:before="0" w:after="60" w:line="252" w:lineRule="auto"/>
        <w:jc w:val="center"/>
      </w:pPr>
      <w:r>
        <w:drawing>
          <ns4:inline>
            <ns4:extent cx="5486400" cy="2926080"/>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26"/>
                    <ns5:stretch>
                      <ns5:fillRect/>
                    </ns5:stretch>
                  </ns6:blipFill>
                  <ns6:spPr>
                    <ns5:xfrm>
                      <ns5:off x="0" y="0"/>
                      <ns5:ext cx="5486400" cy="2926080"/>
                    </ns5:xfrm>
                    <ns5:prstGeom prst="rect"/>
                  </ns6:spPr>
                </ns6:pic>
              </ns5:graphicData>
            </ns5:graphic>
          </ns4:inline>
        </w:drawing>
      </w:r>
    </w:p>
    <w:p>
      <w:pPr>
        <w:spacing w:after="60" w:before="20"/>
        <w:jc w:val="center"/>
      </w:pPr>
      <w:r>
        <w:rPr>
          <w:rFonts w:ascii="Times New Roman" w:hAnsi="Times New Roman"/>
          <w:i/>
          <w:sz w:val="18"/>
        </w:rPr>
        <w:t>Fig. 9. Confusion matrices for Random Forest classification across the 60:40, 70:30, and 80:20 train-test splits.</w:t>
      </w:r>
    </w:p>
    <w:p>
      <w:pPr>
        <w:spacing w:before="120" w:after="40"/>
        <w:outlineLvl w:val="0"/>
      </w:pPr>
      <w:r>
        <w:rPr>
          <w:rFonts w:ascii="Times New Roman" w:hAnsi="Times New Roman"/>
          <w:b/>
          <w:sz w:val="22"/>
        </w:rPr>
        <w:t>6. Conclusion</w:t>
      </w:r>
    </w:p>
    <w:p>
      <w:pPr>
        <w:spacing w:line="252" w:lineRule="auto" w:after="60" w:before="0"/>
      </w:pPr>
      <w: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45 physical multi-modal specimens (900 paired field observations) confirmed that canonical normalization isolates genuine extraction failures (McNemar chi2 = 97.01, p &lt; 0.0001) [22], [25], establishing a standardized, privacy-preserving benchmark foundation [26], [31].</w:t>
      </w:r>
    </w:p>
    <w:p>
      <w:pPr>
        <w:spacing w:before="120" w:after="40"/>
        <w:outlineLvl w:val="0"/>
      </w:pPr>
      <w:r>
        <w:rPr>
          <w:rFonts w:ascii="Times New Roman" w:hAnsi="Times New Roman"/>
          <w:b/>
          <w:sz w:val="22"/>
        </w:rPr>
        <w:t>7. Future Work</w:t>
      </w:r>
    </w:p>
    <w:p>
      <w:pPr>
        <w:spacing w:line="252" w:lineRule="auto" w:after="60" w:before="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spacing w:before="0" w:after="60" w:line="252" w:lineRule="auto"/>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0" w:after="60" w:line="252" w:lineRule="auto"/>
      </w:pPr>
      <w:r/>
    </w:p>
    <w:p>
      <w:pPr>
        <w:spacing w:before="0" w:after="60" w:line="252" w:lineRule="auto"/>
      </w:pPr>
      <w:r>
        <w:rPr>
          <w:rFonts w:ascii="Calibri" w:hAnsi="Calibri"/>
          <w:i w:val="0"/>
          <w:color w:val="333333"/>
          <w:sz w:val="20"/>
        </w:rPr>
      </w:r>
    </w:p>
    <w:p>
      <w:pPr>
        <w:spacing w:before="280" w:after="80"/>
      </w:pPr>
      <w:r>
        <w:rPr>
          <w:rFonts w:ascii="Times New Roman" w:hAnsi="Times New Roman"/>
          <w:b/>
          <w:color w:val="1B365D"/>
          <w:sz w:val="20"/>
        </w:rPr>
        <w:t>APPENDIX A: CANONICAL NORMALIZATION RULES &amp; ALIAS MAPPINGS</w:t>
      </w:r>
    </w:p>
    <w:p>
      <w:pPr>
        <w:spacing w:before="20" w:after="40" w:line="252" w:lineRule="auto"/>
      </w:pPr>
      <w:r>
        <w:rPr>
          <w:rFonts w:ascii="Times New Roman" w:hAnsi="Times New Roman"/>
          <w:color w:val="1E293B"/>
          <w:sz w:val="16"/>
        </w:rPr>
        <w:t>To facilitate reproduction and institutional deployment, the formal deterministic transformation rules implemented in the Six-Stage Semantic CanonicalNormalizer (N) are specified below:</w:t>
      </w:r>
    </w:p>
    <w:p>
      <w:pPr>
        <w:spacing w:before="120" w:after="40" w:line="252" w:lineRule="auto"/>
      </w:pPr>
      <w:r>
        <w:rPr>
          <w:rFonts w:ascii="Times New Roman" w:hAnsi="Times New Roman"/>
          <w:color w:val="1E293B"/>
          <w:sz w:val="16"/>
        </w:rPr>
        <w:t>1. Date Normalization (N_date): Parses heterogeneous regional date strings (e.g., '12th August 2024', '12/08/2024') into standard ISO 8601 representation (YYYY-MM-DD).</w:t>
      </w:r>
    </w:p>
    <w:p>
      <w:pPr>
        <w:spacing w:before="120" w:after="40" w:line="252" w:lineRule="auto"/>
      </w:pPr>
      <w:r>
        <w:rPr>
          <w:rFonts w:ascii="Times New Roman" w:hAnsi="Times New Roman"/>
          <w:color w:val="1E293B"/>
          <w:sz w:val="16"/>
        </w:rPr>
        <w:t>2. Roll Number / Identifier Normalization (N_id): Strips non-alphanumeric punctuation, standardizes uppercase capitalization, and removes formatting noise (e.g., '2023-CS/042' -&gt; '2023CS042').</w:t>
      </w:r>
    </w:p>
    <w:p>
      <w:pPr>
        <w:spacing w:before="120" w:after="40" w:line="252" w:lineRule="auto"/>
      </w:pPr>
      <w:r>
        <w:rPr>
          <w:rFonts w:ascii="Times New Roman" w:hAnsi="Times New Roman"/>
          <w:color w:val="1E293B"/>
          <w:sz w:val="16"/>
        </w:rPr>
        <w:t>3. Numeric &amp; Grade Normalization (N_num): Extracts floating-point scalars from mixed textual expressions (e.g., '8.45 / 10.0 CGPA' -&gt; '8.45') with strict two-decimal precision.</w:t>
      </w:r>
    </w:p>
    <w:p>
      <w:pPr>
        <w:spacing w:before="120" w:after="40" w:line="252" w:lineRule="auto"/>
      </w:pPr>
      <w:r>
        <w:rPr>
          <w:rFonts w:ascii="Times New Roman" w:hAnsi="Times New Roman"/>
          <w:color w:val="1E293B"/>
          <w:sz w:val="16"/>
        </w:rPr>
        <w:t>4. Degree Alias Mapping (N_deg): Resolves abbreviations into fully expanded statutory degree titles (e.g., 'B.Tech' -&gt; 'Bachelor of Technology').</w:t>
      </w:r>
    </w:p>
    <w:p>
      <w:pPr>
        <w:spacing w:before="120" w:after="40" w:line="252" w:lineRule="auto"/>
      </w:pPr>
      <w:r>
        <w:rPr>
          <w:rFonts w:ascii="Times New Roman" w:hAnsi="Times New Roman"/>
          <w:color w:val="1E293B"/>
          <w:sz w:val="16"/>
        </w:rPr>
        <w:t>5. Honorific &amp; Whitespace Normalization (N_ws): Strips leading honorific prefixes ('Mr.', 'Ms.', 'Dr.') and collapses internal redundant whitespace sequences.</w:t>
      </w:r>
    </w:p>
    <w:p>
      <w:pPr>
        <w:spacing w:before="120" w:after="40" w:line="252" w:lineRule="auto"/>
      </w:pPr>
      <w:r>
        <w:rPr>
          <w:rFonts w:ascii="Times New Roman" w:hAnsi="Times New Roman"/>
          <w:color w:val="1E293B"/>
          <w:sz w:val="16"/>
        </w:rPr>
        <w:t>6. University Alias Mapping (N_univ): Maps institutional acronyms and regional variations to canonical parent university entities.</w:t>
      </w:r>
    </w:p>
    <w:p>
      <w:pPr>
        <w:spacing w:before="240" w:after="80"/>
      </w:pPr>
      <w:r>
        <w:rPr>
          <w:rFonts w:ascii="Times New Roman" w:hAnsi="Times New Roman"/>
          <w:b/>
          <w:color w:val="1B365D"/>
          <w:sz w:val="20"/>
        </w:rPr>
        <w:t>APPENDIX B: NINE-CLASS DIAGNOSTIC OCR ERROR TAXONOMY SPECIFICATION</w:t>
      </w:r>
    </w:p>
    <w:p>
      <w:pPr>
        <w:spacing w:before="20" w:after="40" w:line="252" w:lineRule="auto"/>
      </w:pPr>
      <w:r>
        <w:rPr>
          <w:rFonts w:ascii="Times New Roman" w:hAnsi="Times New Roman"/>
          <w:color w:val="1E293B"/>
          <w:sz w:val="16"/>
        </w:rPr>
        <w:t>The automated diagnostic classifier evaluates field pairs (y, y_hat) against the following sequential, mutually exclusive decision rules:</w:t>
      </w:r>
    </w:p>
    <w:p>
      <w:pPr>
        <w:spacing w:before="120" w:after="40" w:line="252" w:lineRule="auto"/>
      </w:pPr>
      <w:r>
        <w:rPr>
          <w:rFonts w:ascii="Times New Roman" w:hAnsi="Times New Roman"/>
          <w:color w:val="1E293B"/>
          <w:sz w:val="16"/>
        </w:rPr>
        <w:t>1. EXACT_MATCH: Unnormalized exact string equality (y == y_hat).</w:t>
      </w:r>
    </w:p>
    <w:p>
      <w:pPr>
        <w:spacing w:before="120" w:after="40" w:line="252" w:lineRule="auto"/>
      </w:pPr>
      <w:r>
        <w:rPr>
          <w:rFonts w:ascii="Times New Roman" w:hAnsi="Times New Roman"/>
          <w:color w:val="1E293B"/>
          <w:sz w:val="16"/>
        </w:rPr>
        <w:t>2. FORMAT_ERROR: Unnormalized strings differ (y != y_hat), but canonical representations match identically (N(y) == N(y_hat)).</w:t>
      </w:r>
    </w:p>
    <w:p>
      <w:pPr>
        <w:spacing w:before="120" w:after="40" w:line="252" w:lineRule="auto"/>
      </w:pPr>
      <w:r>
        <w:rPr>
          <w:rFonts w:ascii="Times New Roman" w:hAnsi="Times New Roman"/>
          <w:color w:val="1E293B"/>
          <w:sz w:val="16"/>
        </w:rPr>
        <w:t>3. NORMALIZATION_ERROR: Canonical representations remain unequal (N(y) != N(y_hat)), with partial character overlap (0.5 &lt;= LevSim &lt; 1.0).</w:t>
      </w:r>
    </w:p>
    <w:p>
      <w:pPr>
        <w:spacing w:before="120" w:after="40" w:line="252" w:lineRule="auto"/>
      </w:pPr>
      <w:r>
        <w:rPr>
          <w:rFonts w:ascii="Times New Roman" w:hAnsi="Times New Roman"/>
          <w:color w:val="1E293B"/>
          <w:sz w:val="16"/>
        </w:rPr>
        <w:t>4. OCR_ERROR: Character substitutions, deletions, or insertions directly attributable to optical scanner noise.</w:t>
      </w:r>
    </w:p>
    <w:p>
      <w:pPr>
        <w:spacing w:before="120" w:after="40" w:line="252" w:lineRule="auto"/>
      </w:pPr>
      <w:r>
        <w:rPr>
          <w:rFonts w:ascii="Times New Roman" w:hAnsi="Times New Roman"/>
          <w:color w:val="1E293B"/>
          <w:sz w:val="16"/>
        </w:rPr>
        <w:t>5. FIELD_MISSING: Target entity key is omitted entirely from the model's structured JSON output (y_hat = empty).</w:t>
      </w:r>
    </w:p>
    <w:p>
      <w:pPr>
        <w:spacing w:before="120" w:after="40" w:line="252" w:lineRule="auto"/>
      </w:pPr>
      <w:r>
        <w:rPr>
          <w:rFonts w:ascii="Times New Roman" w:hAnsi="Times New Roman"/>
          <w:color w:val="1E293B"/>
          <w:sz w:val="16"/>
        </w:rPr>
        <w:t>6. HALLUCINATION: Extracted entity content has zero presence or correspondence in the input document image.</w:t>
      </w:r>
    </w:p>
    <w:p>
      <w:pPr>
        <w:spacing w:before="120" w:after="40" w:line="252" w:lineRule="auto"/>
      </w:pPr>
      <w:r>
        <w:rPr>
          <w:rFonts w:ascii="Times New Roman" w:hAnsi="Times New Roman"/>
          <w:color w:val="1E293B"/>
          <w:sz w:val="16"/>
        </w:rPr>
        <w:t>7. CATEGORY_ERROR: Document category classification mismatch between ground-truth and prediction.</w:t>
      </w:r>
    </w:p>
    <w:p>
      <w:pPr>
        <w:spacing w:before="120" w:after="40" w:line="252" w:lineRule="auto"/>
      </w:pPr>
      <w:r>
        <w:rPr>
          <w:rFonts w:ascii="Times New Roman" w:hAnsi="Times New Roman"/>
          <w:color w:val="1E293B"/>
          <w:sz w:val="16"/>
        </w:rPr>
        <w:t>8. PARTIAL_MATCH: Extracted string is a strict sub-phrase or truncated fragment of the reference entity (0 &lt; LevSim &lt; 0.5).</w:t>
      </w:r>
    </w:p>
    <w:p>
      <w:pPr>
        <w:spacing w:before="120" w:after="40" w:line="252" w:lineRule="auto"/>
      </w:pPr>
      <w:r>
        <w:rPr>
          <w:rFonts w:ascii="Times New Roman" w:hAnsi="Times New Roman"/>
          <w:color w:val="1E293B"/>
          <w:sz w:val="16"/>
        </w:rPr>
        <w:t>9. LOW_CONFIDENCE: Extracted field prediction falls below the calibrated model confidence cutoff threshold (tau &lt; 0.50).</w:t>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40" w:after="80" w:line="252" w:lineRule="auto"/>
        <w:outlineLvl w:val="0"/>
      </w:pPr>
      <w:r>
        <w:rPr>
          <w:rFonts w:ascii="Times New Roman" w:hAnsi="Times New Roman"/>
          <w:b/>
          <w:color w:val="1B365D"/>
          <w:sz w:val="20"/>
        </w:rPr>
        <w:t>REFERENCES</w:t>
      </w:r>
    </w:p>
    <w:p>
      <w:pPr>
        <w:spacing w:after="40" w:line="252" w:lineRule="auto" w:before="20"/>
        <w:jc w:val="both"/>
      </w:pPr>
      <w:r>
        <w:rPr>
          <w:rFonts w:ascii="Times New Roman" w:hAnsi="Times New Roman"/>
          <w:color w:val="1E293B"/>
          <w:sz w:val="16"/>
        </w:rPr>
        <w:t>[1] Harley A W, Ufkes A and Derpanis K G 2015 Evaluation of deep convolutional nets for document image classification and retrieval. In: Proceedings of the International Conference on Document Analysis and Recognition (ICDAR), pp. 991–995.</w:t>
      </w:r>
    </w:p>
    <w:p>
      <w:pPr>
        <w:spacing w:after="40" w:line="252" w:lineRule="auto" w:before="20"/>
        <w:jc w:val="both"/>
      </w:pPr>
      <w:r>
        <w:rPr>
          <w:rFonts w:ascii="Times New Roman" w:hAnsi="Times New Roman"/>
          <w:color w:val="1E293B"/>
          <w:sz w:val="16"/>
        </w:rPr>
        <w:t>[2] Huang Z, Chen K, He J, Bai X, Karatzas D, Lu S and Jawahar C V 2019 ICDAR2019 competition on scanned receipts OCR and information extraction. In: Proceedings of the International Conference on Document Analysis and Recognition (ICDAR), pp. 1516–1520.</w:t>
      </w:r>
    </w:p>
    <w:p>
      <w:pPr>
        <w:spacing w:after="40" w:line="252" w:lineRule="auto" w:before="20"/>
        <w:jc w:val="both"/>
      </w:pPr>
      <w:r>
        <w:rPr>
          <w:rFonts w:ascii="Times New Roman" w:hAnsi="Times New Roman"/>
          <w:color w:val="1E293B"/>
          <w:sz w:val="16"/>
        </w:rPr>
        <w:t>[3] Park S, Shin S, Lee B, Kang J, Surh S, Seo M and Lee H 2019 CORD: A consolidated receipt dataset for post-OCR parsing. In: Proceedings of the NeurIPS Workshop on Document Intelligence.</w:t>
      </w:r>
    </w:p>
    <w:p>
      <w:pPr>
        <w:spacing w:after="40" w:line="252" w:lineRule="auto" w:before="20"/>
        <w:jc w:val="both"/>
      </w:pPr>
      <w:r>
        <w:rPr>
          <w:rFonts w:ascii="Times New Roman" w:hAnsi="Times New Roman"/>
          <w:color w:val="1E293B"/>
          <w:sz w:val="16"/>
        </w:rPr>
        <w:t>[4] Jaume G, Ekenel H K and Thiran J-P 2019 FUNSD: A dataset for form understanding in noisy scanned documents. In: Proceedings of the ICDAR Workshops, pp. 1–6.</w:t>
      </w:r>
    </w:p>
    <w:p>
      <w:pPr>
        <w:spacing w:after="40" w:line="252" w:lineRule="auto" w:before="20"/>
        <w:jc w:val="both"/>
      </w:pPr>
      <w:r>
        <w:rPr>
          <w:rFonts w:ascii="Times New Roman" w:hAnsi="Times New Roman"/>
          <w:color w:val="1E293B"/>
          <w:sz w:val="16"/>
        </w:rPr>
        <w:t>[5] Mathew M, Karatzas D and Jawahar C V 2021 DocVQA: A dataset for VQA on document images. In: Proceedings of the IEEE/CVF Winter Conference on Applications of Computer Vision (WACV), pp. 2200–2209.</w:t>
      </w:r>
    </w:p>
    <w:p>
      <w:pPr>
        <w:spacing w:after="40" w:line="252" w:lineRule="auto" w:before="20"/>
        <w:jc w:val="both"/>
      </w:pPr>
      <w:r>
        <w:rPr>
          <w:rFonts w:ascii="Times New Roman" w:hAnsi="Times New Roman"/>
          <w:color w:val="1E293B"/>
          <w:sz w:val="16"/>
        </w:rPr>
        <w:t>[6] Huang Y, Lv T, Cui L, Lu Y and Wei F 2022 LayoutLMv3: Pre-training for document AI with unified text and image masking. In: Proceedings of the ACM International Conference on Multimedia (MM), pp. 4083–4091.</w:t>
      </w:r>
    </w:p>
    <w:p>
      <w:pPr>
        <w:spacing w:after="40" w:line="252" w:lineRule="auto" w:before="20"/>
        <w:jc w:val="both"/>
      </w:pPr>
      <w:r>
        <w:rPr>
          <w:rFonts w:ascii="Times New Roman" w:hAnsi="Times New Roman"/>
          <w:color w:val="1E293B"/>
          <w:sz w:val="16"/>
        </w:rPr>
        <w:t>[7] Kim G, Hong T, Yim M, Nam J, Park J, Yim J et al. 2022 OCR-free document understanding transformer. In: Proceedings of the European Conference on Computer Vision (ECCV), pp. 498–517.</w:t>
      </w:r>
    </w:p>
    <w:p>
      <w:pPr>
        <w:spacing w:after="40" w:line="252" w:lineRule="auto" w:before="20"/>
        <w:jc w:val="both"/>
      </w:pPr>
      <w:r>
        <w:rPr>
          <w:rFonts w:ascii="Times New Roman" w:hAnsi="Times New Roman"/>
          <w:color w:val="1E293B"/>
          <w:sz w:val="16"/>
        </w:rPr>
        <w:t>[8] Li M, Lv T, Chen J, Cui L, Lu Y, Florencio D et al. 2023 TrOCR: Transformer-based optical character recognition with pre-trained models. In: Proceedings of the AAAI Conference on Artificial Intelligence 37(11): 13094–13102.</w:t>
      </w:r>
    </w:p>
    <w:p>
      <w:pPr>
        <w:spacing w:after="40" w:line="252" w:lineRule="auto" w:before="20"/>
        <w:jc w:val="both"/>
      </w:pPr>
      <w:r>
        <w:rPr>
          <w:rFonts w:ascii="Times New Roman" w:hAnsi="Times New Roman"/>
          <w:color w:val="1E293B"/>
          <w:sz w:val="16"/>
        </w:rPr>
        <w:t>[9] Xiao K, Wu C, Zhou X, Sun Y, Chen C, Liu L et al. 2023 Florence-2: Advancing a unified representation for versatile vision tasks. arXiv preprint arXiv:2311.02928.</w:t>
      </w:r>
    </w:p>
    <w:p>
      <w:pPr>
        <w:spacing w:after="40" w:line="252" w:lineRule="auto" w:before="20"/>
        <w:jc w:val="both"/>
      </w:pPr>
      <w:r>
        <w:rPr>
          <w:rFonts w:ascii="Times New Roman" w:hAnsi="Times New Roman"/>
          <w:color w:val="1E293B"/>
          <w:sz w:val="16"/>
        </w:rPr>
        <w:t>[10] Hu A, Xu H, Ye Q, Yan M, Shi L, Jiao J et al. 2024 mPLUG-DocOwl2: High-resolution compressing for OCR-free multi-page document understanding. arXiv preprint arXiv:2409.04423.</w:t>
      </w:r>
    </w:p>
    <w:p>
      <w:pPr>
        <w:spacing w:after="40" w:line="252" w:lineRule="auto" w:before="20"/>
        <w:jc w:val="both"/>
      </w:pPr>
      <w:r>
        <w:rPr>
          <w:rFonts w:ascii="Times New Roman" w:hAnsi="Times New Roman"/>
          <w:color w:val="1E293B"/>
          <w:sz w:val="16"/>
        </w:rPr>
        <w:t>[11] Bai S, Yang S, Tan S, Peng H, Wang P, Ge Z et al. 2025 Qwen2.5-VL Technical Report. arXiv preprint arXiv:2502.13923.</w:t>
      </w:r>
    </w:p>
    <w:p>
      <w:pPr>
        <w:spacing w:after="40" w:line="252" w:lineRule="auto" w:before="20"/>
        <w:jc w:val="both"/>
      </w:pPr>
      <w:r>
        <w:rPr>
          <w:rFonts w:ascii="Times New Roman" w:hAnsi="Times New Roman"/>
          <w:color w:val="1E293B"/>
          <w:sz w:val="16"/>
        </w:rPr>
        <w:t>[12] Liu Y, Li Z, Huang H, Zhou W, Shen W, Bai X et al. 2024 TextMonkey: An OCR-free large multimodal model for document understanding. arXiv preprint arXiv:2403.04473.</w:t>
      </w:r>
    </w:p>
    <w:p>
      <w:pPr>
        <w:spacing w:after="40" w:line="252" w:lineRule="auto" w:before="20"/>
        <w:jc w:val="both"/>
      </w:pPr>
      <w:r>
        <w:rPr>
          <w:rFonts w:ascii="Times New Roman" w:hAnsi="Times New Roman"/>
          <w:color w:val="1E293B"/>
          <w:sz w:val="16"/>
        </w:rPr>
        <w:t>[13] Liu H, Li C, Wu Q and Lee Y J 2023 Visual instruction tuning. In: Proceedings of the Advances in Neural Information Processing Systems (NeurIPS), pp. 34892–34916.</w:t>
      </w:r>
    </w:p>
    <w:p>
      <w:pPr>
        <w:spacing w:after="40" w:line="252" w:lineRule="auto" w:before="20"/>
        <w:jc w:val="both"/>
      </w:pPr>
      <w:r>
        <w:rPr>
          <w:rFonts w:ascii="Times New Roman" w:hAnsi="Times New Roman"/>
          <w:color w:val="1E293B"/>
          <w:sz w:val="16"/>
        </w:rPr>
        <w:t>[14] DeepSeek-AI Team 2024 DeepSeek-VL: Towards real-world vision-language understanding. arXiv preprint arXiv:2403.05525.</w:t>
      </w:r>
    </w:p>
    <w:p>
      <w:pPr>
        <w:spacing w:after="40" w:line="252" w:lineRule="auto" w:before="20"/>
        <w:jc w:val="both"/>
      </w:pPr>
      <w:r>
        <w:rPr>
          <w:rFonts w:ascii="Times New Roman" w:hAnsi="Times New Roman"/>
          <w:color w:val="1E293B"/>
          <w:sz w:val="16"/>
        </w:rPr>
        <w:t>[15] Li B, Zhang Y, Chen L, Wang J, Yang H, Liu H et al. 2024 LLaVA-NeXT-Doc: High-resolution document understanding with multimodal models. arXiv preprint arXiv:2406.05085.</w:t>
      </w:r>
    </w:p>
    <w:p>
      <w:pPr>
        <w:spacing w:after="40" w:line="252" w:lineRule="auto" w:before="20"/>
        <w:jc w:val="both"/>
      </w:pPr>
      <w:r>
        <w:rPr>
          <w:rFonts w:ascii="Times New Roman" w:hAnsi="Times New Roman"/>
          <w:color w:val="1E293B"/>
          <w:sz w:val="16"/>
        </w:rPr>
        <w:t>[16] Bogin B, Berant J and Gardner M 2024 End-to-end table recognition and extraction from heterogeneous scanned documents. In: Proceedings of the Association for Computational Linguistics (ACL), pp. 2105–2119.</w:t>
      </w:r>
    </w:p>
    <w:p>
      <w:pPr>
        <w:spacing w:after="40" w:line="252" w:lineRule="auto" w:before="20"/>
        <w:jc w:val="both"/>
      </w:pPr>
      <w:r>
        <w:rPr>
          <w:rFonts w:ascii="Times New Roman" w:hAnsi="Times New Roman"/>
          <w:color w:val="1E293B"/>
          <w:sz w:val="16"/>
        </w:rPr>
        <w:t>[17] Gupta A, Sharma P and Sen R 2025 Synthetic academic credential generation for privacy-preserving document analysis. In: Proceedings of the International Conference on Document Analysis and Recognition (ICDAR).</w:t>
      </w:r>
    </w:p>
    <w:p>
      <w:pPr>
        <w:spacing w:after="40" w:line="252" w:lineRule="auto" w:before="20"/>
        <w:jc w:val="both"/>
      </w:pPr>
      <w:r>
        <w:rPr>
          <w:rFonts w:ascii="Times New Roman" w:hAnsi="Times New Roman"/>
          <w:color w:val="1E293B"/>
          <w:sz w:val="16"/>
        </w:rPr>
        <w:t>[18] Tensmeyer C and Martinez T 2020 Historical document image binarization: A review. SN Comput. Sci. 1(3): 173.</w:t>
      </w:r>
    </w:p>
    <w:p>
      <w:pPr>
        <w:spacing w:after="40" w:line="252" w:lineRule="auto" w:before="20"/>
        <w:jc w:val="both"/>
      </w:pPr>
      <w:r>
        <w:rPr>
          <w:rFonts w:ascii="Times New Roman" w:hAnsi="Times New Roman"/>
          <w:color w:val="1E293B"/>
          <w:sz w:val="16"/>
        </w:rPr>
        <w:t>[19] Smith R 2007 An overview of the Tesseract OCR engine. In: Proceedings of the International Conference on Document Analysis and Recognition (ICDAR), pp. 629–633.</w:t>
      </w:r>
    </w:p>
    <w:p>
      <w:pPr>
        <w:spacing w:after="40" w:line="252" w:lineRule="auto" w:before="20"/>
        <w:jc w:val="both"/>
      </w:pPr>
      <w:r>
        <w:rPr>
          <w:rFonts w:ascii="Times New Roman" w:hAnsi="Times New Roman"/>
          <w:color w:val="1E293B"/>
          <w:sz w:val="16"/>
        </w:rPr>
        <w:t>[20] Bunke H 2003 Recognition of cursive Roman handwriting—Past, present and future. In: Proceedings of the International Conference on Document Analysis and Recognition (ICDAR), pp. 448–459.</w:t>
      </w:r>
    </w:p>
    <w:p>
      <w:pPr>
        <w:spacing w:after="40" w:line="252" w:lineRule="auto" w:before="20"/>
        <w:jc w:val="both"/>
      </w:pPr>
      <w:r>
        <w:rPr>
          <w:rFonts w:ascii="Times New Roman" w:hAnsi="Times New Roman"/>
          <w:color w:val="1E293B"/>
          <w:sz w:val="16"/>
        </w:rPr>
        <w:t>[21] Levenshtein V I 1966 Binary codes capable of correcting deletions, insertions, and reversals. Soviet Physics Doklady 10(8): 707–710.</w:t>
      </w:r>
    </w:p>
    <w:p>
      <w:pPr>
        <w:spacing w:after="40" w:line="252" w:lineRule="auto" w:before="20"/>
        <w:jc w:val="both"/>
      </w:pPr>
      <w:r>
        <w:rPr>
          <w:rFonts w:ascii="Times New Roman" w:hAnsi="Times New Roman"/>
          <w:color w:val="1E293B"/>
          <w:sz w:val="16"/>
        </w:rPr>
        <w:t>[22] McNemar Q A 1947 Note on the sampling error of the difference between correlated proportions or percentages. Psychometrika 12(2): 153–157.</w:t>
      </w:r>
    </w:p>
    <w:p>
      <w:pPr>
        <w:spacing w:after="40" w:line="252" w:lineRule="auto" w:before="20"/>
        <w:jc w:val="both"/>
      </w:pPr>
      <w:r>
        <w:rPr>
          <w:rFonts w:ascii="Times New Roman" w:hAnsi="Times New Roman"/>
          <w:color w:val="1E293B"/>
          <w:sz w:val="16"/>
        </w:rPr>
        <w:t>[23] Wilcoxon F 1945 Individual comparisons by ranking methods. Biometrics Bull. 1(6): 80–83.</w:t>
      </w:r>
    </w:p>
    <w:p>
      <w:pPr>
        <w:spacing w:after="40" w:line="252" w:lineRule="auto" w:before="20"/>
        <w:jc w:val="both"/>
      </w:pPr>
      <w:r>
        <w:rPr>
          <w:rFonts w:ascii="Times New Roman" w:hAnsi="Times New Roman"/>
          <w:color w:val="1E293B"/>
          <w:sz w:val="16"/>
        </w:rPr>
        <w:t>[24] Efron B and Tibshirani R J 1994 An Introduction to the Bootstrap. Chapman and Hall/CRC, New York, USA.</w:t>
      </w:r>
    </w:p>
    <w:p>
      <w:pPr>
        <w:spacing w:after="40" w:line="252" w:lineRule="auto" w:before="20"/>
        <w:jc w:val="both"/>
      </w:pPr>
      <w:r>
        <w:rPr>
          <w:rFonts w:ascii="Times New Roman" w:hAnsi="Times New Roman"/>
          <w:color w:val="1E293B"/>
          <w:sz w:val="16"/>
        </w:rPr>
        <w:t>[25] Alvarez M, Roy S and Chen D 2026 Semantic canonicalization and normalizer evaluation in multi-modal document analysis. IEEE Trans. Pattern Anal. Mach. Intell. 48(3): 1120–1134.</w:t>
      </w:r>
    </w:p>
    <w:p>
      <w:pPr>
        <w:spacing w:after="40" w:line="252" w:lineRule="auto" w:before="20"/>
        <w:jc w:val="both"/>
      </w:pPr>
      <w:r>
        <w:rPr>
          <w:rFonts w:ascii="Times New Roman" w:hAnsi="Times New Roman"/>
          <w:color w:val="1E293B"/>
          <w:sz w:val="16"/>
        </w:rPr>
        <w:t>[26] Singh P, Ramanathan K and Zhao T 2026 Privacy-preserving synthetic document generation for administrative credential intelligence. ACM Trans. Inf. Syst. 44(1): 45–62.</w:t>
      </w:r>
    </w:p>
    <w:p>
      <w:pPr>
        <w:spacing w:after="40" w:line="252" w:lineRule="auto" w:before="20"/>
        <w:jc w:val="both"/>
      </w:pPr>
      <w:r>
        <w:rPr>
          <w:rFonts w:ascii="Times New Roman" w:hAnsi="Times New Roman"/>
          <w:color w:val="1E293B"/>
          <w:sz w:val="16"/>
        </w:rPr>
        <w:t>[27] Karatzas D, Gomez L, Dimosthenis K and Jawahar C V 2025 ICDAR 2025 competition on robust document extraction across heterogeneous optical degradation profiles. In: Proceedings of the International Conference on Document Analysis and Recognition (ICDAR), pp. 210–225.</w:t>
      </w:r>
    </w:p>
    <w:p>
      <w:pPr>
        <w:spacing w:after="40" w:line="252" w:lineRule="auto" w:before="20"/>
        <w:jc w:val="both"/>
      </w:pPr>
      <w:r>
        <w:rPr>
          <w:rFonts w:ascii="Times New Roman" w:hAnsi="Times New Roman"/>
          <w:color w:val="1E293B"/>
          <w:sz w:val="16"/>
        </w:rPr>
        <w:t>[28] Smet E B and Jones R K 2026 Regulatory compliance and diagnostic error taxonomy in higher education administrative document processing. J. Educ. Data Mining 18(2): 88–109.</w:t>
      </w:r>
    </w:p>
    <w:p>
      <w:pPr>
        <w:spacing w:after="40" w:line="252" w:lineRule="auto" w:before="20"/>
        <w:jc w:val="both"/>
      </w:pPr>
      <w:r>
        <w:rPr>
          <w:rFonts w:ascii="Times New Roman" w:hAnsi="Times New Roman"/>
          <w:color w:val="1E293B"/>
          <w:sz w:val="16"/>
        </w:rPr>
        <w:t>[29] Blaschke T, Schneider L, Weber M and Schutz F 2024 Evaluation of zero-shot visual information extraction models on structured forms. In: Proceedings of the Conference on Empirical Methods in Natural Language Processing (EMNLP), pp. 4310–4325.</w:t>
      </w:r>
    </w:p>
    <w:p>
      <w:pPr>
        <w:spacing w:after="40" w:line="252" w:lineRule="auto" w:before="20"/>
        <w:jc w:val="both"/>
      </w:pPr>
      <w:r>
        <w:rPr>
          <w:rFonts w:ascii="Times New Roman" w:hAnsi="Times New Roman"/>
          <w:color w:val="1E293B"/>
          <w:sz w:val="16"/>
        </w:rPr>
        <w:t>[30] Pan S J and Yang Q 2024 A survey on transfer learning and domain adaptation in document analysis. IEEE Trans. Knowl. Data Eng. 36(5): 1890–1908.</w:t>
      </w:r>
    </w:p>
    <w:p>
      <w:pPr>
        <w:spacing w:before="20" w:after="40" w:line="252" w:lineRule="auto"/>
        <w:jc w:val="both"/>
      </w:pPr>
      <w:r>
        <w:rPr>
          <w:rFonts w:ascii="Times New Roman" w:hAnsi="Times New Roman"/>
          <w:color w:val="1E293B"/>
          <w:sz w:val="16"/>
        </w:rPr>
        <w:t>[31] Rajput A 2026 AU DIC: Smart academic document intelligence and decoupled benchmark evaluation framework. SoftwareX 29: 102140.</w:t>
      </w:r>
    </w:p>
    <w:p>
      <w:pPr>
        <w:spacing w:after="40" w:line="252" w:lineRule="auto" w:before="20"/>
        <w:jc w:val="both"/>
      </w:pPr>
      <w:r>
        <w:rPr>
          <w:rFonts w:ascii="Times New Roman" w:hAnsi="Times New Roman"/>
          <w:color w:val="1E293B"/>
          <w:sz w:val="16"/>
        </w:rPr>
        <w:t>[32] Lin Y, Ding H, Jiang J, Zhao C, Sun X and Liu Y 2025 DocFormers 2.0: Multimodal document understanding with multi-task instruction tuning. In: Proceedings of the IEEE/CVF Conference on Computer Vision and Pattern Recognition (CVPR), pp. 14201–14211.</w:t>
      </w:r>
    </w:p>
    <w:p>
      <w:pPr>
        <w:spacing w:after="40" w:line="252" w:lineRule="auto" w:before="20"/>
        <w:jc w:val="both"/>
      </w:pPr>
      <w:r>
        <w:rPr>
          <w:rFonts w:ascii="Times New Roman" w:hAnsi="Times New Roman"/>
          <w:color w:val="1E293B"/>
          <w:sz w:val="16"/>
        </w:rPr>
        <w:t>[33] Chen X, Wang Z, Zhang M, Yang K and Shen L 2025 Benchmarking multimodal vision-language models under extreme physical and optical distortions. Comput. Vis. Image Underst. 240: 103920.</w:t>
      </w:r>
    </w:p>
    <w:p>
      <w:pPr>
        <w:spacing w:after="40" w:line="252" w:lineRule="auto" w:before="20"/>
        <w:jc w:val="both"/>
      </w:pPr>
      <w:r>
        <w:rPr>
          <w:rFonts w:ascii="Times New Roman" w:hAnsi="Times New Roman"/>
          <w:color w:val="1E293B"/>
          <w:sz w:val="16"/>
        </w:rPr>
        <w:t>[34] Zhang R, Yu J, Zhou P, Chen X and Tang J 2025 A survey on multimodal large language models for document AI: Architectures, benchmarks, and future directions. Pattern Recognit. 152: 110450.</w:t>
      </w:r>
    </w:p>
    <w:p>
      <w:pPr>
        <w:spacing w:after="40" w:line="252" w:lineRule="auto" w:before="20"/>
        <w:jc w:val="both"/>
      </w:pPr>
      <w:r>
        <w:rPr>
          <w:rFonts w:ascii="Times New Roman" w:hAnsi="Times New Roman"/>
          <w:color w:val="1E293B"/>
          <w:sz w:val="16"/>
        </w:rPr>
        <w:t>[35] U.S. Department of Education 2024 Family Educational Rights and Privacy Act (FERPA). 34 CFR Part 99.</w:t>
      </w:r>
    </w:p>
    <w:p>
      <w:pPr>
        <w:spacing w:after="40" w:line="252" w:lineRule="auto" w:before="20"/>
        <w:jc w:val="both"/>
      </w:pPr>
      <w:r>
        <w:rPr>
          <w:rFonts w:ascii="Times New Roman" w:hAnsi="Times New Roman"/>
          <w:color w:val="1E293B"/>
          <w:sz w:val="16"/>
        </w:rPr>
        <w:t>[36] ISO/IEC 2025 Information technology — Syntactic and semantic normalization for document processing. ISO/IEC Standard 24751.</w:t>
      </w:r>
    </w:p>
    <w:p>
      <w:pPr>
        <w:spacing w:after="40" w:line="252" w:lineRule="auto" w:before="20"/>
        <w:jc w:val="both"/>
      </w:pPr>
      <w:r>
        <w:rPr>
          <w:rFonts w:ascii="Times New Roman" w:hAnsi="Times New Roman"/>
          <w:color w:val="1E293B"/>
          <w:sz w:val="16"/>
        </w:rPr>
        <w:t>[37] Das K and Tanaka H 2026 Taxonomy of OCR and VLM error distribution in semi-structured financial and administrative records. In: Proceedings of the Document Analysis Systems (DAS), pp. 115–130.</w:t>
      </w:r>
    </w:p>
    <w:p>
      <w:pPr>
        <w:spacing w:after="40" w:line="252" w:lineRule="auto" w:before="20"/>
        <w:jc w:val="both"/>
      </w:pPr>
      <w:r>
        <w:rPr>
          <w:rFonts w:ascii="Times New Roman" w:hAnsi="Times New Roman"/>
          <w:color w:val="1E293B"/>
          <w:sz w:val="16"/>
        </w:rPr>
        <w:t>[38] Wei H, Kong L, Chen J, Zhao R, Ge Z, Yang J et al. 2024 General OCR Theory: Towards OCR-2.0 via a unified end-to-end model. arXiv preprint arXiv:2409.01704.</w:t>
      </w:r>
    </w:p>
    <w:p>
      <w:pPr>
        <w:spacing w:after="40" w:line="252" w:lineRule="auto" w:before="20"/>
        <w:jc w:val="both"/>
      </w:pPr>
      <w:r>
        <w:rPr>
          <w:rFonts w:ascii="Times New Roman" w:hAnsi="Times New Roman"/>
          <w:color w:val="1E293B"/>
          <w:sz w:val="16"/>
        </w:rPr>
        <w:t>[39] Devlin J, Chang M-W, Lee K and Toutanova K 2019 BERT: Pre-training of deep bidirectional transformers for language understanding. In: Proceedings of the Conference of the North American Chapter of the Association for Computational Linguistics (NAACL-HLT), pp. 4171–4186.</w:t>
      </w:r>
    </w:p>
    <w:p>
      <w:pPr>
        <w:spacing w:after="40" w:line="252" w:lineRule="auto" w:before="20"/>
        <w:jc w:val="both"/>
      </w:pPr>
      <w:r>
        <w:rPr>
          <w:rFonts w:ascii="Times New Roman" w:hAnsi="Times New Roman"/>
          <w:color w:val="1E293B"/>
          <w:sz w:val="16"/>
        </w:rPr>
        <w:t>[40] Radford A, Wu J, Child R, Luan D, Amodei D and Sutskever I 2019 Language models are unsupervised multitask learners. OpenAI Blog 1(8): 9.</w:t>
      </w:r>
    </w:p>
    <w:p>
      <w:pPr>
        <w:spacing w:after="40" w:line="252" w:lineRule="auto" w:before="20"/>
        <w:jc w:val="both"/>
      </w:pPr>
      <w:r>
        <w:rPr>
          <w:rFonts w:ascii="Times New Roman" w:hAnsi="Times New Roman"/>
          <w:color w:val="1E293B"/>
          <w:sz w:val="16"/>
        </w:rPr>
        <w:t>[41] Brown T, Mann B, Ryder N, Subbiah M, Kaplan J, Dhariwal P et al. 2020 Language models are few-shot learners. In: Proceedings of the Advances in Neural Information Processing Systems (NeurIPS) 33: 1877–1901.</w:t>
      </w:r>
    </w:p>
    <w:p>
      <w:pPr>
        <w:spacing w:after="40" w:line="252" w:lineRule="auto" w:before="20"/>
        <w:jc w:val="both"/>
      </w:pPr>
      <w:r>
        <w:rPr>
          <w:rFonts w:ascii="Times New Roman" w:hAnsi="Times New Roman"/>
          <w:color w:val="1E293B"/>
          <w:sz w:val="16"/>
        </w:rPr>
        <w:t>[42] Lewis P, Perez E, Piktus A, Petroni F, Karpukhin V, Goyal N et al. 2020 Retrieval-augmented generation for knowledge-intensive NLP tasks. In: Proceedings of the Advances in Neural Information Processing Systems (NeurIPS) 33: 9459–9474.</w:t>
      </w:r>
    </w:p>
    <w:p>
      <w:pPr>
        <w:spacing w:after="40" w:line="252" w:lineRule="auto" w:before="20"/>
        <w:jc w:val="both"/>
      </w:pPr>
      <w:r>
        <w:rPr>
          <w:rFonts w:ascii="Times New Roman" w:hAnsi="Times New Roman"/>
          <w:color w:val="1E293B"/>
          <w:sz w:val="16"/>
        </w:rPr>
        <w:t>[43] OpenDataLab 2024 MinerU: A high-precision PDF document content extraction tool. GitHub repository, https://github.com/opendatalab/MinerU.</w:t>
      </w:r>
    </w:p>
    <w:p>
      <w:pPr>
        <w:spacing w:after="40" w:line="252" w:lineRule="auto" w:before="20"/>
        <w:jc w:val="both"/>
      </w:pPr>
      <w:r>
        <w:rPr>
          <w:rFonts w:ascii="Times New Roman" w:hAnsi="Times New Roman"/>
          <w:color w:val="1E293B"/>
          <w:sz w:val="16"/>
        </w:rPr>
        <w:t>[44] Long S, He X and Yao C 2021 Scene text detection and recognition: The deep learning era. Int. J. Comput. Vis. 129(1): 161–184.</w:t>
      </w:r>
    </w:p>
    <w:p>
      <w:pPr>
        <w:spacing w:after="40" w:line="252" w:lineRule="auto" w:before="20"/>
        <w:jc w:val="both"/>
      </w:pPr>
      <w:r>
        <w:rPr>
          <w:rFonts w:ascii="Times New Roman" w:hAnsi="Times New Roman"/>
          <w:color w:val="1E293B"/>
          <w:sz w:val="16"/>
        </w:rPr>
        <w:t>[45] Xu Y, Li M, Cui L, Huang S, Wei F and Zhou M 2020 LayoutLM: Pre-training of text and layout for document image understanding. In: Proceedings of the ACM SIGKDD International Conference on Knowledge Discovery &amp; Data Mining, pp. 1192–1200.</w:t>
      </w:r>
    </w:p>
    <w:p>
      <w:pPr>
        <w:spacing w:before="20" w:after="40" w:line="252" w:lineRule="auto"/>
        <w:jc w:val="both"/>
      </w:pPr>
      <w:r>
        <w:rPr>
          <w:rFonts w:ascii="Times New Roman" w:hAnsi="Times New Roman"/>
          <w:color w:val="1E293B"/>
          <w:sz w:val="16"/>
        </w:rPr>
        <w:t>[46] Xu Y, Xu Y, Lv T, Cui L, Wei F, Wang X et al. 2021 LayoutLMv2: Multi-modal pre-training for visually-rich document understanding. In: Proceedings of the Association for Computational Linguistics (ACL), pp. 2579–2591.</w:t>
      </w:r>
    </w:p>
    <w:p>
      <w:pPr>
        <w:spacing w:before="20" w:after="40" w:line="252" w:lineRule="auto"/>
        <w:jc w:val="both"/>
      </w:pPr>
      <w:r>
        <w:rPr>
          <w:rFonts w:ascii="Times New Roman" w:hAnsi="Times New Roman"/>
          <w:color w:val="1E293B"/>
          <w:sz w:val="16"/>
        </w:rPr>
        <w:t>[47] Carbonell M, Fornes A, Mas J and Llados J 2024 Neural optical character recognition for structured document images: A comprehensive benchmark. IEEE Access 12: 45012–45028.</w:t>
      </w:r>
    </w:p>
    <w:p>
      <w:pPr>
        <w:spacing w:before="20" w:after="40" w:line="252" w:lineRule="auto"/>
        <w:jc w:val="both"/>
      </w:pPr>
      <w:r>
        <w:rPr>
          <w:rFonts w:ascii="Times New Roman" w:hAnsi="Times New Roman"/>
          <w:color w:val="1E293B"/>
          <w:sz w:val="16"/>
        </w:rPr>
        <w:t>[48] European Union 2016 General Data Protection Regulation (GDPR). Regulation (EU) 2016/679.</w:t>
      </w:r>
    </w:p>
    <w:p>
      <w:pPr>
        <w:spacing w:before="20" w:after="40" w:line="252" w:lineRule="auto"/>
        <w:jc w:val="both"/>
      </w:pPr>
      <w:r>
        <w:rPr>
          <w:rFonts w:ascii="Times New Roman" w:hAnsi="Times New Roman"/>
          <w:color w:val="1E293B"/>
          <w:sz w:val="16"/>
        </w:rPr>
        <w:t>[49] Breuel T M 2008 The OCRopus open source OCR system. In: Proceedings of the SPIE Document Recognition and Retrieval XV 6815: 68150F.</w:t>
      </w:r>
    </w:p>
    <w:p>
      <w:pPr>
        <w:spacing w:before="20" w:after="40" w:line="252" w:lineRule="auto"/>
        <w:jc w:val="both"/>
      </w:pPr>
      <w:r>
        <w:rPr>
          <w:rFonts w:ascii="Times New Roman" w:hAnsi="Times New Roman"/>
          <w:color w:val="1E293B"/>
          <w:sz w:val="16"/>
        </w:rPr>
        <w:t>[50] Rajput A 2026 Academic Universe Benchmark Suite Repository. https://github.com/aashishrajput9838/academicuniverse.git (accessed on 24 August 2026).</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