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color w:val="1E293B"/>
          <w:sz w:val="20"/>
        </w:rPr>
        <w:t>To establish a rigorous, scientifically defensible State-of-the-Art (SOTA) evaluation, Table 8 benchmarks multiple document intelligence paradigms directly on the identical 45 physical multi-modal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ACROSS DOCUMENT INTELLIGENCE PARADIGMS ON AU DIC DATASET</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Evaluation Protocol</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Status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Live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Fails completely on raster image photos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OCR + Spatial Parser [20]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Tesseract 5.3 + Layout Rules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Direct Live Run (AU DIC 45 Specimens)</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68.89%</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62.20%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52.22%</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38.40%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Baseline: Degrades under optical noise &amp; rotation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Pure Foundation VLM (MiniCPM-V) [31]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Zero-Shot Neural Pixel Ingestion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Live Run (AU DIC 45 Specimens - Pass 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79.56%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9.69%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Neural vision penalized by raw formatting</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Proposed AU DIC System (Ours)</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Neural VLM + 6-Stage Normalizer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Direct Live Run (AU DIC 45 Specimens - Pass B)</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90.56%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3.64%</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State-of-the-Art (SOTA) on AU DIC Suite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