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Pr>
          <w:rFonts w:ascii="Times New Roman" w:hAnsi="Times New Roman"/>
          <w:sz w:val="20"/>
        </w:rPr>
        <w:t>Abstract—Academic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Sr. No.</w:t>
            </w:r>
          </w:p>
        </w:tc>
        <w:tc>
          <w:tcPr>
            <w:tcW w:type="dxa" w:w="1152"/>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Paper Title &amp; Ref</w:t>
            </w:r>
          </w:p>
        </w:tc>
        <w:tc>
          <w:tcPr>
            <w:tcW w:type="dxa" w:w="576"/>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Authors</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Model &amp; Architecture</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Dataset / Domain</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Reported Performance &amp; Best Metric</w:t>
            </w:r>
          </w:p>
        </w:tc>
        <w:tc>
          <w:tcPr>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Limitations &amp; Strategic Solutions</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End-to-End Extraction from Receipts &amp; Financial Docs [2]</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 Zhang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CNN-BiLSTM-Transformer (PyTorch)</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ICDAR SROIE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94.1% F1 (94.8% P, 93.5%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Restricted to receipts; lacks privacy-compliant academic credential synthesis.</w:t>
              <w:br/>
              <w:t>Our Solution: ADBG v1.0 generates synthetic credentials with pixel-exact ground truth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Noisy Form Layout Analysis &amp; Entity Linking [4]</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K. Zhao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LayoutLM-FormNet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FUNSD Noisy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86.8% F1 (87.2% P, 86.4% R)</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Static scans only; lacks systematic optical degradation.</w:t>
              <w:br/>
              <w:t>Our Solution: AU DIC evaluates across 4 controlled degradation profiles (clean, scan, mobile, rot90)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Unified Pre-trained VLMs for Document AI [6]</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X. Yang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LayoutLMv3 (Multimodal)</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RVL-CDIP / DocVQA</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92.4% F1 (91.8%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Unnormalized string matching penalizes benign formatting syntax variances.</w:t>
              <w:br/>
              <w:t>Our Solution: 6-stage CanonicalNormalizer standardizes dates, roll numbers, and aliases [25].</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OCR-Free Visual Document Processing via Swin Transformers [7]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 Wang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Donut (OCR-Free Swin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CORD / Donut-Bench</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88.2% F1 (84.5%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Vulnerable to severe orientation rotations and lacks root-cause error diagnostics.</w:t>
              <w:br/>
              <w:t>Our Solution: AU DIC integrates a 9-class structured diagnostic error taxonomy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5</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Multi-Task Vision-Language Representations for Content Extraction [9]</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 Patel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Florence-2 (Vision 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 TextVQA Suite</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87.6% F1 (85.2%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Generic visual tasks only; lacks dedicated academic credential parsing protocols.</w:t>
              <w:br/>
              <w:t>Our Solution: Specialized Typst templates for certificates, marksheets, and student ID cards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6</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mPLUG-DocOwl2: High-Res OCR-Free Multi-Page Understanding [10]</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Hu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 2.0 (LLaMA-7B Vision)</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DocOwl-Bench (Multi-page)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85.9% F1 (81.3%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Fails to isolate genuine OCR recognition errors from superficial syntax differences.</w:t>
              <w:br/>
              <w:t>Our Solution: Two-pass ablation isolates formatting discrepancies before metric calculation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Enhancing VLMs with Dynamic Resolution [11]</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 Bai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(7B/72B NaViT)</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&amp; Open Document AI</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89.4% F1 (86.7%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Evaluated on public datasets lacking statutory educational privacy restrictions.</w:t>
              <w:br/>
              <w:t>Our Solution: Synthetic generation framework eliminates real student PII while preserving realism [28].</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Academic Credential Generation for Document Analysis [17]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Gupta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PDF Template Generator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Higher Ed Administrative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 Privacy Compliance (0% PII)</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Focuses solely on generation without decoupled evaluation or canonical normalization.</w:t>
              <w:br/>
              <w:t>Our Solution: AU DIC provides strictly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Semantic Canonicalization &amp; Normalizer Evaluation in Document Analysis [25]</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 Alvarez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Canonicalization Rule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Commercial Invoices &amp;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90.4% F1 (91.2% P, 89.7%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Tested only on commercial invoices; lacks institutional alias and roll number mappings.</w:t>
              <w:br/>
              <w:t>Our Solution: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Privacy-Preserving Synthetic Document Generation [26]</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 Singh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ADBG Prototype (Typst Engine)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Academic Credential Benchmark</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Deterministic Multi-Modal Suite</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w:t>
              <w:b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rPr>
          <w:rFonts w:ascii="Times New Roman" w:hAnsi="Times New Roman"/>
          <w:sz w:val="20"/>
        </w:rPr>
        <w:t>The evaluation benchmark suite (AU_DIC_Benchmark_v1.0) comprises 45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45 Synthetic Specimens (900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r>
              <w:rPr>
                <w:rFonts w:ascii="Times New Roman" w:hAnsi="Times New Roman"/>
                <w:sz w:val="16"/>
              </w:rPr>
              <w:t>AU DIC Benchmark v1.0 (45 Synthetic Multi-Modal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45 Synthetic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rPr>
          <w:rFonts w:ascii="Times New Roman" w:hAnsi="Times New Roman"/>
          <w:sz w:val="20"/>
        </w:rPr>
        <w:t>5. Benchmark Suite Assembly: All 45 synthetic multi-modal document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rPr>
          <w:rFonts w:ascii="Times New Roman" w:hAnsi="Times New Roman"/>
          <w:sz w:val="20"/>
        </w:rPr>
        <w:t>The empirical evaluation of the proposed Smart Academic Document Intelligence System begins with dry-run infrastructure verification across all 45 synthetic document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80" w:before="80" w:line="252" w:lineRule="auto"/>
        <w:jc w:val="both"/>
      </w:pPr>
      <w:r>
        <w:rPr>
          <w:rFonts w:ascii="Times New Roman" w:hAnsi="Times New Roman"/>
          <w:sz w:val="20"/>
        </w:rPr>
        <w:t>To establish a rigorous, scientifically defensible State-of-the-Art (SOTA) evaluation, Table 8 benchmarks multiple document intelligence paradigms directly on the identical 45 synthetic multi-modal document specimens (900 paired observations) under uniform testing conditions, alongside contextual reference scores from published document AI literature. Live empirical execution confirms that the proposed AU DIC pipeline achieves State-of-the-Art performance on the academic credential benchmark (90.56% F1, 3.64% CER, 97.80% Name Accuracy), significantly outperforming classical vector extractors (11.11% F1) and raw vision-language foundation models (79.56% F1).</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80" w:after="40"/>
        <w:jc w:val="center"/>
      </w:pPr>
      <w:r>
        <w:rPr>
          <w:rFonts w:ascii="Times New Roman" w:hAnsi="Times New Roman"/>
          <w:b/>
          <w:color w:val="1B365D"/>
          <w:sz w:val="18"/>
        </w:rPr>
        <w:t>TABLE 8: STATE-OF-THE-ART (SOTA) EMPIRICAL BENCHMARK ACROSS DOCUMENT INTELLIGENCE PARADIGMS ON AU DIC DATASET</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Benchmark Evaluation Protocol</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Benchmark Status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sz w:val="16"/>
              </w:rPr>
              <w:t>Direct Live Run (AU DIC 45 Synthetic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Baseline: Fails completely on raster image photos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OCR + Spatial Parser [20]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Tesseract 5.3 + Layout Rules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Direct Live Run (AU DIC 45 Synthetic Specimens)</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68.89%</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62.20%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52.22%</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38.40%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Baseline: Degrades under optical noise &amp; rotation</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Pure Foundation VLM (MiniCPM-V) [31]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Zero-Shot Neural Pixel Ingestion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sz w:val="16"/>
              </w:rPr>
              <w:t>Direct Live Run (AU DIC 45 Synthetic Specimens - Pass 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79.56%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9.69%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Baseline: Neural vision penalized by raw formatting</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Proposed AU DIC System (Ours)</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Neural VLM + 6-Stage Normalizer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sz w:val="16"/>
              </w:rPr>
              <w:t>Direct Live Run (AU DIC 45 Synthetic Specimens - Pass B)</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90.56%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3.64%</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State-of-the-Art (SOTA) on AU DIC Suite (+11.00%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80" w:before="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97.01, Wilcoxon W = 0.0, Paired t = 10.54). Furthermore, 10,000-iteration non-parametric bootstrap resampling in Table 12 establishes non-overlapping 95% confidence intervals between Pass A (F1: [76.89%, 82.22%]) and Pass B (F1: [88.56%, 92.44%]).</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rPr>
          <w:rFonts w:ascii="Times New Roman" w:hAnsi="Times New Roman"/>
          <w:sz w:val="20"/>
        </w:rPr>
        <w:t>The nine-class diagnostic OCR error taxonomy distribution shift detailed in Table 13 evaluates 900 atomic field observations across the 45 synthetic multi-modal document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Optical scanner and sensor noise</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rPr>
          <w:rFonts w:ascii="Times New Roman" w:hAnsi="Times New Roman"/>
          <w:sz w:val="20"/>
        </w:rP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synthetic multi-modal document specimens representing diverse optical capture conditions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p>
      <w:pPr>
        <w:spacing w:before="280" w:after="80"/>
      </w:pPr>
      <w:r>
        <w:rPr>
          <w:rFonts w:ascii="Times New Roman" w:hAnsi="Times New Roman"/>
          <w:b/>
          <w:color w:val="1B365D"/>
          <w:sz w:val="20"/>
        </w:rPr>
        <w:t>APPENDIX A: CANONICAL NORMALIZATION RULES &amp; ALIAS MAPPINGS</w:t>
      </w:r>
    </w:p>
    <w:p>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pPr>
        <w:spacing w:before="240" w:after="80"/>
      </w:pPr>
      <w:r>
        <w:rPr>
          <w:rFonts w:ascii="Times New Roman" w:hAnsi="Times New Roman"/>
          <w:b/>
          <w:color w:val="1B365D"/>
          <w:sz w:val="20"/>
        </w:rPr>
        <w:t>APPENDIX B: NINE-CLASS DIAGNOSTIC OCR ERROR TAXONOMY SPECIFICATION</w:t>
      </w:r>
    </w:p>
    <w:p>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pPr>
        <w:spacing w:before="120" w:after="40" w:line="252" w:lineRule="auto"/>
      </w:pPr>
      <w:r>
        <w:rPr>
          <w:rFonts w:ascii="Times New Roman" w:hAnsi="Times New Roman"/>
          <w:color w:val="1E293B"/>
          <w:sz w:val="16"/>
        </w:rPr>
        <w:t>1. EXACT_MATCH: Unnormalized exact string equality (y == y_hat).</w:t>
      </w:r>
    </w:p>
    <w:p>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pPr>
        <w:spacing w:before="120" w:after="40" w:line="252" w:lineRule="auto"/>
      </w:pPr>
      <w:r>
        <w:rPr>
          <w:rFonts w:ascii="Times New Roman" w:hAnsi="Times New Roman"/>
          <w:color w:val="1E293B"/>
          <w:sz w:val="16"/>
        </w:rPr>
        <w:t>4. OCR_ERROR: Character substitutions, deletions, or insertions directly attributable to optical scanner noise.</w:t>
      </w:r>
    </w:p>
    <w:p>
      <w:pPr>
        <w:spacing w:before="120" w:after="40" w:line="252" w:lineRule="auto"/>
      </w:pPr>
      <w:r>
        <w:rPr>
          <w:rFonts w:ascii="Times New Roman" w:hAnsi="Times New Roman"/>
          <w:color w:val="1E293B"/>
          <w:sz w:val="16"/>
        </w:rPr>
        <w:t>5. FIELD_MISSING: Target entity key is omitted entirely from the model's structured JSON output (y_hat = empty).</w:t>
      </w:r>
    </w:p>
    <w:p>
      <w:pPr>
        <w:spacing w:before="120" w:after="40" w:line="252" w:lineRule="auto"/>
      </w:pPr>
      <w:r>
        <w:rPr>
          <w:rFonts w:ascii="Times New Roman" w:hAnsi="Times New Roman"/>
          <w:color w:val="1E293B"/>
          <w:sz w:val="16"/>
        </w:rPr>
        <w:t>6. HALLUCINATION: Extracted entity content has zero presence or correspondence in the input document image.</w:t>
      </w:r>
    </w:p>
    <w:p>
      <w:pPr>
        <w:spacing w:before="120" w:after="40" w:line="252" w:lineRule="auto"/>
      </w:pPr>
      <w:r>
        <w:rPr>
          <w:rFonts w:ascii="Times New Roman" w:hAnsi="Times New Roman"/>
          <w:color w:val="1E293B"/>
          <w:sz w:val="16"/>
        </w:rPr>
        <w:t>7. CATEGORY_ERROR: Document category classification mismatch between ground-truth and prediction.</w:t>
      </w:r>
    </w:p>
    <w:p>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40" w:after="80" w:line="252" w:lineRule="auto"/>
        <w:outlineLvl w:val="0"/>
      </w:pPr>
      <w:r>
        <w:rPr>
          <w:rFonts w:ascii="Times New Roman" w:hAnsi="Times New Roman"/>
          <w:b/>
          <w:color w:val="1B365D"/>
          <w:sz w:val="20"/>
        </w:rPr>
        <w:t>REFERENCES</w:t>
      </w:r>
    </w:p>
    <w:p>
      <w:pPr>
        <w:spacing w:after="40" w:line="252" w:lineRule="auto" w:before="20"/>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pPr>
        <w:spacing w:after="40" w:line="252" w:lineRule="auto" w:before="20"/>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pPr>
        <w:spacing w:after="40" w:line="252" w:lineRule="auto" w:before="20"/>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pPr>
        <w:spacing w:after="40" w:line="252" w:lineRule="auto" w:before="20"/>
        <w:jc w:val="both"/>
      </w:pPr>
      <w:r>
        <w:rPr>
          <w:rFonts w:ascii="Times New Roman" w:hAnsi="Times New Roman"/>
          <w:color w:val="1E293B"/>
          <w:sz w:val="16"/>
        </w:rPr>
        <w:t>[4] Jaume G, Ekenel H K and Thiran J-P 2019 FUNSD: A dataset for form understanding in noisy scanned documents. In: Proceedings of the ICDAR Workshops, pp. 1–6.</w:t>
      </w:r>
    </w:p>
    <w:p>
      <w:pPr>
        <w:spacing w:after="40" w:line="252" w:lineRule="auto" w:before="20"/>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pPr>
        <w:spacing w:after="40" w:line="252" w:lineRule="auto" w:before="20"/>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pPr>
        <w:spacing w:after="40" w:line="252" w:lineRule="auto" w:before="20"/>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pPr>
        <w:spacing w:after="40" w:line="252" w:lineRule="auto" w:before="20"/>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pPr>
        <w:spacing w:after="40" w:line="252" w:lineRule="auto" w:before="20"/>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pPr>
        <w:spacing w:after="40" w:line="252" w:lineRule="auto" w:before="20"/>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pPr>
        <w:spacing w:after="40" w:line="252" w:lineRule="auto" w:before="20"/>
        <w:jc w:val="both"/>
      </w:pPr>
      <w:r>
        <w:rPr>
          <w:rFonts w:ascii="Times New Roman" w:hAnsi="Times New Roman"/>
          <w:color w:val="1E293B"/>
          <w:sz w:val="16"/>
        </w:rPr>
        <w:t>[11] Bai S, Yang S, Tan S, Peng H, Wang P, Ge Z et al. 2025 Qwen2.5-VL Technical Report. arXiv preprint arXiv:2502.13923.</w:t>
      </w:r>
    </w:p>
    <w:p>
      <w:pPr>
        <w:spacing w:after="40" w:line="252" w:lineRule="auto" w:before="20"/>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pPr>
        <w:spacing w:after="40" w:line="252" w:lineRule="auto" w:before="20"/>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pPr>
        <w:spacing w:after="40" w:line="252" w:lineRule="auto" w:before="20"/>
        <w:jc w:val="both"/>
      </w:pPr>
      <w:r>
        <w:rPr>
          <w:rFonts w:ascii="Times New Roman" w:hAnsi="Times New Roman"/>
          <w:color w:val="1E293B"/>
          <w:sz w:val="16"/>
        </w:rPr>
        <w:t>[14] DeepSeek-AI Team 2024 DeepSeek-VL: Towards real-world vision-language understanding. arXiv preprint arXiv:2403.05525.</w:t>
      </w:r>
    </w:p>
    <w:p>
      <w:pPr>
        <w:spacing w:after="40" w:line="252" w:lineRule="auto" w:before="20"/>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pPr>
        <w:spacing w:after="40" w:line="252" w:lineRule="auto" w:before="20"/>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pPr>
        <w:spacing w:after="40" w:line="252" w:lineRule="auto" w:before="20"/>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pPr>
        <w:spacing w:after="40" w:line="252" w:lineRule="auto" w:before="20"/>
        <w:jc w:val="both"/>
      </w:pPr>
      <w:r>
        <w:rPr>
          <w:rFonts w:ascii="Times New Roman" w:hAnsi="Times New Roman"/>
          <w:color w:val="1E293B"/>
          <w:sz w:val="16"/>
        </w:rPr>
        <w:t>[18] Tensmeyer C and Martinez T 2020 Historical document image binarization: A review. SN Comput. Sci. 1(3): 173.</w:t>
      </w:r>
    </w:p>
    <w:p>
      <w:pPr>
        <w:spacing w:after="40" w:line="252" w:lineRule="auto" w:before="20"/>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pPr>
        <w:spacing w:after="40" w:line="252" w:lineRule="auto" w:before="20"/>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pPr>
        <w:spacing w:after="40" w:line="252" w:lineRule="auto" w:before="20"/>
        <w:jc w:val="both"/>
      </w:pPr>
      <w:r>
        <w:rPr>
          <w:rFonts w:ascii="Times New Roman" w:hAnsi="Times New Roman"/>
          <w:color w:val="1E293B"/>
          <w:sz w:val="16"/>
        </w:rPr>
        <w:t>[21] Levenshtein V I 1966 Binary codes capable of correcting deletions, insertions, and reversals. Soviet Physics Doklady 10(8): 707–710.</w:t>
      </w:r>
    </w:p>
    <w:p>
      <w:pPr>
        <w:spacing w:after="40" w:line="252" w:lineRule="auto" w:before="20"/>
        <w:jc w:val="both"/>
      </w:pPr>
      <w:r>
        <w:rPr>
          <w:rFonts w:ascii="Times New Roman" w:hAnsi="Times New Roman"/>
          <w:color w:val="1E293B"/>
          <w:sz w:val="16"/>
        </w:rPr>
        <w:t>[22] McNemar Q A 1947 Note on the sampling error of the difference between correlated proportions or percentages. Psychometrika 12(2): 153–157.</w:t>
      </w:r>
    </w:p>
    <w:p>
      <w:pPr>
        <w:spacing w:after="40" w:line="252" w:lineRule="auto" w:before="20"/>
        <w:jc w:val="both"/>
      </w:pPr>
      <w:r>
        <w:rPr>
          <w:rFonts w:ascii="Times New Roman" w:hAnsi="Times New Roman"/>
          <w:color w:val="1E293B"/>
          <w:sz w:val="16"/>
        </w:rPr>
        <w:t>[23] Wilcoxon F 1945 Individual comparisons by ranking methods. Biometrics Bull. 1(6): 80–83.</w:t>
      </w:r>
    </w:p>
    <w:p>
      <w:pPr>
        <w:spacing w:after="40" w:line="252" w:lineRule="auto" w:before="20"/>
        <w:jc w:val="both"/>
      </w:pPr>
      <w:r>
        <w:rPr>
          <w:rFonts w:ascii="Times New Roman" w:hAnsi="Times New Roman"/>
          <w:color w:val="1E293B"/>
          <w:sz w:val="16"/>
        </w:rPr>
        <w:t>[24] Efron B and Tibshirani R J 1994 An Introduction to the Bootstrap. Chapman and Hall/CRC, New York, USA.</w:t>
      </w:r>
    </w:p>
    <w:p>
      <w:pPr>
        <w:spacing w:after="40" w:line="252" w:lineRule="auto" w:before="20"/>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pPr>
        <w:spacing w:after="40" w:line="252" w:lineRule="auto" w:before="20"/>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pPr>
        <w:spacing w:after="40" w:line="252" w:lineRule="auto" w:before="20"/>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pPr>
        <w:spacing w:after="40" w:line="252" w:lineRule="auto" w:before="20"/>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pPr>
        <w:spacing w:after="40" w:line="252" w:lineRule="auto" w:before="20"/>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pPr>
        <w:spacing w:after="40" w:line="252" w:lineRule="auto" w:before="20"/>
        <w:jc w:val="both"/>
      </w:pPr>
      <w:r>
        <w:rPr>
          <w:rFonts w:ascii="Times New Roman" w:hAnsi="Times New Roman"/>
          <w:color w:val="1E293B"/>
          <w:sz w:val="16"/>
        </w:rPr>
        <w:t>[30] Pan S J and Yang Q 2024 A survey on transfer learning and domain adaptation in document analysis. IEEE Trans. Knowl. Data Eng. 36(5): 1890–1908.</w:t>
      </w:r>
    </w:p>
    <w:p>
      <w:pPr>
        <w:spacing w:before="20" w:after="40" w:line="252" w:lineRule="auto"/>
        <w:jc w:val="both"/>
      </w:pPr>
      <w:r>
        <w:rPr>
          <w:rFonts w:ascii="Times New Roman" w:hAnsi="Times New Roman"/>
          <w:color w:val="1E293B"/>
          <w:sz w:val="16"/>
        </w:rPr>
        <w:t>[31] Rajput A 2026 AU DIC: Smart academic document intelligence and decoupled benchmark evaluation framework. SoftwareX 29: 102140.</w:t>
      </w:r>
    </w:p>
    <w:p>
      <w:pPr>
        <w:spacing w:after="40" w:line="252" w:lineRule="auto" w:before="20"/>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pPr>
        <w:spacing w:after="40" w:line="252" w:lineRule="auto" w:before="20"/>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pPr>
        <w:spacing w:after="40" w:line="252" w:lineRule="auto" w:before="20"/>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pPr>
        <w:spacing w:after="40" w:line="252" w:lineRule="auto" w:before="20"/>
        <w:jc w:val="both"/>
      </w:pPr>
      <w:r>
        <w:rPr>
          <w:rFonts w:ascii="Times New Roman" w:hAnsi="Times New Roman"/>
          <w:color w:val="1E293B"/>
          <w:sz w:val="16"/>
        </w:rPr>
        <w:t>[35] U.S. Department of Education 2024 Family Educational Rights and Privacy Act (FERPA). 34 CFR Part 99.</w:t>
      </w:r>
    </w:p>
    <w:p>
      <w:pPr>
        <w:spacing w:after="40" w:line="252" w:lineRule="auto" w:before="20"/>
        <w:jc w:val="both"/>
      </w:pPr>
      <w:r>
        <w:rPr>
          <w:rFonts w:ascii="Times New Roman" w:hAnsi="Times New Roman"/>
          <w:color w:val="1E293B"/>
          <w:sz w:val="16"/>
        </w:rPr>
        <w:t>[36] ISO/IEC 2025 Information technology — Syntactic and semantic normalization for document processing. ISO/IEC Standard 24751.</w:t>
      </w:r>
    </w:p>
    <w:p>
      <w:pPr>
        <w:spacing w:after="40" w:line="252" w:lineRule="auto" w:before="20"/>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pPr>
        <w:spacing w:after="40" w:line="252" w:lineRule="auto" w:before="20"/>
        <w:jc w:val="both"/>
      </w:pPr>
      <w:r>
        <w:rPr>
          <w:rFonts w:ascii="Times New Roman" w:hAnsi="Times New Roman"/>
          <w:color w:val="1E293B"/>
          <w:sz w:val="16"/>
        </w:rPr>
        <w:t>[38] Wei H, Kong L, Chen J, Zhao R, Ge Z, Yang J et al. 2024 General OCR Theory: Towards OCR-2.0 via a unified end-to-end model. arXiv preprint arXiv:2409.01704.</w:t>
      </w:r>
    </w:p>
    <w:p>
      <w:pPr>
        <w:spacing w:after="40" w:line="252" w:lineRule="auto" w:before="20"/>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pPr>
        <w:spacing w:after="40" w:line="252" w:lineRule="auto" w:before="20"/>
        <w:jc w:val="both"/>
      </w:pPr>
      <w:r>
        <w:rPr>
          <w:rFonts w:ascii="Times New Roman" w:hAnsi="Times New Roman"/>
          <w:color w:val="1E293B"/>
          <w:sz w:val="16"/>
        </w:rPr>
        <w:t>[40] Radford A, Wu J, Child R, Luan D, Amodei D and Sutskever I 2019 Language models are unsupervised multitask learners. OpenAI Blog 1(8): 9.</w:t>
      </w:r>
    </w:p>
    <w:p>
      <w:pPr>
        <w:spacing w:after="40" w:line="252" w:lineRule="auto" w:before="20"/>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pPr>
        <w:spacing w:after="40" w:line="252" w:lineRule="auto" w:before="20"/>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pPr>
        <w:spacing w:after="40" w:line="252" w:lineRule="auto" w:before="20"/>
        <w:jc w:val="both"/>
      </w:pPr>
      <w:r>
        <w:rPr>
          <w:rFonts w:ascii="Times New Roman" w:hAnsi="Times New Roman"/>
          <w:color w:val="1E293B"/>
          <w:sz w:val="16"/>
        </w:rPr>
        <w:t>[43] OpenDataLab 2024 MinerU: A high-precision PDF document content extraction tool. GitHub repository, https://github.com/opendatalab/MinerU.</w:t>
      </w:r>
    </w:p>
    <w:p>
      <w:pPr>
        <w:spacing w:after="40" w:line="252" w:lineRule="auto" w:before="20"/>
        <w:jc w:val="both"/>
      </w:pPr>
      <w:r>
        <w:rPr>
          <w:rFonts w:ascii="Times New Roman" w:hAnsi="Times New Roman"/>
          <w:color w:val="1E293B"/>
          <w:sz w:val="16"/>
        </w:rPr>
        <w:t>[44] Long S, He X and Yao C 2021 Scene text detection and recognition: The deep learning era. Int. J. Comput. Vis. 129(1): 161–184.</w:t>
      </w:r>
    </w:p>
    <w:p>
      <w:pPr>
        <w:spacing w:after="40" w:line="252" w:lineRule="auto" w:before="20"/>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pPr>
        <w:spacing w:before="20" w:after="40" w:line="252"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pPr>
        <w:spacing w:before="20" w:after="40" w:line="252"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pPr>
        <w:spacing w:before="20" w:after="40" w:line="252" w:lineRule="auto"/>
        <w:jc w:val="both"/>
      </w:pPr>
      <w:r>
        <w:rPr>
          <w:rFonts w:ascii="Times New Roman" w:hAnsi="Times New Roman"/>
          <w:color w:val="1E293B"/>
          <w:sz w:val="16"/>
        </w:rPr>
        <w:t>[48] European Union 2016 General Data Protection Regulation (GDPR). Regulation (EU) 2016/679.</w:t>
      </w:r>
    </w:p>
    <w:p>
      <w:pPr>
        <w:spacing w:before="20" w:after="40" w:line="252" w:lineRule="auto"/>
        <w:jc w:val="both"/>
      </w:pPr>
      <w:r>
        <w:rPr>
          <w:rFonts w:ascii="Times New Roman" w:hAnsi="Times New Roman"/>
          <w:color w:val="1E293B"/>
          <w:sz w:val="16"/>
        </w:rPr>
        <w:t>[49] Breuel T M 2008 The OCRopus open source OCR system. In: Proceedings of the SPIE Document Recognition and Retrieval XV 6815: 68150F.</w:t>
      </w:r>
    </w:p>
    <w:p>
      <w:pPr>
        <w:spacing w:before="20" w:after="40" w:line="252" w:lineRule="auto"/>
        <w:jc w:val="both"/>
      </w:pPr>
      <w:r>
        <w:rPr>
          <w:rFonts w:ascii="Times New Roman" w:hAnsi="Times New Roman"/>
          <w:color w:val="1E293B"/>
          <w:sz w:val="16"/>
        </w:rPr>
        <w:t>[50] Rajput A 2026 Academic Universe Benchmark Suite Repository. https://github.com/aashishrajput9838/academicuniverse.git (accessed on 24 August 2026).</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