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dataset comprises 360 synthetic specimens across certificates, marksheets, and student identity cards evaluated across four optical quality profiles (clean, scanner copy, mobile capture, and 90° rotation). In canonical live evaluation using MiniCPM-V (7.6B, Q4_0) via local Ollama runtime across 24,480 field observations, the system achieved 75.23% field F1, 74.60% raw exact match, 82.18% normalized exact match, 8.21% character error rate, and 100.00% category classification accuracy. Controlled ablation demonstrates that semantic canonicalization resolves 2,620 false-negative formatting mismatches, boosting extraction F1 from 50.00% to 95.49% (+45.49% gain) and reducing CER from 38.13% to 3.65% with high statistical significance (McNemar χ² = 2618.00, p &lt; 0.0001). These quantitative findings confirm that the proposed framework delivers a rigorous, privacy-compliant evaluation foundation for academic document extraction.</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I: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2362200"/>
            <ns4:docPr id="8" name="Picture 8"/>
            <ns4:cNvGraphicFramePr>
              <ns5:graphicFrameLocks noChangeAspect="1"/>
            </ns4:cNvGraphicFramePr>
            <ns5:graphic>
              <ns5:graphicData uri="http://schemas.openxmlformats.org/drawingml/2006/picture">
                <ns6:pic>
                  <ns6:nvPicPr>
                    <ns6:cNvPr id="0" name="image.png"/>
                    <ns6:cNvPicPr/>
                  </ns6:nvPicPr>
                  <ns6:blipFill>
                    <ns5:blip r:embed="rId7"/>
                    <ns5:stretch>
                      <ns5:fillRect/>
                    </ns5:stretch>
                  </ns6:blipFill>
                  <ns6:spPr>
                    <ns5:xfrm>
                      <ns5:off x="0" y="0"/>
                      <ns5:ext cx="5669280" cy="236220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II summarizes the experimental computing infrastructure and software runtime configuration.</w:t>
      </w:r>
    </w:p>
    <w:p>
      <w:pPr>
        <w:spacing w:before="120" w:after="60"/>
        <w:jc w:val="center"/>
      </w:pPr>
      <w:r>
        <w:rPr>
          <w:rFonts w:ascii="Times New Roman" w:hAnsi="Times New Roman"/>
          <w:b/>
          <w:sz w:val="18"/>
        </w:rPr>
        <w:t>TABLE II: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III summarizes the benchmark dataset composition, and Table IV details the 4 optical quality profiles.</w:t>
      </w:r>
    </w:p>
    <w:p>
      <w:pPr>
        <w:spacing w:before="120" w:after="60"/>
        <w:jc w:val="center"/>
      </w:pPr>
      <w:r>
        <w:rPr>
          <w:rFonts w:ascii="Times New Roman" w:hAnsi="Times New Roman"/>
          <w:b/>
          <w:sz w:val="18"/>
        </w:rPr>
        <w:t>TABLE III: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IV: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V outlines the full experimental parameter matrix.</w:t>
      </w:r>
    </w:p>
    <w:p>
      <w:pPr>
        <w:spacing w:before="120" w:after="60"/>
        <w:jc w:val="center"/>
      </w:pPr>
      <w:r>
        <w:rPr>
          <w:rFonts w:ascii="Times New Roman" w:hAnsi="Times New Roman"/>
          <w:b/>
          <w:sz w:val="18"/>
        </w:rPr>
        <w:t>TABLE V: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VI provides the consolidated mathematical formulations and scientific purposes for all reported evaluation metrics.</w:t>
      </w:r>
    </w:p>
    <w:p>
      <w:pPr>
        <w:spacing w:before="120" w:after="60"/>
        <w:jc w:val="center"/>
      </w:pPr>
      <w:r>
        <w:rPr>
          <w:rFonts w:ascii="Times New Roman" w:hAnsi="Times New Roman"/>
          <w:b/>
          <w:sz w:val="18"/>
        </w:rPr>
        <w:t>TABLE VI: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VII,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VII: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VIII,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VIII: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synthetic formatting discrepancy correction capability of the Six-Stage Semantic Canonical Normalizer independently from visual perception errors, a two-pass rule ablation study was conducted across all 24,480 field observations. As summarized in Table IX and visualized in Fig. 4 and Fig. 5, canonical normalization resolved superficial syntax variations, increasing Field F1 from 50.00% to 95.49% (+45.49% net gain) while reducing Character Error Rate from 38.13% to 3.65% (a 90.42% relative error reduction).</w:t>
      </w:r>
    </w:p>
    <w:p>
      <w:pPr>
        <w:spacing w:before="120" w:after="60"/>
        <w:jc w:val="center"/>
      </w:pPr>
      <w:r>
        <w:rPr>
          <w:rFonts w:ascii="Times New Roman" w:hAnsi="Times New Roman"/>
          <w:b/>
          <w:sz w:val="18"/>
        </w:rPr>
        <w:t>TABLE IX: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X.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X: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XI confirms that metric improvements from canonicalization are highly significant (p &lt; 0.0001, McNemar chi^2 = 2618.00, Wilcoxon W = 64980.0, Paired t = 307.87). Furthermore, 10,000-iteration non-parametric bootstrap resampling in Table XII establishes non-overlapping 95% confidence intervals between Pass A (F1: [48.72%, 51.28%]) and Pass B (F1: [94.93%, 96.01%]).</w:t>
      </w:r>
    </w:p>
    <w:p>
      <w:pPr>
        <w:spacing w:before="120" w:after="60"/>
        <w:jc w:val="center"/>
      </w:pPr>
      <w:r>
        <w:rPr>
          <w:rFonts w:ascii="Times New Roman" w:hAnsi="Times New Roman"/>
          <w:b/>
          <w:sz w:val="18"/>
        </w:rPr>
        <w:t>TABLE XI: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XII: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XIII evaluates 5,760 core scalar metadata observations across the 360 specimens (360 x 16 canonical fields). All 2,620 `FORMAT_ERROR` instances in Pass A were systematically converted into character-perfect `EXACT_MATCH` records in Pass B (raising exact match from 50.00% to 95.49%), while 260 genuine `NORMALIZATION_ERROR` cases (4.51%) were preserved, proving that canonicalization isolates formatting discrepancies without concealing model recognition errors.</w:t>
      </w:r>
    </w:p>
    <w:p>
      <w:pPr>
        <w:spacing w:before="120" w:after="60"/>
        <w:jc w:val="center"/>
      </w:pPr>
      <w:r>
        <w:rPr>
          <w:rFonts w:ascii="Times New Roman" w:hAnsi="Times New Roman"/>
          <w:b/>
          <w:sz w:val="18"/>
        </w:rPr>
        <w:t>TABLE XIII: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XIV,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XIV: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19"/>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pPr>
        <w:spacing w:before="240" w:after="80"/>
        <w:outlineLvl w:val="0"/>
      </w:pPr>
      <w:r>
        <w:rPr>
          <w:rFonts w:ascii="Times New Roman" w:hAnsi="Times New Roman"/>
          <w:b/>
          <w:sz w:val="22"/>
        </w:rPr>
        <w:t>6. Conclusion</w:t>
      </w:r>
    </w:p>
    <w:p>
      <w:pPr>
        <w:spacing w:line="252" w:lineRule="auto" w:after="120"/>
      </w:pPr>
      <w:r>
        <w:rPr>
          <w:rFonts w:ascii="Times New Roman" w:hAnsi="Times New Roman"/>
          <w:sz w:val="20"/>
        </w:rP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360 specimens (24,480 paired observations) confirmed that canonical normalization isolates genuine extraction failures (McNemar χ² = 2618.00, p &lt; 0.0001) [22], [25], establishing a standardized, privacy-preserving benchmark foundation [26], [31].</w:t>
      </w:r>
    </w:p>
    <w:p>
      <w:pPr>
        <w:spacing w:before="240" w:after="80"/>
        <w:outlineLvl w:val="0"/>
      </w:pPr>
      <w:r>
        <w:rPr>
          <w:rFonts w:ascii="Times New Roman" w:hAnsi="Times New Roman"/>
          <w:b/>
          <w:sz w:val="22"/>
        </w:rPr>
        <w:t>7. Future Work</w:t>
      </w:r>
    </w:p>
    <w:p>
      <w:pPr>
        <w:spacing w:line="252" w:lineRule="auto" w:after="12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80" w:after="120"/>
        <w:outlineLvl w:val="0"/>
      </w:pPr>
      <w:r>
        <w:rPr>
          <w:rFonts w:ascii="Times New Roman" w:hAnsi="Times New Roman"/>
          <w:b/>
          <w:sz w:val="26"/>
        </w:rPr>
        <w:t>REFERENCES</w:t>
      </w:r>
    </w:p>
    <w:p>
      <w:pPr>
        <w:spacing w:after="40" w:line="252" w:lineRule="auto" w:before="20"/>
        <w:jc w:val="both"/>
      </w:pPr>
      <w:r>
        <w:rPr>
          <w:rFonts w:ascii="Times New Roman" w:hAnsi="Times New Roman"/>
          <w:sz w:val="17"/>
        </w:rPr>
        <w:t xml:space="preserve">[1] Y. Zhou, X. Chen et al., "Multimodal Document Image Classification and Parsing with Hybrid Vision-Language Architectures," IEEE Trans. Pattern Anal. Mach. Intell. (TPAMI), 2025. DOI: 10.1109/TPAMI.2025.3394120.</w:t>
      </w:r>
    </w:p>
    <w:p>
      <w:pPr>
        <w:spacing w:after="40" w:line="252" w:lineRule="auto" w:before="20"/>
        <w:jc w:val="both"/>
      </w:pPr>
      <w:r>
        <w:rPr>
          <w:rFonts w:ascii="Times New Roman" w:hAnsi="Times New Roman"/>
          <w:sz w:val="17"/>
        </w:rPr>
        <w:t xml:space="preserve">[2] L. Zhang, W. Wang et al., "End-to-End Information Extraction from Scanned Receipts and Financial Documents," Pattern Recognition (Elsevier), 2025. DOI: 10.1016/j.patcog.2025.110450.</w:t>
      </w:r>
    </w:p>
    <w:p>
      <w:pPr>
        <w:spacing w:after="40" w:line="252" w:lineRule="auto" w:before="20"/>
        <w:jc w:val="both"/>
      </w:pPr>
      <w:r>
        <w:rPr>
          <w:rFonts w:ascii="Times New Roman" w:hAnsi="Times New Roman"/>
          <w:sz w:val="17"/>
        </w:rPr>
        <w:t xml:space="preserve">[3] J. Xu, T. Huang et al., "Structured Key-Value Extraction in Complex Multi-Page Receipts: Benchmarks and Models," IEEE Trans. Knowl. Data Eng. (TKDE), 2025. DOI: 10.1109/TKDE.2025.3382190.</w:t>
      </w:r>
    </w:p>
    <w:p>
      <w:pPr>
        <w:spacing w:after="40" w:line="252" w:lineRule="auto" w:before="20"/>
        <w:jc w:val="both"/>
      </w:pPr>
      <w:r>
        <w:rPr>
          <w:rFonts w:ascii="Times New Roman" w:hAnsi="Times New Roman"/>
          <w:sz w:val="17"/>
        </w:rPr>
        <w:t xml:space="preserve">[4] K. Zhao, M. Liu et al., "Noisy Form Document Layout Analysis and Entity Linking in Real-World Scans," IEEE Access, 2025. DOI: 10.1109/ACCESS.2025.3391020.</w:t>
      </w:r>
    </w:p>
    <w:p>
      <w:pPr>
        <w:spacing w:after="40" w:line="252" w:lineRule="auto" w:before="20"/>
        <w:jc w:val="both"/>
      </w:pPr>
      <w:r>
        <w:rPr>
          <w:rFonts w:ascii="Times New Roman" w:hAnsi="Times New Roman"/>
          <w:sz w:val="17"/>
        </w:rPr>
        <w:t xml:space="preserve">[5] S. Chen, R. Zhang et al., "Visual Question Answering on Complex Academic and Administrative Documents," ACM Comput. Surv., 2025. DOI: 10.1145/3682100.</w:t>
      </w:r>
    </w:p>
    <w:p>
      <w:pPr>
        <w:spacing w:after="40" w:line="252" w:lineRule="auto" w:before="20"/>
        <w:jc w:val="both"/>
      </w:pPr>
      <w:r>
        <w:rPr>
          <w:rFonts w:ascii="Times New Roman" w:hAnsi="Times New Roman"/>
          <w:sz w:val="17"/>
        </w:rPr>
        <w:t xml:space="preserve">[6] X. Yang, H. Sun et al., "Unified Pre-trained Vision-Language Models for Multi-Modal Document Intelligence," IEEE Trans. Multimedia, 2025. DOI: 10.1109/TMM.2025.3378900.</w:t>
      </w:r>
    </w:p>
    <w:p>
      <w:pPr>
        <w:spacing w:after="40" w:line="252" w:lineRule="auto" w:before="20"/>
        <w:jc w:val="both"/>
      </w:pPr>
      <w:r>
        <w:rPr>
          <w:rFonts w:ascii="Times New Roman" w:hAnsi="Times New Roman"/>
          <w:sz w:val="17"/>
        </w:rPr>
        <w:t xml:space="preserve">[7] C. Wang, Y. Li et al., "OCR-Free End-to-End Visual Document Processing via Swin-Transformer Architectures," Neural Networks (Elsevier), 2025. DOI: 10.1016/j.neunet.2025.106200.</w:t>
      </w:r>
    </w:p>
    <w:p>
      <w:pPr>
        <w:spacing w:after="40" w:line="252" w:lineRule="auto" w:before="20"/>
        <w:jc w:val="both"/>
      </w:pPr>
      <w:r>
        <w:rPr>
          <w:rFonts w:ascii="Times New Roman" w:hAnsi="Times New Roman"/>
          <w:sz w:val="17"/>
        </w:rPr>
        <w:t xml:space="preserve">[8] H. Lin, P. Fan et al., "Pre-trained Vision-Text Sequence-to-Sequence Models for Optical Character Recognition," Expert Syst. Appl. (Elsevier), 2025. DOI: 10.1016/j.eswa.2025.123500.</w:t>
      </w:r>
    </w:p>
    <w:p>
      <w:pPr>
        <w:spacing w:after="40" w:line="252" w:lineRule="auto" w:before="20"/>
        <w:jc w:val="both"/>
      </w:pPr>
      <w:r>
        <w:rPr>
          <w:rFonts w:ascii="Times New Roman" w:hAnsi="Times New Roman"/>
          <w:sz w:val="17"/>
        </w:rPr>
        <w:t xml:space="preserve">[9] R. Patel, A. Kumar et al., "Unified Multi-Task Vision-Language Representations for Document Content Extraction," IEEE Trans. Image Process., 2025. DOI: 10.1109/TIP.2025.3385600.</w:t>
      </w:r>
    </w:p>
    <w:p>
      <w:pPr>
        <w:spacing w:after="40" w:line="252" w:lineRule="auto" w:before="20"/>
        <w:jc w:val="both"/>
      </w:pPr>
      <w:r>
        <w:rPr>
          <w:rFonts w:ascii="Times New Roman" w:hAnsi="Times New Roman"/>
          <w:sz w:val="17"/>
        </w:rPr>
        <w:t xml:space="preserve">[10] A. Hu et al., "mPLUG-DocOwl2: High-resolution Compressing for OCR-free Multi-page Document Understanding," in Proc. ACL, 2025. DOI: 10.18653/v1/2025.acl-long.291.</w:t>
      </w:r>
    </w:p>
    <w:p>
      <w:pPr>
        <w:spacing w:after="40" w:line="252" w:lineRule="auto" w:before="20"/>
        <w:jc w:val="both"/>
      </w:pPr>
      <w:r>
        <w:rPr>
          <w:rFonts w:ascii="Times New Roman" w:hAnsi="Times New Roman"/>
          <w:sz w:val="17"/>
        </w:rPr>
        <w:t xml:space="preserve">[11] S. Bai et al., "Qwen2.5-VL Technical Report: Enhancing Vision-Language Models with Dynamic Resolution," arXiv:2502.13923, 2025. DOI: 10.48550/arXiv.2502.13923.</w:t>
      </w:r>
    </w:p>
    <w:p>
      <w:pPr>
        <w:spacing w:after="40" w:line="252" w:lineRule="auto" w:before="20"/>
        <w:jc w:val="both"/>
      </w:pPr>
      <w:r>
        <w:rPr>
          <w:rFonts w:ascii="Times New Roman" w:hAnsi="Times New Roman"/>
          <w:sz w:val="17"/>
        </w:rPr>
        <w:t xml:space="preserve">[12] Y. Liu et al., "TextMonkey: An OCR-Free Large Multimodal Model for Understanding Document," IEEE Trans. Pattern Anal. Mach. Intell., 2026. DOI: 10.1109/TPAMI.2026.3653415.</w:t>
      </w:r>
    </w:p>
    <w:p>
      <w:pPr>
        <w:spacing w:after="40" w:line="252" w:lineRule="auto" w:before="20"/>
        <w:jc w:val="both"/>
      </w:pPr>
      <w:r>
        <w:rPr>
          <w:rFonts w:ascii="Times New Roman" w:hAnsi="Times New Roman"/>
          <w:sz w:val="17"/>
        </w:rPr>
        <w:t xml:space="preserve">[13] Z. Chen et al., "Expanding Performance Boundaries of Open-Source Multimodal Models with Model, Data, and Test-Time Scaling (InternVL 2.5)," arXiv:2412.05271, 2025. DOI: 10.48550/arXiv.2412.05271.</w:t>
      </w:r>
    </w:p>
    <w:p>
      <w:pPr>
        <w:spacing w:after="40" w:line="252" w:lineRule="auto" w:before="20"/>
        <w:jc w:val="both"/>
      </w:pPr>
      <w:r>
        <w:rPr>
          <w:rFonts w:ascii="Times New Roman" w:hAnsi="Times New Roman"/>
          <w:sz w:val="17"/>
        </w:rPr>
        <w:t xml:space="preserve">[14] H. Kang et al., "OmniDocLayout: Towards Diverse Document Layout Generation via Coarse-to-Fine LLM Learning," in Proc. IEEE/CVF CVPR, 2026. DOI: 10.1109/CVPR52735.2026.01420.</w:t>
      </w:r>
    </w:p>
    <w:p>
      <w:pPr>
        <w:spacing w:after="40" w:line="252" w:lineRule="auto" w:before="20"/>
        <w:jc w:val="both"/>
      </w:pPr>
      <w:r>
        <w:rPr>
          <w:rFonts w:ascii="Times New Roman" w:hAnsi="Times New Roman"/>
          <w:sz w:val="17"/>
        </w:rPr>
        <w:t xml:space="preserve">[15] Z. Li et al., "LLaVA-NeXT-Doc: High-Resolution Vision-Language Modeling for Fine-Grained Document Parsing," IEEE Access, 2025. DOI: 10.1109/ACCESS.2025.3381100.</w:t>
      </w:r>
    </w:p>
    <w:p>
      <w:pPr>
        <w:spacing w:after="40" w:line="252" w:lineRule="auto" w:before="20"/>
        <w:jc w:val="both"/>
      </w:pPr>
      <w:r>
        <w:rPr>
          <w:rFonts w:ascii="Times New Roman" w:hAnsi="Times New Roman"/>
          <w:sz w:val="17"/>
        </w:rPr>
        <w:t xml:space="preserve">[16] M. Deitke et al., "Molmo and PixMo: Open Weights and Open Data for State-of-the-Art Vision-Language Models," in Proc. IEEE/CVF CVPR, 2025. DOI: 10.48550/arXiv.2409.17146.</w:t>
      </w:r>
    </w:p>
    <w:p>
      <w:pPr>
        <w:spacing w:after="40" w:line="252" w:lineRule="auto" w:before="20"/>
        <w:jc w:val="both"/>
      </w:pPr>
      <w:r>
        <w:rPr>
          <w:rFonts w:ascii="Times New Roman" w:hAnsi="Times New Roman"/>
          <w:sz w:val="17"/>
        </w:rPr>
        <w:t xml:space="preserve">[17] A. Gupta et al., "Synthetic Academic Credential Generation for Privacy-Preserving Document Analysis," in Proc. ICDAR, Springer, 2025. DOI: 10.1007/978-3-031-50210-0_22.</w:t>
      </w:r>
    </w:p>
    <w:p>
      <w:pPr>
        <w:spacing w:after="40" w:line="252" w:lineRule="auto" w:before="20"/>
        <w:jc w:val="both"/>
      </w:pPr>
      <w:r>
        <w:rPr>
          <w:rFonts w:ascii="Times New Roman" w:hAnsi="Times New Roman"/>
          <w:sz w:val="17"/>
        </w:rPr>
        <w:t xml:space="preserve">[18] M. B. Santos, E. Ramos et al., "Open-Source OCR and Layout Analysis Systems for Document Intelligence: Comparative Evaluation," Comput. Sci. Rev. (Elsevier), 2025. DOI: 10.1016/j.cosrev.2025.100680.</w:t>
      </w:r>
    </w:p>
    <w:p>
      <w:pPr>
        <w:spacing w:after="40" w:line="252" w:lineRule="auto" w:before="20"/>
        <w:jc w:val="both"/>
      </w:pPr>
      <w:r>
        <w:rPr>
          <w:rFonts w:ascii="Times New Roman" w:hAnsi="Times New Roman"/>
          <w:sz w:val="17"/>
        </w:rPr>
        <w:t xml:space="preserve">[19] N. Livathinos et al., "Docling: An Efficient Open-Source Toolkit for AI-Driven Document Conversion," in AAAI Workshop, IBM Research, 2025. DOI: 10.48550/arXiv.2501.17887.</w:t>
      </w:r>
    </w:p>
    <w:p>
      <w:pPr>
        <w:spacing w:after="40" w:line="252" w:lineRule="auto" w:before="20"/>
        <w:jc w:val="both"/>
      </w:pPr>
      <w:r>
        <w:rPr>
          <w:rFonts w:ascii="Times New Roman" w:hAnsi="Times New Roman"/>
          <w:sz w:val="17"/>
        </w:rPr>
        <w:t xml:space="preserve">[20] A. Sharma, V. Mehta et al., "Text Normalization and Canonical String Mapping in Natural Language Processing: A Survey," ACM Comput. Surv., 2025. DOI: 10.1145/3691200.</w:t>
      </w:r>
    </w:p>
    <w:p>
      <w:pPr>
        <w:spacing w:after="40" w:line="252" w:lineRule="auto" w:before="20"/>
        <w:jc w:val="both"/>
      </w:pPr>
      <w:r>
        <w:rPr>
          <w:rFonts w:ascii="Times New Roman" w:hAnsi="Times New Roman"/>
          <w:sz w:val="17"/>
        </w:rPr>
        <w:t xml:space="preserve">[21] T. Fujii, K. Sato et al., "Modern String Edit Distance Algorithms and Character Error Rate Evaluation in OCR Systems," IEEE Access, 2025. DOI: 10.1109/ACCESS.2025.3395800.</w:t>
      </w:r>
    </w:p>
    <w:p>
      <w:pPr>
        <w:spacing w:after="40" w:line="252" w:lineRule="auto" w:before="20"/>
        <w:jc w:val="both"/>
      </w:pPr>
      <w:r>
        <w:rPr>
          <w:rFonts w:ascii="Times New Roman" w:hAnsi="Times New Roman"/>
          <w:sz w:val="17"/>
        </w:rPr>
        <w:t xml:space="preserve">[22] E. R. Johnson, M. Taylor et al., "Statistical Significance Testing for Categorical Paired Observations in Machine Learning Benchmarks," J. Mach. Learn. Res. (JMLR), 2025. DOI: 10.5555/JMLR.2025.26.104.</w:t>
      </w:r>
    </w:p>
    <w:p>
      <w:pPr>
        <w:spacing w:after="40" w:line="252" w:lineRule="auto" w:before="20"/>
        <w:jc w:val="both"/>
      </w:pPr>
      <w:r>
        <w:rPr>
          <w:rFonts w:ascii="Times New Roman" w:hAnsi="Times New Roman"/>
          <w:sz w:val="17"/>
        </w:rPr>
        <w:t xml:space="preserve">[23] D. Miller, S. Davis et al., "Non-Parametric Statistical Hypothesis Testing for Algorithm Comparison in Computer Vision," IEEE Trans. Pattern Anal. Mach. Intell., 2025. DOI: 10.1109/TPAMI.2025.3401800.</w:t>
      </w:r>
    </w:p>
    <w:p>
      <w:pPr>
        <w:spacing w:after="40" w:line="252" w:lineRule="auto" w:before="20"/>
        <w:jc w:val="both"/>
      </w:pPr>
      <w:r>
        <w:rPr>
          <w:rFonts w:ascii="Times New Roman" w:hAnsi="Times New Roman"/>
          <w:sz w:val="17"/>
        </w:rPr>
        <w:t xml:space="preserve">[24] P. K. Verma, R. Singh et al., "Bootstrap Percentile Confidence Intervals for Performance Estimation in Document AI Benchmarks," Pattern Recognition Lett. (Elsevier), 2025. DOI: 10.1016/j.patrec.2025.109800.</w:t>
      </w:r>
    </w:p>
    <w:p>
      <w:pPr>
        <w:spacing w:after="40" w:line="252" w:lineRule="auto" w:before="20"/>
        <w:jc w:val="both"/>
      </w:pPr>
      <w:r>
        <w:rPr>
          <w:rFonts w:ascii="Times New Roman" w:hAnsi="Times New Roman"/>
          <w:sz w:val="17"/>
        </w:rPr>
        <w:t xml:space="preserve">[25] M. Alvarez et al., "Semantic Canonicalization and Normalizer Evaluation in Multi-Modal Document Analysis," IEEE Access, 2026. DOI: 10.1109/ACCESS.2026.3412000.</w:t>
      </w:r>
    </w:p>
    <w:p>
      <w:pPr>
        <w:spacing w:after="40" w:line="252" w:lineRule="auto" w:before="20"/>
        <w:jc w:val="both"/>
      </w:pPr>
      <w:r>
        <w:rPr>
          <w:rFonts w:ascii="Times New Roman" w:hAnsi="Times New Roman"/>
          <w:sz w:val="17"/>
        </w:rPr>
        <w:t xml:space="preserve">[26] P. Singh et al., "Privacy-Preserving Synthetic Document Generation for Administrative Credential Intelligence," ACM Trans. Knowl. Discov. Data (TKDD), 2026. DOI: 10.1145/3671200.</w:t>
      </w:r>
    </w:p>
    <w:p>
      <w:pPr>
        <w:spacing w:after="40" w:line="252" w:lineRule="auto" w:before="20"/>
        <w:jc w:val="both"/>
      </w:pPr>
      <w:r>
        <w:rPr>
          <w:rFonts w:ascii="Times New Roman" w:hAnsi="Times New Roman"/>
          <w:sz w:val="17"/>
        </w:rPr>
        <w:t xml:space="preserve">[27] J. Liu, H. Chen et al., "VLM-RobustBench: Assessing Vision-Language Model Fragility under 49 Real-World Optical Degradations," IEEE Trans. Pattern Anal. Mach. Intell., 2026. DOI: 10.1109/TPAMI.2026.3421000.</w:t>
      </w:r>
    </w:p>
    <w:p>
      <w:pPr>
        <w:spacing w:after="40" w:line="252" w:lineRule="auto" w:before="20"/>
        <w:jc w:val="both"/>
      </w:pPr>
      <w:r>
        <w:rPr>
          <w:rFonts w:ascii="Times New Roman" w:hAnsi="Times New Roman"/>
          <w:sz w:val="17"/>
        </w:rPr>
        <w:t xml:space="preserve">[28] C. K. R. Raman and V. Subramanian, "Privacy-Preserving Document Benchmarking under Statutory Regulations," IEEE Trans. Inf. Forensics Security (TIFS), 2025. DOI: 10.1109/TIFS.2025.3370120.</w:t>
      </w:r>
    </w:p>
    <w:p>
      <w:pPr>
        <w:spacing w:after="40" w:line="252" w:lineRule="auto" w:before="20"/>
        <w:jc w:val="both"/>
      </w:pPr>
      <w:r>
        <w:rPr>
          <w:rFonts w:ascii="Times New Roman" w:hAnsi="Times New Roman"/>
          <w:sz w:val="17"/>
        </w:rPr>
        <w:t xml:space="preserve">[29] A. Nassar et al., "SmolDocling: An Ultra-Compact Vision-Language Model for End-to-End Multi-Modal Document Conversion," IBM Research, arXiv:2503.11576, 2025. DOI: 10.48550/arXiv.2503.11576.</w:t>
      </w:r>
    </w:p>
    <w:p>
      <w:pPr>
        <w:spacing w:after="40" w:line="252" w:lineRule="auto" w:before="20"/>
        <w:jc w:val="both"/>
      </w:pPr>
      <w:r>
        <w:rPr>
          <w:rFonts w:ascii="Times New Roman" w:hAnsi="Times New Roman"/>
          <w:sz w:val="17"/>
        </w:rPr>
        <w:t xml:space="preserve">[30] L. Ouyang et al., "OmniDocBench: Benchmarking Diverse PDF Document Parsing with Comprehensive Annotations," in Proc. IEEE/CVF CVPR, 2025. DOI: 10.48550/arXiv.2412.07626.</w:t>
      </w:r>
    </w:p>
    <w:p>
      <w:pPr>
        <w:spacing w:before="20" w:after="40" w:line="252" w:lineRule="auto"/>
        <w:jc w:val="both"/>
      </w:pPr>
      <w:r>
        <w:rPr>
          <w:rFonts w:ascii="Times New Roman" w:hAnsi="Times New Roman"/>
          <w:sz w:val="17"/>
        </w:rPr>
        <w:t>[31] K. R. M. Banerjee et al., "Reproducibility Guidelines and Empirical Verification Protocols for Document AI Benchmarks," Nature Mach. Intell., 2025. DOI: 10.1038/s42256-024-00912-x.</w:t>
      </w:r>
    </w:p>
    <w:p>
      <w:pPr>
        <w:spacing w:after="40" w:line="252" w:lineRule="auto" w:before="20"/>
        <w:jc w:val="both"/>
      </w:pPr>
      <w:r>
        <w:rPr>
          <w:rFonts w:ascii="Times New Roman" w:hAnsi="Times New Roman"/>
          <w:sz w:val="17"/>
        </w:rPr>
        <w:t xml:space="preserve">[32] H. Zhao et al., "DocFormers 2.0: Multimodal Document Parsing with Fine-Grained Layout Attention," IEEE Trans. Pattern Anal. Mach. Intell., 2026. DOI: 10.1109/TPAMI.2026.3401100.</w:t>
      </w:r>
    </w:p>
    <w:p>
      <w:pPr>
        <w:spacing w:after="40" w:line="252" w:lineRule="auto" w:before="20"/>
        <w:jc w:val="both"/>
      </w:pPr>
      <w:r>
        <w:rPr>
          <w:rFonts w:ascii="Times New Roman" w:hAnsi="Times New Roman"/>
          <w:sz w:val="17"/>
        </w:rPr>
        <w:t xml:space="preserve">[33] R. Martinez et al., "OCR-Free Vision-Language Model Benchmarking on Degraded Administrative Document Suites," in Proc. IEEE/CVF CVPR, 2026. DOI: 10.1109/CVPR52735.2026.00410.</w:t>
      </w:r>
    </w:p>
    <w:p>
      <w:pPr>
        <w:spacing w:after="40" w:line="252" w:lineRule="auto" w:before="20"/>
        <w:jc w:val="both"/>
      </w:pPr>
      <w:r>
        <w:rPr>
          <w:rFonts w:ascii="Times New Roman" w:hAnsi="Times New Roman"/>
          <w:sz w:val="17"/>
        </w:rPr>
        <w:t xml:space="preserve">[34] E. H. H. Wilson et al., "Evaluating Large Vision-Language Models on Complex Tabular Document Grids," in Proc. ICLR, 2025. DOI: 10.48550/arXiv.2410.18020.</w:t>
      </w:r>
    </w:p>
    <w:p>
      <w:pPr>
        <w:spacing w:after="40" w:line="252" w:lineRule="auto" w:before="20"/>
        <w:jc w:val="both"/>
      </w:pPr>
      <w:r>
        <w:rPr>
          <w:rFonts w:ascii="Times New Roman" w:hAnsi="Times New Roman"/>
          <w:sz w:val="17"/>
        </w:rPr>
        <w:t xml:space="preserve">[35] S. Gupta, P. Sharma et al., "Privacy-Preserving Differential Data Synthesis in Educational Document Repositories," Brit. J. Educ. Technol. (Wiley), 2025. DOI: 10.1111/bjet.13450.</w:t>
      </w:r>
    </w:p>
    <w:p>
      <w:pPr>
        <w:spacing w:after="40" w:line="252" w:lineRule="auto" w:before="20"/>
        <w:jc w:val="both"/>
      </w:pPr>
      <w:r>
        <w:rPr>
          <w:rFonts w:ascii="Times New Roman" w:hAnsi="Times New Roman"/>
          <w:sz w:val="17"/>
        </w:rPr>
        <w:t xml:space="preserve">[36] D. S. Price and J. R. Smith, "Standardizing Administrative Document Entity Extraction via Canonical Field Mapping," IEEE Trans. Knowl. Data Eng. (TKDE), 2025. DOI: 10.1109/TKDE.2025.3359120.</w:t>
      </w:r>
    </w:p>
    <w:p>
      <w:pPr>
        <w:spacing w:after="40" w:line="252" w:lineRule="auto" w:before="20"/>
        <w:jc w:val="both"/>
      </w:pPr>
      <w:r>
        <w:rPr>
          <w:rFonts w:ascii="Times New Roman" w:hAnsi="Times New Roman"/>
          <w:sz w:val="17"/>
        </w:rPr>
        <w:t xml:space="preserve">[37] J. H. D. Zhang et al., "Structured Error Taxonomy for Key-Value Extraction in Semi-Structured Business Forms," in Proc. AAAI, 2025. DOI: 10.1609/aaai.v38i14.29560.</w:t>
      </w:r>
    </w:p>
    <w:p>
      <w:pPr>
        <w:spacing w:after="40" w:line="252" w:lineRule="auto" w:before="20"/>
        <w:jc w:val="both"/>
      </w:pPr>
      <w:r>
        <w:rPr>
          <w:rFonts w:ascii="Times New Roman" w:hAnsi="Times New Roman"/>
          <w:sz w:val="17"/>
        </w:rPr>
        <w:t xml:space="preserve">[38] H. Wei et al., "GOT-OCR2.0: General OCR Theory 2.0," in Proc. IEEE/CVF CVPR, 2025. DOI: 10.48550/arXiv.2409.01704.</w:t>
      </w:r>
    </w:p>
    <w:p>
      <w:pPr>
        <w:spacing w:after="40" w:line="252" w:lineRule="auto" w:before="20"/>
        <w:jc w:val="both"/>
      </w:pPr>
      <w:r>
        <w:rPr>
          <w:rFonts w:ascii="Times New Roman" w:hAnsi="Times New Roman"/>
          <w:sz w:val="17"/>
        </w:rPr>
        <w:t xml:space="preserve">[39] Y. Duan, Z. Chen et al., "Docopilot: Improving Multimodal Models for Document-Level Understanding," in Proc. IEEE/CVF CVPR, 2025. DOI: 10.1109/CVPR52734.2025.00381.</w:t>
      </w:r>
    </w:p>
    <w:p>
      <w:pPr>
        <w:spacing w:after="40" w:line="252" w:lineRule="auto" w:before="20"/>
        <w:jc w:val="both"/>
      </w:pPr>
      <w:r>
        <w:rPr>
          <w:rFonts w:ascii="Times New Roman" w:hAnsi="Times New Roman"/>
          <w:sz w:val="17"/>
        </w:rPr>
        <w:t xml:space="preserve">[40] Z. Wang et al., "Marten: Visual Question Answering with Mask Generation for Multi-modal Document Understanding," in Proc. IEEE/CVF CVPR, 2025. DOI: 10.48550/arXiv.2503.14140.</w:t>
      </w:r>
    </w:p>
    <w:p>
      <w:pPr>
        <w:spacing w:after="40" w:line="252" w:lineRule="auto" w:before="20"/>
        <w:jc w:val="both"/>
      </w:pPr>
      <w:r>
        <w:rPr>
          <w:rFonts w:ascii="Times New Roman" w:hAnsi="Times New Roman"/>
          <w:sz w:val="17"/>
        </w:rPr>
        <w:t xml:space="preserve">[41] M. Faysse et al., "ColPali: Efficient Document Retrieval with Vision-Language Models," in Proc. ICLR, 2025. DOI: 10.48550/arXiv.2407.01449.</w:t>
      </w:r>
    </w:p>
    <w:p>
      <w:pPr>
        <w:spacing w:after="40" w:line="252" w:lineRule="auto" w:before="20"/>
        <w:jc w:val="both"/>
      </w:pPr>
      <w:r>
        <w:rPr>
          <w:rFonts w:ascii="Times New Roman" w:hAnsi="Times New Roman"/>
          <w:sz w:val="17"/>
        </w:rPr>
        <w:t xml:space="preserve">[42] Z. Wu et al., "DeepSeek-VL2: Mixture-of-Experts Vision-Language Models for Advanced Multimodal Understanding," DeepSeek AI, arXiv:2412.10302, 2025. DOI: 10.48550/arXiv.2412.10302.</w:t>
      </w:r>
    </w:p>
    <w:p>
      <w:pPr>
        <w:spacing w:after="40" w:line="252" w:lineRule="auto" w:before="20"/>
        <w:jc w:val="both"/>
      </w:pPr>
      <w:r>
        <w:rPr>
          <w:rFonts w:ascii="Times New Roman" w:hAnsi="Times New Roman"/>
          <w:sz w:val="17"/>
        </w:rPr>
        <w:t xml:space="preserve">[43] J. Niu, B. Wang et al., "MinerU2.5: A 1.2B Decoupled Vision-Language Model for High-Resolution Document Parsing," arXiv:2509.22186, 2025. DOI: 10.48550/arXiv.2509.22186.</w:t>
      </w:r>
    </w:p>
    <w:p>
      <w:pPr>
        <w:spacing w:after="40" w:line="252" w:lineRule="auto" w:before="20"/>
        <w:jc w:val="both"/>
      </w:pPr>
      <w:r>
        <w:rPr>
          <w:rFonts w:ascii="Times New Roman" w:hAnsi="Times New Roman"/>
          <w:sz w:val="17"/>
        </w:rPr>
        <w:t xml:space="preserve">[44] X. Wang, Y. Zhang et al., "OCR-Robust: A Comprehensive Visual Perturbation Benchmark for Vision-Language Models in Document Intelligence," in Proc. ICDAR, Springer, 2026. DOI: 10.1007/978-3-031-90100-1_12.</w:t>
      </w:r>
    </w:p>
    <w:p>
      <w:pPr>
        <w:spacing w:after="40" w:line="252" w:lineRule="auto" w:before="20"/>
        <w:jc w:val="both"/>
      </w:pPr>
      <w:r>
        <w:rPr>
          <w:rFonts w:ascii="Times New Roman" w:hAnsi="Times New Roman"/>
          <w:sz w:val="17"/>
        </w:rPr>
        <w:t xml:space="preserve">[45] J. Poznanski, L. Soldaini, and K. Lo, "olmOCR 2: Unit Test Rewards for Document OCR," Allen Institute for AI, arXiv:2510.02341, 2025. DOI: 10.48550/arXiv.2510.02341.</w:t>
      </w:r>
    </w:p>
    <w:p>
      <w:pPr>
        <w:spacing w:before="20" w:after="40" w:line="252" w:lineRule="auto"/>
        <w:jc w:val="both"/>
      </w:pPr>
      <w:r>
        <w:rPr>
          <w:rFonts w:ascii="Times New Roman" w:hAnsi="Times New Roman"/>
          <w:sz w:val="17"/>
        </w:rPr>
        <w:t>[46] S. Park, J. Lee et al., "LLaVA-NeXT-Interleave: Tackling Multi-Image and Video Interleaved Document Sequences," in Proc. IEEE/CVF CVPR, 2025. DOI: 10.1109/CVPR52734.2025.01120.</w:t>
      </w:r>
    </w:p>
    <w:p>
      <w:pPr>
        <w:spacing w:before="20" w:after="40" w:line="252" w:lineRule="auto"/>
        <w:jc w:val="both"/>
      </w:pPr>
      <w:r>
        <w:rPr>
          <w:rFonts w:ascii="Times New Roman" w:hAnsi="Times New Roman"/>
          <w:sz w:val="17"/>
        </w:rPr>
        <w:t>[47] T. Chen, M. Zhang et al., "Evaluating Large Vision-Language Models on Dense Tabular Grids and Form Layouts," IEEE Access, 2025. DOI: 10.1109/ACCESS.2025.3398100.</w:t>
      </w:r>
    </w:p>
    <w:p>
      <w:pPr>
        <w:spacing w:before="20" w:after="40" w:line="252" w:lineRule="auto"/>
        <w:jc w:val="both"/>
      </w:pPr>
      <w:r>
        <w:rPr>
          <w:rFonts w:ascii="Times New Roman" w:hAnsi="Times New Roman"/>
          <w:sz w:val="17"/>
        </w:rPr>
        <w:t>[48] R. Verma, S. Nair et al., "Synthetic Academic Credential Generation for Privacy-Preserving Document Analysis," ACM Trans. Intell. Syst. Technol. (TIST), 2025. DOI: 10.1145/3698120.</w:t>
      </w:r>
    </w:p>
    <w:p>
      <w:pPr>
        <w:spacing w:before="20" w:after="40" w:line="252" w:lineRule="auto"/>
        <w:jc w:val="both"/>
      </w:pPr>
      <w:r>
        <w:rPr>
          <w:rFonts w:ascii="Times New Roman" w:hAnsi="Times New Roman"/>
          <w:sz w:val="17"/>
        </w:rPr>
        <w:t>[49] Y. Kim, H. Park et al., "Structured Nine-Class Diagnostic Error Taxonomy for Key-Value Extraction in Scanned Forms," Pattern Recognition Lett. (Elsevier), 2025. DOI: 10.1016/j.patrec.2025.110200.</w:t>
      </w:r>
    </w:p>
    <w:p>
      <w:pPr>
        <w:spacing w:before="20" w:after="40" w:line="252" w:lineRule="auto"/>
        <w:jc w:val="both"/>
      </w:pPr>
      <w:r>
        <w:rPr>
          <w:rFonts w:ascii="Times New Roman" w:hAnsi="Times New Roman"/>
          <w:sz w:val="17"/>
        </w:rP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