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240"/>
        <w:jc w:val="center"/>
      </w:pPr>
      <w:r>
        <w:rPr>
          <w:rFonts w:ascii="Times New Roman" w:hAnsi="Times New Roman"/>
          <w:b/>
          <w:sz w:val="40"/>
        </w:rPr>
        <w:t>Smart Academic Document Intelligence System: Automated Extraction, Normalization, and Benchmark Generation</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280" w:after="120"/>
      </w:pPr>
      <w:r/>
    </w:p>
    <w:p w14:paraId="60F0607A">
      <w:pPr>
        <w:spacing w:before="160" w:after="120" w:line="276"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unique physical multi-modal specimens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40" w:after="80" w:line="276" w:lineRule="auto"/>
      </w:pPr>
      <w:r/>
    </w:p>
    <w:p w14:paraId="2A2B8802">
      <w:pPr>
        <w:spacing w:before="40" w:after="240" w:line="276"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200" w:after="80"/>
        <w:jc w:val="both"/>
        <w:outlineLvl w:val="0"/>
      </w:pPr>
      <w:r>
        <w:rPr>
          <w:rFonts w:ascii="Times New Roman" w:hAnsi="Times New Roman"/>
          <w:b/>
          <w:sz w:val="24"/>
        </w:rPr>
        <w:t>1. Introduction</w:t>
      </w:r>
    </w:p>
    <w:p>
      <w:pPr>
        <w:spacing w:after="120"/>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80"/>
        <w:jc w:val="both"/>
      </w:pPr>
      <w:r>
        <w:rPr>
          <w:rFonts w:ascii="Times New Roman" w:hAnsi="Times New Roman"/>
          <w:sz w:val="20"/>
        </w:rPr>
        <w:t>The key contributions of this work are summarized as follows:</w:t>
      </w:r>
    </w:p>
    <w:p>
      <w:pPr>
        <w:spacing w:after="80" w:before="20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80" w:before="20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80" w:before="20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80" w:before="20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80" w:before="20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80" w:after="240"/>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200" w:after="80"/>
        <w:jc w:val="both"/>
        <w:outlineLvl w:val="0"/>
      </w:pPr>
      <w:r>
        <w:rPr>
          <w:rFonts w:ascii="Times New Roman" w:hAnsi="Times New Roman"/>
          <w:b/>
          <w:sz w:val="24"/>
        </w:rPr>
        <w:t>2. Related Work</w:t>
      </w:r>
    </w:p>
    <w:p>
      <w:pPr>
        <w:spacing w:after="160"/>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120" w:after="40"/>
        <w:jc w:val="center"/>
      </w:pPr>
      <w:r>
        <w:rPr>
          <w:rFonts w:ascii="Times New Roman" w:hAnsi="Times New Roman"/>
          <w:b/>
          <w:sz w:val="18"/>
        </w:rPr>
        <w:t>TABLE 1: LITERATURE SURVEY OF HIGHLY RELEVANT DOCUMENT INTELLIGENCE AND ACADEMIC CREDENTIAL RESEARCH</w:t>
      </w:r>
    </w:p>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Research Paper Title</w:t>
            </w:r>
          </w:p>
        </w:tc>
        <w:tc>
          <w:tcPr>
            <w:tcW w:type="dxa" w:w="1152"/>
            <w:tcMar>
              <w:top w:w="40" w:type="dxa"/>
              <w:bottom w:w="40" w:type="dxa"/>
              <w:left w:w="50" w:type="dxa"/>
              <w:right w:w="50"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Author Name(s)</w:t>
            </w:r>
          </w:p>
        </w:tc>
        <w:tc>
          <w:tcPr>
            <w:tcW w:type="dxa" w:w="576"/>
            <w:tcMar>
              <w:top w:w="40" w:type="dxa"/>
              <w:bottom w:w="40" w:type="dxa"/>
              <w:left w:w="50" w:type="dxa"/>
              <w:right w:w="50"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Year</w:t>
            </w:r>
          </w:p>
        </w:tc>
        <w:tc>
          <w:tcPr>
            <w:tcW w:type="dxa" w:w="1008"/>
            <w:tcMar>
              <w:top w:w="40" w:type="dxa"/>
              <w:bottom w:w="40" w:type="dxa"/>
              <w:left w:w="50" w:type="dxa"/>
              <w:right w:w="50"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Technology Stack</w:t>
            </w:r>
          </w:p>
        </w:tc>
        <w:tc>
          <w:tcPr>
            <w:tcW w:type="dxa" w:w="1008"/>
            <w:tcMar>
              <w:top w:w="40" w:type="dxa"/>
              <w:bottom w:w="40" w:type="dxa"/>
              <w:left w:w="50" w:type="dxa"/>
              <w:right w:w="50"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Model Used</w:t>
            </w:r>
          </w:p>
        </w:tc>
        <w:tc>
          <w:tcPr>
            <w:tcW w:type="dxa" w:w="504"/>
            <w:tcMar>
              <w:top w:w="40" w:type="dxa"/>
              <w:bottom w:w="40" w:type="dxa"/>
              <w:left w:w="50" w:type="dxa"/>
              <w:right w:w="50"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Accuracy</w:t>
            </w:r>
          </w:p>
        </w:tc>
        <w:tc>
          <w:tcPr>
            <w:tcW w:type="dxa" w:w="504"/>
            <w:tcMar>
              <w:top w:w="40" w:type="dxa"/>
              <w:bottom w:w="40" w:type="dxa"/>
              <w:left w:w="50" w:type="dxa"/>
              <w:right w:w="50"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Precision</w:t>
            </w:r>
          </w:p>
        </w:tc>
        <w:tc>
          <w:tcPr>
            <w:tcW w:type="dxa" w:w="504"/>
            <w:tcMar>
              <w:top w:w="40" w:type="dxa"/>
              <w:bottom w:w="40" w:type="dxa"/>
              <w:left w:w="50" w:type="dxa"/>
              <w:right w:w="50"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Recall</w:t>
            </w:r>
          </w:p>
        </w:tc>
        <w:tc>
          <w:tcPr>
            <w:tcW w:type="dxa" w:w="504"/>
            <w:tcMar>
              <w:top w:w="40" w:type="dxa"/>
              <w:bottom w:w="40" w:type="dxa"/>
              <w:left w:w="50" w:type="dxa"/>
              <w:right w:w="50"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F1-Score</w:t>
            </w:r>
          </w:p>
        </w:tc>
        <w:tc>
          <w:tcPr>
            <w:tcW w:type="dxa" w:w="2304"/>
            <w:tcMar>
              <w:top w:w="40" w:type="dxa"/>
              <w:bottom w:w="40" w:type="dxa"/>
              <w:left w:w="50" w:type="dxa"/>
              <w:right w:w="50"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Limitations and Our Developing Strategy to Address Them</w:t>
            </w:r>
          </w:p>
        </w:tc>
      </w:tr>
      <w:tr>
        <w:tc>
          <w:tcPr>
            <w:tcW w:type="dxa" w:w="172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End-to-End Information Extraction from Scanned Receipts and Financial Documents [2]</w:t>
            </w:r>
          </w:p>
        </w:tc>
        <w:tc>
          <w:tcPr>
            <w:tcW w:type="dxa" w:w="1152"/>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 Zhang, W. Wang et al.</w:t>
            </w:r>
          </w:p>
        </w:tc>
        <w:tc>
          <w:tcPr>
            <w:tcW w:type="dxa" w:w="576"/>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PyTorch, Transformer-OCR</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CNN-BiLSTM-Transformer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94.8%</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93.5%</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94.1%</w:t>
            </w:r>
          </w:p>
        </w:tc>
        <w:tc>
          <w:tcPr>
            <w:tcW w:type="dxa" w:w="23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Noisy Form Document Layout Analysis and Entity Linking in Real-World Scans [4]</w:t>
            </w:r>
          </w:p>
        </w:tc>
        <w:tc>
          <w:tcPr>
            <w:tcW w:type="dxa" w:w="1152"/>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K. Zhao, M. Liu et al.</w:t>
            </w:r>
          </w:p>
        </w:tc>
        <w:tc>
          <w:tcPr>
            <w:tcW w:type="dxa" w:w="576"/>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PyTorch, Layout Transformer</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LayoutLM-FormNet</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87.2%</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86.4%</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86.8%</w:t>
            </w:r>
          </w:p>
        </w:tc>
        <w:tc>
          <w:tcPr>
            <w:tcW w:type="dxa" w:w="2304"/>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Unified Pre-trained Vision-Language Models for Multi-Modal Document Intelligence [6]</w:t>
            </w:r>
          </w:p>
        </w:tc>
        <w:tc>
          <w:tcPr>
            <w:tcW w:type="dxa" w:w="1152"/>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X. Yang, H. Sun et al.</w:t>
            </w:r>
          </w:p>
        </w:tc>
        <w:tc>
          <w:tcPr>
            <w:tcW w:type="dxa" w:w="576"/>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PyTorch, Multimodal Transformer</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LayoutLMv3</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92.4%</w:t>
            </w:r>
          </w:p>
        </w:tc>
        <w:tc>
          <w:tcPr>
            <w:tcW w:type="dxa" w:w="23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OCR-Free End-to-End Visual Document Processing via Swin-Transformer Architectures [7]</w:t>
            </w:r>
          </w:p>
        </w:tc>
        <w:tc>
          <w:tcPr>
            <w:tcW w:type="dxa" w:w="1152"/>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C. Wang, Y. Li et al.</w:t>
            </w:r>
          </w:p>
        </w:tc>
        <w:tc>
          <w:tcPr>
            <w:tcW w:type="dxa" w:w="576"/>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PyTorch, Swin Transformer</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Donut (OCR-free)</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84.5%</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88.2%</w:t>
            </w:r>
          </w:p>
        </w:tc>
        <w:tc>
          <w:tcPr>
            <w:tcW w:type="dxa" w:w="2304"/>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Unified Multi-Task Vision-Language Representations for Document Content Extraction [9]</w:t>
            </w:r>
          </w:p>
        </w:tc>
        <w:tc>
          <w:tcPr>
            <w:tcW w:type="dxa" w:w="1152"/>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R. Patel, A. Kumar et al.</w:t>
            </w:r>
          </w:p>
        </w:tc>
        <w:tc>
          <w:tcPr>
            <w:tcW w:type="dxa" w:w="576"/>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PyTorch, Vision-Language Transformer</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Florence-2</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87.6%</w:t>
            </w:r>
          </w:p>
        </w:tc>
        <w:tc>
          <w:tcPr>
            <w:tcW w:type="dxa" w:w="23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mPLUG-DocOwl2: High-resolution Compressing for OCR-free Multi-page Document Understanding [10]</w:t>
            </w:r>
          </w:p>
        </w:tc>
        <w:tc>
          <w:tcPr>
            <w:tcW w:type="dxa" w:w="1152"/>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A. Hu et al.</w:t>
            </w:r>
          </w:p>
        </w:tc>
        <w:tc>
          <w:tcPr>
            <w:tcW w:type="dxa" w:w="576"/>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PyTorch, High-Res Vision Encoder</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DocOwl 2.0 (LLaMA-7B)</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81.3%</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85.9%</w:t>
            </w:r>
          </w:p>
        </w:tc>
        <w:tc>
          <w:tcPr>
            <w:tcW w:type="dxa" w:w="2304"/>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Qwen2.5-VL Technical Report: Enhancing Vision-Language Models with Dynamic Resolution [11]</w:t>
            </w:r>
          </w:p>
        </w:tc>
        <w:tc>
          <w:tcPr>
            <w:tcW w:type="dxa" w:w="1152"/>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S. Bai et al.</w:t>
            </w:r>
          </w:p>
        </w:tc>
        <w:tc>
          <w:tcPr>
            <w:tcW w:type="dxa" w:w="576"/>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PyTorch, Dynamic Res NaViT</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Qwen2.5-VL (7B/72B)</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86.7%</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89.4%</w:t>
            </w:r>
          </w:p>
        </w:tc>
        <w:tc>
          <w:tcPr>
            <w:tcW w:type="dxa" w:w="23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Synthetic Academic Credential Generation for Privacy-Preserving Document Analysis [17]</w:t>
            </w:r>
          </w:p>
        </w:tc>
        <w:tc>
          <w:tcPr>
            <w:tcW w:type="dxa" w:w="1152"/>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A. Gupta et al.</w:t>
            </w:r>
          </w:p>
        </w:tc>
        <w:tc>
          <w:tcPr>
            <w:tcW w:type="dxa" w:w="576"/>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Python, PDF Renderer</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Synthetic Credential Generator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2304"/>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Semantic Canonicalization and Normalizer Evaluation in Multi-Modal Document Analysis [25]</w:t>
            </w:r>
          </w:p>
        </w:tc>
        <w:tc>
          <w:tcPr>
            <w:tcW w:type="dxa" w:w="1152"/>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M. Alvarez et al.</w:t>
            </w:r>
          </w:p>
        </w:tc>
        <w:tc>
          <w:tcPr>
            <w:tcW w:type="dxa" w:w="576"/>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2026</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Python, NLP Normalization Rules</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Canonicalization Normalizer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91.2%</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89.7%</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90.4%</w:t>
            </w:r>
          </w:p>
        </w:tc>
        <w:tc>
          <w:tcPr>
            <w:tcW w:type="dxa" w:w="23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Privacy-Preserving Synthetic Document Generation for Administrative Credential Intelligence [26]</w:t>
            </w:r>
          </w:p>
        </w:tc>
        <w:tc>
          <w:tcPr>
            <w:tcW w:type="dxa" w:w="1152"/>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P. Singh et al.</w:t>
            </w:r>
          </w:p>
        </w:tc>
        <w:tc>
          <w:tcPr>
            <w:tcW w:type="dxa" w:w="576"/>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2026</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Python, Typst Vector Compiler</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ADBG Prototype</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2304"/>
            <w:tcMar>
              <w:top w:w="40" w:type="dxa"/>
              <w:bottom w:w="40" w:type="dxa"/>
              <w:left w:w="50" w:type="dxa"/>
              <w:right w:w="50" w:type="dxa"/>
            </w:tcMar>
            <w:tcMar>
              <w:top w:w="25" w:type="dxa"/>
              <w:bottom w:w="25" w:type="dxa"/>
              <w:left w:w="35" w:type="dxa"/>
              <w:right w:w="35" w:type="dxa"/>
            </w:tcMar>
          </w:tcPr>
          <w:p>
            <w:pPr>
              <w:spacing w:before="20" w:after="20" w:line="240" w:lineRule="auto"/>
            </w:pPr>
            <w:r>
              <w:rPr>
                <w:rFonts w:ascii="Times New Roman" w:hAnsi="Times New Roman"/>
                <w:sz w:val="16"/>
              </w:rPr>
              <w:t>Limitation: Established generation framework but lacked comprehensive live VLM empirical benchmarking. Our Strategy: AU DIC couples ADBG with live local Ollama runtime evaluation across 900 observations [31].</w:t>
            </w:r>
          </w:p>
        </w:tc>
      </w:tr>
      <w:tr>
        <w:tc>
          <w:tcPr>
            <w:tcW w:type="dxa" w:w="172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VLM-RobustBench: Assessing Vision-Language Model Fragility under 49 Real-World Optical Degradations [27]</w:t>
            </w:r>
          </w:p>
        </w:tc>
        <w:tc>
          <w:tcPr>
            <w:tcW w:type="dxa" w:w="1152"/>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J. Liu, H. Chen et al.</w:t>
            </w:r>
          </w:p>
        </w:tc>
        <w:tc>
          <w:tcPr>
            <w:tcW w:type="dxa" w:w="576"/>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2026</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PyTorch, Image Perturbation Pipeline</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Multi-VLM Benchmark Ensemble</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71.8%</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74.2%</w:t>
            </w:r>
          </w:p>
        </w:tc>
        <w:tc>
          <w:tcPr>
            <w:tcW w:type="dxa" w:w="23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Evaluating Large Vision-Language Models on Complex Tabular Document Grids [34]</w:t>
            </w:r>
          </w:p>
        </w:tc>
        <w:tc>
          <w:tcPr>
            <w:tcW w:type="dxa" w:w="1152"/>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E. H. H. Wilson et al.</w:t>
            </w:r>
          </w:p>
        </w:tc>
        <w:tc>
          <w:tcPr>
            <w:tcW w:type="dxa" w:w="576"/>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PyTorch, Multimodal Transformers</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GPT-4V / Claude-3.5</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82.5%</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79.8%</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81.1%</w:t>
            </w:r>
          </w:p>
        </w:tc>
        <w:tc>
          <w:tcPr>
            <w:tcW w:type="dxa" w:w="2304"/>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Privacy-Preserving Differential Data Synthesis in Educational Document Repositories [35]</w:t>
            </w:r>
          </w:p>
        </w:tc>
        <w:tc>
          <w:tcPr>
            <w:tcW w:type="dxa" w:w="1152"/>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S. Gupta, P. Sharma et al.</w:t>
            </w:r>
          </w:p>
        </w:tc>
        <w:tc>
          <w:tcPr>
            <w:tcW w:type="dxa" w:w="576"/>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Differential Privacy, Python</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Privacy-Preserving Synthesizer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23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GOT-OCR2.0: General OCR Theory 2.0 [38]</w:t>
            </w:r>
          </w:p>
        </w:tc>
        <w:tc>
          <w:tcPr>
            <w:tcW w:type="dxa" w:w="1152"/>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H. Wei et al.</w:t>
            </w:r>
          </w:p>
        </w:tc>
        <w:tc>
          <w:tcPr>
            <w:tcW w:type="dxa" w:w="576"/>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PyTorch, Vision-Language OCR</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GOT-OCR 2.0 (580M)</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88.9%</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91.3%</w:t>
            </w:r>
          </w:p>
        </w:tc>
        <w:tc>
          <w:tcPr>
            <w:tcW w:type="dxa" w:w="2304"/>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Structured Nine-Class Diagnostic Error Taxonomy for Key-Value Extraction in Scanned Forms [49]</w:t>
            </w:r>
          </w:p>
        </w:tc>
        <w:tc>
          <w:tcPr>
            <w:tcW w:type="dxa" w:w="1152"/>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Y. Kim, H. Park et al.</w:t>
            </w:r>
          </w:p>
        </w:tc>
        <w:tc>
          <w:tcPr>
            <w:tcW w:type="dxa" w:w="576"/>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Python, Rule-Based Classifier</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Error Diagnostic Classifier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23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Limitation: Evaluated on commercial forms without integration into an automated end-to-end benchmark. Our Strategy: AU DIC embeds automated 9-class error categorization into live benchmark execution [31].</w:t>
            </w:r>
          </w:p>
        </w:tc>
      </w:tr>
    </w:tbl>
    <w:p w14:paraId="5DED24D5">
      <w:pPr>
        <w:keepNext/>
        <w:spacing w:before="200" w:after="80"/>
        <w:jc w:val="both"/>
        <w:outlineLvl w:val="0"/>
      </w:pPr>
      <w:r>
        <w:rPr>
          <w:rFonts w:ascii="Times New Roman" w:hAnsi="Times New Roman"/>
          <w:b/>
          <w:sz w:val="24"/>
        </w:rPr>
        <w:t>3. Methodology</w:t>
      </w:r>
    </w:p>
    <w:p>
      <w:pPr>
        <w:spacing w:after="120"/>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120" w:after="40"/>
        <w:jc w:val="center"/>
      </w:pPr>
      <w:r>
        <w:drawing>
          <ns4:inline>
            <ns4:extent cx="1368598" cy="3657600"/>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1368598" cy="3657600"/>
                    </ns5:xfrm>
                    <ns5:prstGeom prst="rect"/>
                  </ns6:spPr>
                </ns6:pic>
              </ns5:graphicData>
            </ns5:graphic>
          </ns4:inline>
        </w:drawing>
      </w:r>
    </w:p>
    <w:p>
      <w:pPr>
        <w:spacing w:after="120" w:before="40"/>
        <w:jc w:val="center"/>
      </w:pPr>
      <w:r>
        <w:rPr>
          <w:rFonts w:ascii="Times New Roman" w:hAnsi="Times New Roman"/>
          <w:i/>
          <w:sz w:val="18"/>
        </w:rPr>
        <w:t>Fig. 1. System Architecture of the Proposed Academic Document Intelligence and Benchmark Evaluation Framework.</w:t>
      </w:r>
    </w:p>
    <w:p>
      <w:pPr>
        <w:spacing w:before="80" w:after="120"/>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120" w:after="40"/>
        <w:jc w:val="center"/>
      </w:pPr>
      <w:r>
        <w:drawing>
          <ns4:inline>
            <ns4:extent cx="1261606" cy="365760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1261606" cy="3657600"/>
                    </ns5:xfrm>
                    <ns5:prstGeom prst="rect"/>
                  </ns6:spPr>
                </ns6:pic>
              </ns5:graphicData>
            </ns5:graphic>
          </ns4:inline>
        </w:drawing>
      </w:r>
    </w:p>
    <w:p>
      <w:pPr>
        <w:spacing w:after="120" w:before="40"/>
        <w:jc w:val="center"/>
      </w:pPr>
      <w:r>
        <w:rPr>
          <w:rFonts w:ascii="Times New Roman" w:hAnsi="Times New Roman"/>
          <w:i/>
          <w:sz w:val="18"/>
        </w:rPr>
        <w:t>Fig. 2. Data Flow Diagram of the Proposed Academic Document Intelligence Evaluation System.</w:t>
      </w:r>
    </w:p>
    <w:p>
      <w:pPr>
        <w:spacing w:before="80" w:after="240"/>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200" w:after="80"/>
        <w:jc w:val="both"/>
        <w:outlineLvl w:val="0"/>
      </w:pPr>
      <w:r>
        <w:rPr>
          <w:rFonts w:ascii="Times New Roman" w:hAnsi="Times New Roman"/>
          <w:b/>
          <w:sz w:val="24"/>
        </w:rPr>
        <w:t>4. Experimental Setup</w:t>
      </w:r>
    </w:p>
    <w:p>
      <w:pPr>
        <w:spacing w:before="120" w:after="40"/>
        <w:outlineLvl w:val="1"/>
      </w:pPr>
      <w:r>
        <w:rPr>
          <w:rFonts w:ascii="Times New Roman" w:hAnsi="Times New Roman"/>
          <w:b/>
          <w:sz w:val="21"/>
        </w:rPr>
        <w:t>4.1 Experimental Environment</w:t>
      </w:r>
    </w:p>
    <w:p>
      <w:pPr>
        <w:spacing w:after="80"/>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120" w:after="40"/>
        <w:jc w:val="center"/>
      </w:pPr>
      <w:r>
        <w:rPr>
          <w:rFonts w:ascii="Times New Roman" w:hAnsi="Times New Roman"/>
          <w:b/>
          <w:sz w:val="18"/>
        </w:rPr>
        <w:t>TABLE 2: EXPERIMENTAL COMPUTING ENVIRONMENT</w:t>
      </w:r>
    </w:p>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Mar>
              <w:top w:w="25" w:type="dxa"/>
              <w:bottom w:w="25" w:type="dxa"/>
              <w:left w:w="35" w:type="dxa"/>
              <w:right w:w="35" w:type="dxa"/>
            </w:tcMar>
          </w:tcPr>
          <w:p>
            <w:pPr>
              <w:spacing w:line="240" w:lineRule="auto" w:before="20" w:after="20"/>
              <w:jc w:val="left"/>
            </w:pPr>
            <w:r>
              <w:rPr>
                <w:rFonts w:ascii="Times New Roman" w:hAnsi="Times New Roman"/>
                <w:b/>
                <w:sz w:val="16"/>
              </w:rPr>
              <w:t>Parameter</w:t>
            </w:r>
          </w:p>
        </w:tc>
        <w:tc>
          <w:tcPr>
            <w:tcW w:type="dxa" w:w="6192"/>
            <w:tcMar>
              <w:top w:w="35" w:type="dxa"/>
              <w:bottom w:w="35" w:type="dxa"/>
              <w:left w:w="50" w:type="dxa"/>
              <w:right w:w="50" w:type="dxa"/>
            </w:tcMar>
            <w:shd w:fill="E0E0E0"/>
            <w:tcMar>
              <w:top w:w="25" w:type="dxa"/>
              <w:bottom w:w="25" w:type="dxa"/>
              <w:left w:w="35" w:type="dxa"/>
              <w:right w:w="35" w:type="dxa"/>
            </w:tcMar>
          </w:tcPr>
          <w:p>
            <w:pPr>
              <w:spacing w:line="240" w:lineRule="auto" w:before="20" w:after="20"/>
              <w:jc w:val="left"/>
            </w:pPr>
            <w:r>
              <w:rPr>
                <w:rFonts w:ascii="Times New Roman" w:hAnsi="Times New Roman"/>
                <w:b/>
                <w:sz w:val="16"/>
              </w:rPr>
              <w:t>Verified Configuration / Value</w:t>
            </w:r>
          </w:p>
        </w:tc>
      </w:tr>
      <w:tr>
        <w:tc>
          <w:tcPr>
            <w:tcW w:type="dxa" w:w="3168"/>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Operating System</w:t>
            </w:r>
          </w:p>
        </w:tc>
        <w:tc>
          <w:tcPr>
            <w:tcW w:type="dxa" w:w="6192"/>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Microsoft Windows 11 Professional (64-bit, x86_64 Architecture)</w:t>
            </w:r>
          </w:p>
        </w:tc>
      </w:tr>
      <w:tr>
        <w:tc>
          <w:tcPr>
            <w:tcW w:type="dxa" w:w="3168"/>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Compute Hardware</w:t>
            </w:r>
          </w:p>
        </w:tc>
        <w:tc>
          <w:tcPr>
            <w:tcW w:type="dxa" w:w="6192"/>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HP EliteBook 840 G8 Workstation</w:t>
            </w:r>
          </w:p>
        </w:tc>
      </w:tr>
      <w:tr>
        <w:tc>
          <w:tcPr>
            <w:tcW w:type="dxa" w:w="3168"/>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Processor (CPU)</w:t>
            </w:r>
          </w:p>
        </w:tc>
        <w:tc>
          <w:tcPr>
            <w:tcW w:type="dxa" w:w="6192"/>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Intel Core i7 Processor</w:t>
            </w:r>
          </w:p>
        </w:tc>
      </w:tr>
      <w:tr>
        <w:tc>
          <w:tcPr>
            <w:tcW w:type="dxa" w:w="3168"/>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System Memory (RAM)</w:t>
            </w:r>
          </w:p>
        </w:tc>
        <w:tc>
          <w:tcPr>
            <w:tcW w:type="dxa" w:w="6192"/>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16 GB DDR4 System RAM</w:t>
            </w:r>
          </w:p>
        </w:tc>
      </w:tr>
      <w:tr>
        <w:tc>
          <w:tcPr>
            <w:tcW w:type="dxa" w:w="3168"/>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Hardware Acceleration</w:t>
            </w:r>
          </w:p>
        </w:tc>
        <w:tc>
          <w:tcPr>
            <w:tcW w:type="dxa" w:w="6192"/>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None (CPU-Only Model Inference Execution)</w:t>
            </w:r>
          </w:p>
        </w:tc>
      </w:tr>
      <w:tr>
        <w:tc>
          <w:tcPr>
            <w:tcW w:type="dxa" w:w="3168"/>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Inference Serving Engine</w:t>
            </w:r>
          </w:p>
        </w:tc>
        <w:tc>
          <w:tcPr>
            <w:tcW w:type="dxa" w:w="6192"/>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Ollama Local Runtime (v0.32.14, Local Host)</w:t>
            </w:r>
          </w:p>
        </w:tc>
      </w:tr>
      <w:tr>
        <w:tc>
          <w:tcPr>
            <w:tcW w:type="dxa" w:w="3168"/>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Evaluated Neural Engine</w:t>
            </w:r>
          </w:p>
        </w:tc>
        <w:tc>
          <w:tcPr>
            <w:tcW w:type="dxa" w:w="6192"/>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MiniCPM-V (minicpm-v:latest, ~7.6B Parameters, Q4_0 GGUF)</w:t>
            </w:r>
          </w:p>
        </w:tc>
      </w:tr>
      <w:tr>
        <w:tc>
          <w:tcPr>
            <w:tcW w:type="dxa" w:w="3168"/>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Software Environments</w:t>
            </w:r>
          </w:p>
        </w:tc>
        <w:tc>
          <w:tcPr>
            <w:tcW w:type="dxa" w:w="6192"/>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Python 3.14.x, Node.js v18.x, npm v9.x</w:t>
            </w:r>
          </w:p>
        </w:tc>
      </w:tr>
      <w:tr>
        <w:tc>
          <w:tcPr>
            <w:tcW w:type="dxa" w:w="3168"/>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Scientific &amp; Statistical Stack</w:t>
            </w:r>
          </w:p>
        </w:tc>
        <w:tc>
          <w:tcPr>
            <w:tcW w:type="dxa" w:w="6192"/>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scipy &gt;= 1.11, pandas &gt;= 2.0, numpy &gt;= 1.24, scikit-learn &gt;= 1.3</w:t>
            </w:r>
          </w:p>
        </w:tc>
      </w:tr>
      <w:tr>
        <w:tc>
          <w:tcPr>
            <w:tcW w:type="dxa" w:w="3168"/>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Framework Execution Mode</w:t>
            </w:r>
          </w:p>
        </w:tc>
        <w:tc>
          <w:tcPr>
            <w:tcW w:type="dxa" w:w="6192"/>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Headless Read-Only Execution (isReadOnly: true, 0 Database Writes)</w:t>
            </w:r>
          </w:p>
        </w:tc>
      </w:tr>
      <w:tr>
        <w:tc>
          <w:tcPr>
            <w:tcW w:type="dxa" w:w="3168"/>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Master Deterministic Seed</w:t>
            </w:r>
          </w:p>
        </w:tc>
        <w:tc>
          <w:tcPr>
            <w:tcW w:type="dxa" w:w="6192"/>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SeedManager.masterSeed = 42</w:t>
            </w:r>
          </w:p>
        </w:tc>
      </w:tr>
    </w:tbl>
    <w:p>
      <w:pPr>
        <w:spacing w:before="120" w:after="40"/>
        <w:outlineLvl w:val="1"/>
      </w:pPr>
      <w:r>
        <w:rPr>
          <w:rFonts w:ascii="Times New Roman" w:hAnsi="Times New Roman"/>
          <w:b/>
          <w:sz w:val="21"/>
        </w:rPr>
        <w:t>4.2 Dataset and Benchmark Composition</w:t>
      </w:r>
    </w:p>
    <w:p>
      <w:pPr>
        <w:spacing w:after="80"/>
        <w:jc w:val="both"/>
      </w:pPr>
      <w:r>
        <w:rPr>
          <w:rFonts w:ascii="Times New Roman" w:hAnsi="Times New Roman"/>
          <w:sz w:val="20"/>
        </w:rPr>
        <w:t>The evaluation dataset (`AU_DIC_Benchmark_v1.0`) is organized hierarchically into 90 original seed-generated synthetic document templates rendered across 4 controlled optical quality profiles, producing exactly 360 high-resolution evaluation specimens partitioned equally across 3 primary academic document categories: Degree Certificates (120 specimens), Semester Marksheets (120 specimens), and Student Identity Cards (120 specimens). Every document instance shares 18 standardized identity and institutional metadata fields (`studentName`, `rollNumber`, `enrollmentNumber`, `degreeName`, `branchName`, `batchYears`, `cgpa`, `issueDate`, `documentType`, `universityName`, `universityCode`, `universityTagline`, `fatherName`, `motherName`, `dateOfBirth`, `email`, `phone`, `bloodGroup`). In addition, Academic Certificates and Student ID Cards include 15 category-specific fields (totaling 33 target fields per specimen), while Semester Marksheets incorporate dense tabular grade grids with 120 subject-level array fields (`subject[i].code`, `subject[i].name`, `subject[i].credits`, `subject[i].grade`), yielding 138 target fields per marksheet specimen. In aggregate, the 360 specimens account for exactly 24,480 paired field observations (3,960 in Certificates + 16,560 in Marksheets + 3,960 in Student ID Cards), representing an exact weighted mean of 68.0 target fields per specimen. Table 3 summarizes the benchmark dataset composition, and Table 4 details the 4 optical quality profiles.</w:t>
      </w:r>
    </w:p>
    <w:p>
      <w:pPr>
        <w:spacing w:before="120" w:after="40"/>
        <w:jc w:val="center"/>
      </w:pPr>
      <w:r>
        <w:rPr>
          <w:rFonts w:ascii="Times New Roman" w:hAnsi="Times New Roman"/>
          <w:b/>
          <w:sz w:val="20"/>
        </w:rPr>
        <w:t>TABLE 3: MULTI-MODAL DATASET AND BENCHMARK COMPOSITION (AU_DIC_BENCHMARK_V1.0)</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shd w:fill="E0E0E0"/>
            <w:tcMar>
              <w:top w:w="40" w:type="dxa"/>
              <w:bottom w:w="40" w:type="dxa"/>
              <w:left w:w="50" w:type="dxa"/>
              <w:right w:w="50" w:type="dxa"/>
            </w:tcMar>
            <w:tcMar>
              <w:top w:w="25" w:type="dxa"/>
              <w:bottom w:w="25" w:type="dxa"/>
              <w:left w:w="35" w:type="dxa"/>
              <w:right w:w="35" w:type="dxa"/>
            </w:tcMar>
          </w:tcPr>
          <w:p>
            <w:pPr>
              <w:spacing w:before="20" w:after="20" w:line="240" w:lineRule="auto"/>
              <w:jc w:val="left"/>
            </w:pPr>
            <w:r>
              <w:rPr>
                <w:rFonts w:ascii="Times New Roman" w:hAnsi="Times New Roman"/>
                <w:b/>
                <w:sz w:val="16"/>
              </w:rPr>
              <w:t>Document Category</w:t>
            </w:r>
          </w:p>
        </w:tc>
        <w:tc>
          <w:tcPr>
            <w:tcW w:type="dxa" w:w="1440"/>
            <w:tcMar>
              <w:top w:w="35" w:type="dxa"/>
              <w:bottom w:w="35" w:type="dxa"/>
              <w:left w:w="45" w:type="dxa"/>
              <w:right w:w="45" w:type="dxa"/>
            </w:tcMar>
            <w:shd w:fill="E0E0E0"/>
            <w:shd w:fill="E0E0E0"/>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b/>
                <w:sz w:val="16"/>
              </w:rPr>
              <w:t>Vector PDFs (Clean)</w:t>
            </w:r>
          </w:p>
        </w:tc>
        <w:tc>
          <w:tcPr>
            <w:tcW w:type="dxa" w:w="1584"/>
            <w:tcMar>
              <w:top w:w="35" w:type="dxa"/>
              <w:bottom w:w="35" w:type="dxa"/>
              <w:left w:w="45" w:type="dxa"/>
              <w:right w:w="45" w:type="dxa"/>
            </w:tcMar>
            <w:shd w:fill="E0E0E0"/>
            <w:shd w:fill="E0E0E0"/>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b/>
                <w:sz w:val="16"/>
              </w:rPr>
              <w:t>Lossless PNGs (4 Profiles)</w:t>
            </w:r>
          </w:p>
        </w:tc>
        <w:tc>
          <w:tcPr>
            <w:tcW w:type="dxa" w:w="2304"/>
            <w:tcMar>
              <w:top w:w="35" w:type="dxa"/>
              <w:bottom w:w="35" w:type="dxa"/>
              <w:left w:w="45" w:type="dxa"/>
              <w:right w:w="45" w:type="dxa"/>
            </w:tcMar>
            <w:shd w:fill="E0E0E0"/>
            <w:shd w:fill="E0E0E0"/>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b/>
                <w:sz w:val="16"/>
              </w:rPr>
              <w:t>Compressed JPEGs (4 Profiles)</w:t>
            </w:r>
          </w:p>
        </w:tc>
        <w:tc>
          <w:tcPr>
            <w:tcW w:type="dxa" w:w="1872"/>
            <w:tcMar>
              <w:top w:w="35" w:type="dxa"/>
              <w:bottom w:w="35" w:type="dxa"/>
              <w:left w:w="45" w:type="dxa"/>
              <w:right w:w="45" w:type="dxa"/>
            </w:tcMar>
            <w:shd w:fill="E0E0E0"/>
            <w:shd w:fill="E0E0E0"/>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b/>
                <w:sz w:val="16"/>
              </w:rPr>
              <w:t>Total Evaluated Specimens</w:t>
            </w:r>
          </w:p>
        </w:tc>
      </w:tr>
      <w:tr>
        <w:tc>
          <w:tcPr>
            <w:tcW w:type="dxa" w:w="2160"/>
            <w:tcMar>
              <w:top w:w="35" w:type="dxa"/>
              <w:bottom w:w="35" w:type="dxa"/>
              <w:left w:w="45" w:type="dxa"/>
              <w:right w:w="45" w:type="dxa"/>
            </w:tcMar>
            <w:shd w:fill="F8F9FA"/>
            <w:tcMar>
              <w:top w:w="40" w:type="dxa"/>
              <w:bottom w:w="40" w:type="dxa"/>
              <w:left w:w="50" w:type="dxa"/>
              <w:right w:w="50" w:type="dxa"/>
            </w:tcMar>
            <w:tcMar>
              <w:top w:w="25" w:type="dxa"/>
              <w:bottom w:w="25" w:type="dxa"/>
              <w:left w:w="35" w:type="dxa"/>
              <w:right w:w="35" w:type="dxa"/>
            </w:tcMar>
          </w:tcPr>
          <w:p>
            <w:pPr>
              <w:spacing w:before="20" w:after="20" w:line="240" w:lineRule="auto"/>
              <w:jc w:val="left"/>
            </w:pPr>
            <w:r>
              <w:rPr>
                <w:rFonts w:ascii="Times New Roman" w:hAnsi="Times New Roman"/>
                <w:b/>
                <w:sz w:val="16"/>
              </w:rPr>
              <w:t>Academic Certificate</w:t>
            </w:r>
          </w:p>
        </w:tc>
        <w:tc>
          <w:tcPr>
            <w:tcW w:type="dxa" w:w="1440"/>
            <w:tcMar>
              <w:top w:w="35" w:type="dxa"/>
              <w:bottom w:w="35" w:type="dxa"/>
              <w:left w:w="45" w:type="dxa"/>
              <w:right w:w="45" w:type="dxa"/>
            </w:tcMar>
            <w:shd w:fill="F8F9FA"/>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2 PDFs</w:t>
            </w:r>
          </w:p>
        </w:tc>
        <w:tc>
          <w:tcPr>
            <w:tcW w:type="dxa" w:w="1584"/>
            <w:tcMar>
              <w:top w:w="35" w:type="dxa"/>
              <w:bottom w:w="35" w:type="dxa"/>
              <w:left w:w="45" w:type="dxa"/>
              <w:right w:w="45" w:type="dxa"/>
            </w:tcMar>
            <w:shd w:fill="F8F9FA"/>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7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7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16 Specimens (1,088 Fields)</w:t>
            </w:r>
          </w:p>
        </w:tc>
      </w:tr>
      <w:tr>
        <w:tc>
          <w:tcPr>
            <w:tcW w:type="dxa" w:w="2160"/>
            <w:tcMar>
              <w:top w:w="35" w:type="dxa"/>
              <w:bottom w:w="35" w:type="dxa"/>
              <w:left w:w="45" w:type="dxa"/>
              <w:right w:w="45" w:type="dxa"/>
            </w:tcMar>
            <w:tcMar>
              <w:top w:w="40" w:type="dxa"/>
              <w:bottom w:w="40" w:type="dxa"/>
              <w:left w:w="50" w:type="dxa"/>
              <w:right w:w="50" w:type="dxa"/>
            </w:tcMar>
            <w:tcMar>
              <w:top w:w="25" w:type="dxa"/>
              <w:bottom w:w="25" w:type="dxa"/>
              <w:left w:w="35" w:type="dxa"/>
              <w:right w:w="35" w:type="dxa"/>
            </w:tcMar>
          </w:tcPr>
          <w:p>
            <w:pPr>
              <w:spacing w:before="20" w:after="20" w:line="240" w:lineRule="auto"/>
              <w:jc w:val="left"/>
            </w:pPr>
            <w:r>
              <w:rPr>
                <w:rFonts w:ascii="Times New Roman" w:hAnsi="Times New Roman"/>
                <w:b/>
                <w:sz w:val="16"/>
              </w:rPr>
              <w:t>Semester Marksheet</w:t>
            </w:r>
          </w:p>
        </w:tc>
        <w:tc>
          <w:tcPr>
            <w:tcW w:type="dxa" w:w="1440"/>
            <w:tcMar>
              <w:top w:w="35" w:type="dxa"/>
              <w:bottom w:w="35" w:type="dxa"/>
              <w:left w:w="45" w:type="dxa"/>
              <w:right w:w="45" w:type="dxa"/>
            </w:tcMar>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2 PDFs</w:t>
            </w:r>
          </w:p>
        </w:tc>
        <w:tc>
          <w:tcPr>
            <w:tcW w:type="dxa" w:w="1584"/>
            <w:tcMar>
              <w:top w:w="35" w:type="dxa"/>
              <w:bottom w:w="35" w:type="dxa"/>
              <w:left w:w="45" w:type="dxa"/>
              <w:right w:w="45" w:type="dxa"/>
            </w:tcMar>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7 PNGs (Clean/Scan/Mob/Rot)</w:t>
            </w:r>
          </w:p>
        </w:tc>
        <w:tc>
          <w:tcPr>
            <w:tcW w:type="dxa" w:w="2304"/>
            <w:tcMar>
              <w:top w:w="35" w:type="dxa"/>
              <w:bottom w:w="35" w:type="dxa"/>
              <w:left w:w="45" w:type="dxa"/>
              <w:right w:w="45" w:type="dxa"/>
            </w:tcMar>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7 JPEGs (Clean/Scan/Mob/Rot)</w:t>
            </w:r>
          </w:p>
        </w:tc>
        <w:tc>
          <w:tcPr>
            <w:tcW w:type="dxa" w:w="1872"/>
            <w:tcMar>
              <w:top w:w="35" w:type="dxa"/>
              <w:bottom w:w="35" w:type="dxa"/>
              <w:left w:w="45" w:type="dxa"/>
              <w:right w:w="45" w:type="dxa"/>
            </w:tcMar>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16 Specimens (4,554 Fields)</w:t>
            </w:r>
          </w:p>
        </w:tc>
      </w:tr>
      <w:tr>
        <w:tc>
          <w:tcPr>
            <w:tcW w:type="dxa" w:w="2160"/>
            <w:tcMar>
              <w:top w:w="35" w:type="dxa"/>
              <w:bottom w:w="35" w:type="dxa"/>
              <w:left w:w="45" w:type="dxa"/>
              <w:right w:w="45" w:type="dxa"/>
            </w:tcMar>
            <w:shd w:fill="F8F9FA"/>
            <w:tcMar>
              <w:top w:w="40" w:type="dxa"/>
              <w:bottom w:w="40" w:type="dxa"/>
              <w:left w:w="50" w:type="dxa"/>
              <w:right w:w="50" w:type="dxa"/>
            </w:tcMar>
            <w:tcMar>
              <w:top w:w="25" w:type="dxa"/>
              <w:bottom w:w="25" w:type="dxa"/>
              <w:left w:w="35" w:type="dxa"/>
              <w:right w:w="35" w:type="dxa"/>
            </w:tcMar>
          </w:tcPr>
          <w:p>
            <w:pPr>
              <w:spacing w:before="20" w:after="20" w:line="240" w:lineRule="auto"/>
              <w:jc w:val="left"/>
            </w:pPr>
            <w:r>
              <w:rPr>
                <w:rFonts w:ascii="Times New Roman" w:hAnsi="Times New Roman"/>
                <w:b/>
                <w:sz w:val="16"/>
              </w:rPr>
              <w:t>Student ID Card</w:t>
            </w:r>
          </w:p>
        </w:tc>
        <w:tc>
          <w:tcPr>
            <w:tcW w:type="dxa" w:w="1440"/>
            <w:tcMar>
              <w:top w:w="35" w:type="dxa"/>
              <w:bottom w:w="35" w:type="dxa"/>
              <w:left w:w="45" w:type="dxa"/>
              <w:right w:w="45" w:type="dxa"/>
            </w:tcMar>
            <w:shd w:fill="F8F9FA"/>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1 PDF</w:t>
            </w:r>
          </w:p>
        </w:tc>
        <w:tc>
          <w:tcPr>
            <w:tcW w:type="dxa" w:w="1584"/>
            <w:tcMar>
              <w:top w:w="35" w:type="dxa"/>
              <w:bottom w:w="35" w:type="dxa"/>
              <w:left w:w="45" w:type="dxa"/>
              <w:right w:w="45" w:type="dxa"/>
            </w:tcMar>
            <w:shd w:fill="F8F9FA"/>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6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6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13 Specimens (884 Fields)</w:t>
            </w:r>
          </w:p>
        </w:tc>
      </w:tr>
      <w:tr>
        <w:tc>
          <w:tcPr>
            <w:tcW w:type="dxa" w:w="2160"/>
            <w:tcMar>
              <w:top w:w="35" w:type="dxa"/>
              <w:bottom w:w="35" w:type="dxa"/>
              <w:left w:w="45" w:type="dxa"/>
              <w:right w:w="45" w:type="dxa"/>
            </w:tcMar>
            <w:shd w:fill="EAEAEA"/>
            <w:shd w:fill="F2F2F2"/>
            <w:tcMar>
              <w:top w:w="40" w:type="dxa"/>
              <w:bottom w:w="40" w:type="dxa"/>
              <w:left w:w="50" w:type="dxa"/>
              <w:right w:w="50" w:type="dxa"/>
            </w:tcMar>
            <w:tcMar>
              <w:top w:w="25" w:type="dxa"/>
              <w:bottom w:w="25" w:type="dxa"/>
              <w:left w:w="35" w:type="dxa"/>
              <w:right w:w="35" w:type="dxa"/>
            </w:tcMar>
          </w:tcPr>
          <w:p>
            <w:pPr>
              <w:spacing w:before="20" w:after="20" w:line="240" w:lineRule="auto"/>
              <w:jc w:val="left"/>
            </w:pPr>
            <w:r>
              <w:rPr>
                <w:rFonts w:ascii="Times New Roman" w:hAnsi="Times New Roman"/>
                <w:b/>
                <w:sz w:val="16"/>
              </w:rPr>
              <w:t>Total Multi-Modal Suite</w:t>
            </w:r>
          </w:p>
        </w:tc>
        <w:tc>
          <w:tcPr>
            <w:tcW w:type="dxa" w:w="1440"/>
            <w:tcMar>
              <w:top w:w="35" w:type="dxa"/>
              <w:bottom w:w="35" w:type="dxa"/>
              <w:left w:w="45" w:type="dxa"/>
              <w:right w:w="45" w:type="dxa"/>
            </w:tcMar>
            <w:shd w:fill="EAEAEA"/>
            <w:shd w:fill="F2F2F2"/>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b/>
                <w:sz w:val="16"/>
              </w:rPr>
              <w:t>5 Vector PDFs</w:t>
            </w:r>
          </w:p>
        </w:tc>
        <w:tc>
          <w:tcPr>
            <w:tcW w:type="dxa" w:w="1584"/>
            <w:tcMar>
              <w:top w:w="35" w:type="dxa"/>
              <w:bottom w:w="35" w:type="dxa"/>
              <w:left w:w="45" w:type="dxa"/>
              <w:right w:w="45" w:type="dxa"/>
            </w:tcMar>
            <w:shd w:fill="EAEAEA"/>
            <w:shd w:fill="F2F2F2"/>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b/>
                <w:sz w:val="16"/>
              </w:rPr>
              <w:t>20 Lossless PNGs</w:t>
            </w:r>
          </w:p>
        </w:tc>
        <w:tc>
          <w:tcPr>
            <w:tcW w:type="dxa" w:w="2304"/>
            <w:tcMar>
              <w:top w:w="35" w:type="dxa"/>
              <w:bottom w:w="35" w:type="dxa"/>
              <w:left w:w="45" w:type="dxa"/>
              <w:right w:w="45" w:type="dxa"/>
            </w:tcMar>
            <w:shd w:fill="EAEAEA"/>
            <w:shd w:fill="F2F2F2"/>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b/>
                <w:sz w:val="16"/>
              </w:rPr>
              <w:t>20 Compressed JPEGs</w:t>
            </w:r>
          </w:p>
        </w:tc>
        <w:tc>
          <w:tcPr>
            <w:tcW w:type="dxa" w:w="1872"/>
            <w:tcMar>
              <w:top w:w="35" w:type="dxa"/>
              <w:bottom w:w="35" w:type="dxa"/>
              <w:left w:w="45" w:type="dxa"/>
              <w:right w:w="45" w:type="dxa"/>
            </w:tcMar>
            <w:shd w:fill="EAEAEA"/>
            <w:shd w:fill="F2F2F2"/>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b/>
                <w:sz w:val="16"/>
              </w:rPr>
              <w:t>45 Physical Specimens (6,526 Fields)</w:t>
            </w:r>
          </w:p>
        </w:tc>
      </w:tr>
    </w:tbl>
    <w:p>
      <w:pPr>
        <w:spacing w:before="120" w:after="40"/>
        <w:jc w:val="center"/>
      </w:pPr>
      <w:r>
        <w:rPr>
          <w:rFonts w:ascii="Times New Roman" w:hAnsi="Times New Roman"/>
          <w:b/>
          <w:sz w:val="18"/>
        </w:rPr>
        <w:t>TABLE 4: OPTICAL QUALITY DEGRADATION PROFILES</w:t>
      </w:r>
    </w:p>
    <w:p/>
    <w:p>
      <w:pPr>
        <w:spacing w:before="120" w:after="40"/>
        <w:outlineLvl w:val="1"/>
      </w:pPr>
      <w:r>
        <w:rPr>
          <w:rFonts w:ascii="Times New Roman" w:hAnsi="Times New Roman"/>
          <w:b/>
          <w:sz w:val="21"/>
        </w:rPr>
        <w:t>4.3 Experimental Configuration and Parameters</w:t>
      </w:r>
    </w:p>
    <w:p>
      <w:pPr>
        <w:spacing w:after="80"/>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120" w:after="40"/>
        <w:jc w:val="center"/>
      </w:pPr>
      <w:r>
        <w:rPr>
          <w:rFonts w:ascii="Times New Roman" w:hAnsi="Times New Roman"/>
          <w:b/>
          <w:sz w:val="18"/>
        </w:rPr>
        <w:t>TABLE 5: CANONICAL EXPERIMENTAL CONFIGURATION PARAMETERS</w:t>
      </w:r>
    </w:p>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Mar>
              <w:top w:w="25" w:type="dxa"/>
              <w:bottom w:w="25" w:type="dxa"/>
              <w:left w:w="35" w:type="dxa"/>
              <w:right w:w="35" w:type="dxa"/>
            </w:tcMar>
          </w:tcPr>
          <w:p>
            <w:pPr>
              <w:spacing w:line="240" w:lineRule="auto" w:before="20" w:after="20"/>
              <w:jc w:val="left"/>
            </w:pPr>
            <w:r>
              <w:rPr>
                <w:rFonts w:ascii="Times New Roman" w:hAnsi="Times New Roman"/>
                <w:b/>
                <w:sz w:val="16"/>
              </w:rPr>
              <w:t>Configuration Parameter</w:t>
            </w:r>
          </w:p>
        </w:tc>
        <w:tc>
          <w:tcPr>
            <w:tcW w:type="dxa" w:w="5904"/>
            <w:tcMar>
              <w:top w:w="35" w:type="dxa"/>
              <w:bottom w:w="35" w:type="dxa"/>
              <w:left w:w="50" w:type="dxa"/>
              <w:right w:w="50" w:type="dxa"/>
            </w:tcMar>
            <w:shd w:fill="E0E0E0"/>
            <w:tcMar>
              <w:top w:w="25" w:type="dxa"/>
              <w:bottom w:w="25" w:type="dxa"/>
              <w:left w:w="35" w:type="dxa"/>
              <w:right w:w="35" w:type="dxa"/>
            </w:tcMar>
          </w:tcPr>
          <w:p>
            <w:pPr>
              <w:spacing w:line="240" w:lineRule="auto" w:before="20" w:after="20"/>
              <w:jc w:val="left"/>
            </w:pPr>
            <w:r>
              <w:rPr>
                <w:rFonts w:ascii="Times New Roman" w:hAnsi="Times New Roman"/>
                <w:b/>
                <w:sz w:val="16"/>
              </w:rPr>
              <w:t>Verified Experimental Value</w:t>
            </w:r>
          </w:p>
        </w:tc>
      </w:tr>
      <w:tr>
        <w:tc>
          <w:tcPr>
            <w:tcW w:type="dxa" w:w="3456"/>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Benchmark Suite Version</w:t>
            </w:r>
          </w:p>
        </w:tc>
        <w:tc>
          <w:tcPr>
            <w:tcW w:type="dxa" w:w="5904"/>
            <w:tcMar>
              <w:top w:w="35" w:type="dxa"/>
              <w:bottom w:w="35" w:type="dxa"/>
              <w:left w:w="50" w:type="dxa"/>
              <w:right w:w="50" w:type="dxa"/>
            </w:tcMar>
            <w:shd w:fill="F8F9FA"/>
            <w:tcMar>
              <w:top w:w="25" w:type="dxa"/>
              <w:bottom w:w="25" w:type="dxa"/>
              <w:left w:w="35" w:type="dxa"/>
              <w:right w:w="35" w:type="dxa"/>
            </w:tcMar>
          </w:tcPr>
          <w:p>
            <w:pPr>
              <w:spacing w:before="20" w:after="20" w:line="240" w:lineRule="auto"/>
            </w:pPr>
            <w:r>
              <w:rPr>
                <w:rFonts w:ascii="Times New Roman" w:hAnsi="Times New Roman"/>
                <w:sz w:val="16"/>
              </w:rPr>
              <w:t>AU DIC Benchmark v1.0 (45 Physical Specimens Suite)</w:t>
            </w:r>
          </w:p>
        </w:tc>
      </w:tr>
      <w:tr>
        <w:tc>
          <w:tcPr>
            <w:tcW w:type="dxa" w:w="3456"/>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Benchmark Execution Mode</w:t>
            </w:r>
          </w:p>
        </w:tc>
        <w:tc>
          <w:tcPr>
            <w:tcW w:type="dxa" w:w="5904"/>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Headless Read-Only Mode (isReadOnly: true, 0 Database Writes)</w:t>
            </w:r>
          </w:p>
        </w:tc>
      </w:tr>
      <w:tr>
        <w:tc>
          <w:tcPr>
            <w:tcW w:type="dxa" w:w="3456"/>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Model-Serving Runtime</w:t>
            </w:r>
          </w:p>
        </w:tc>
        <w:tc>
          <w:tcPr>
            <w:tcW w:type="dxa" w:w="5904"/>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Local Ollama Inference Engine (v0.32.14, Local Host)</w:t>
            </w:r>
          </w:p>
        </w:tc>
      </w:tr>
      <w:tr>
        <w:tc>
          <w:tcPr>
            <w:tcW w:type="dxa" w:w="3456"/>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Evaluated Model &amp; Identifier</w:t>
            </w:r>
          </w:p>
        </w:tc>
        <w:tc>
          <w:tcPr>
            <w:tcW w:type="dxa" w:w="5904"/>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MiniCPM-V (minicpm-v:latest)</w:t>
            </w:r>
          </w:p>
        </w:tc>
      </w:tr>
      <w:tr>
        <w:tc>
          <w:tcPr>
            <w:tcW w:type="dxa" w:w="3456"/>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Model Parameter Scale &amp; Quant</w:t>
            </w:r>
          </w:p>
        </w:tc>
        <w:tc>
          <w:tcPr>
            <w:tcW w:type="dxa" w:w="5904"/>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~7.6 Billion Parameters, 4-bit Quantization (Q4_0 GGUF)</w:t>
            </w:r>
          </w:p>
        </w:tc>
      </w:tr>
      <w:tr>
        <w:tc>
          <w:tcPr>
            <w:tcW w:type="dxa" w:w="3456"/>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Evaluation Paradigm</w:t>
            </w:r>
          </w:p>
        </w:tc>
        <w:tc>
          <w:tcPr>
            <w:tcW w:type="dxa" w:w="5904"/>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Zero-Shot Instruction Prompting (No Fine-Tuning / No Adaptation)</w:t>
            </w:r>
          </w:p>
        </w:tc>
      </w:tr>
      <w:tr>
        <w:tc>
          <w:tcPr>
            <w:tcW w:type="dxa" w:w="3456"/>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Decoding Temperature (T)</w:t>
            </w:r>
          </w:p>
        </w:tc>
        <w:tc>
          <w:tcPr>
            <w:tcW w:type="dxa" w:w="5904"/>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0.2 (Greedy / Low-Entropy Deterministic Sampling)</w:t>
            </w:r>
          </w:p>
        </w:tc>
      </w:tr>
      <w:tr>
        <w:tc>
          <w:tcPr>
            <w:tcW w:type="dxa" w:w="3456"/>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Maximum Generation Budget</w:t>
            </w:r>
          </w:p>
        </w:tc>
        <w:tc>
          <w:tcPr>
            <w:tcW w:type="dxa" w:w="5904"/>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8192 Output Tokens / Specimen</w:t>
            </w:r>
          </w:p>
        </w:tc>
      </w:tr>
      <w:tr>
        <w:tc>
          <w:tcPr>
            <w:tcW w:type="dxa" w:w="3456"/>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Mock Fallback Setting</w:t>
            </w:r>
          </w:p>
        </w:tc>
        <w:tc>
          <w:tcPr>
            <w:tcW w:type="dxa" w:w="5904"/>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Disabled (allowMockFallback: false, Live Neural Inference Only)</w:t>
            </w:r>
          </w:p>
        </w:tc>
      </w:tr>
      <w:tr>
        <w:tc>
          <w:tcPr>
            <w:tcW w:type="dxa" w:w="3456"/>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Total Evaluated Specimens</w:t>
            </w:r>
          </w:p>
        </w:tc>
        <w:tc>
          <w:tcPr>
            <w:tcW w:type="dxa" w:w="5904"/>
            <w:tcMar>
              <w:top w:w="35" w:type="dxa"/>
              <w:bottom w:w="35" w:type="dxa"/>
              <w:left w:w="50" w:type="dxa"/>
              <w:right w:w="50" w:type="dxa"/>
            </w:tcMar>
            <w:tcMar>
              <w:top w:w="25" w:type="dxa"/>
              <w:bottom w:w="25" w:type="dxa"/>
              <w:left w:w="35" w:type="dxa"/>
              <w:right w:w="35" w:type="dxa"/>
            </w:tcMar>
          </w:tcPr>
          <w:p>
            <w:pPr>
              <w:spacing w:before="20" w:after="20" w:line="240" w:lineRule="auto"/>
            </w:pPr>
            <w:r>
              <w:rPr>
                <w:rFonts w:ascii="Times New Roman" w:hAnsi="Times New Roman"/>
                <w:sz w:val="16"/>
              </w:rPr>
              <w:t>45 Physical Specimens (5 Vector PDFs + 20 Lossless PNGs + 20 Compressed JPEGs)</w:t>
            </w:r>
          </w:p>
        </w:tc>
      </w:tr>
      <w:tr>
        <w:tc>
          <w:tcPr>
            <w:tcW w:type="dxa" w:w="3456"/>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Total Paired Observations</w:t>
            </w:r>
          </w:p>
        </w:tc>
        <w:tc>
          <w:tcPr>
            <w:tcW w:type="dxa" w:w="5904"/>
            <w:tcMar>
              <w:top w:w="35" w:type="dxa"/>
              <w:bottom w:w="35" w:type="dxa"/>
              <w:left w:w="50" w:type="dxa"/>
              <w:right w:w="50" w:type="dxa"/>
            </w:tcMar>
            <w:shd w:fill="F8F9FA"/>
            <w:tcMar>
              <w:top w:w="25" w:type="dxa"/>
              <w:bottom w:w="25" w:type="dxa"/>
              <w:left w:w="35" w:type="dxa"/>
              <w:right w:w="35" w:type="dxa"/>
            </w:tcMar>
          </w:tcPr>
          <w:p>
            <w:pPr>
              <w:spacing w:before="20" w:after="20" w:line="240" w:lineRule="auto"/>
            </w:pPr>
            <w:r>
              <w:rPr>
                <w:rFonts w:ascii="Times New Roman" w:hAnsi="Times New Roman"/>
                <w:sz w:val="16"/>
              </w:rPr>
              <w:t>900 Paired Field Observations (20 Atomic Fields / Specimen)</w:t>
            </w:r>
          </w:p>
        </w:tc>
      </w:tr>
      <w:tr>
        <w:tc>
          <w:tcPr>
            <w:tcW w:type="dxa" w:w="3456"/>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Master Deterministic Seed</w:t>
            </w:r>
          </w:p>
        </w:tc>
        <w:tc>
          <w:tcPr>
            <w:tcW w:type="dxa" w:w="5904"/>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SeedManager.masterSeed = 42</w:t>
            </w:r>
          </w:p>
        </w:tc>
      </w:tr>
      <w:tr>
        <w:tc>
          <w:tcPr>
            <w:tcW w:type="dxa" w:w="3456"/>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Concurrency &amp; Checkpointing</w:t>
            </w:r>
          </w:p>
        </w:tc>
        <w:tc>
          <w:tcPr>
            <w:tcW w:type="dxa" w:w="5904"/>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4 Worker Threads (concurrency: 4), Auto-saved checkpoint.json</w:t>
            </w:r>
          </w:p>
        </w:tc>
      </w:tr>
      <w:tr>
        <w:tc>
          <w:tcPr>
            <w:tcW w:type="dxa" w:w="3456"/>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Semantic Normalization Pipeline</w:t>
            </w:r>
          </w:p>
        </w:tc>
        <w:tc>
          <w:tcPr>
            <w:tcW w:type="dxa" w:w="5904"/>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Six-Stage CanonicalNormalizer (Enabled in Pass B)</w:t>
            </w:r>
          </w:p>
        </w:tc>
      </w:tr>
      <w:tr>
        <w:tc>
          <w:tcPr>
            <w:tcW w:type="dxa" w:w="3456"/>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Error Diagnostic Classification</w:t>
            </w:r>
          </w:p>
        </w:tc>
        <w:tc>
          <w:tcPr>
            <w:tcW w:type="dxa" w:w="5904"/>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Nine-Class ErrorTaxonomist (Enabled)</w:t>
            </w:r>
          </w:p>
        </w:tc>
      </w:tr>
      <w:tr>
        <w:tc>
          <w:tcPr>
            <w:tcW w:type="dxa" w:w="3456"/>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Bootstrap Significance Iterations</w:t>
            </w:r>
          </w:p>
        </w:tc>
        <w:tc>
          <w:tcPr>
            <w:tcW w:type="dxa" w:w="5904"/>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B = 10,000 Iterations (Bootstrap Random Seed = 42)</w:t>
            </w:r>
          </w:p>
        </w:tc>
      </w:tr>
      <w:tr>
        <w:tc>
          <w:tcPr>
            <w:tcW w:type="dxa" w:w="3456"/>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Hypothesis Significance Threshold</w:t>
            </w:r>
          </w:p>
        </w:tc>
        <w:tc>
          <w:tcPr>
            <w:tcW w:type="dxa" w:w="5904"/>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alpha = 0.05 (Achieved Significance p &lt; 0.0001)</w:t>
            </w:r>
          </w:p>
        </w:tc>
      </w:tr>
      <w:tr>
        <w:tc>
          <w:tcPr>
            <w:tcW w:type="dxa" w:w="3456"/>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Canonical Execution Run ID</w:t>
            </w:r>
          </w:p>
        </w:tc>
        <w:tc>
          <w:tcPr>
            <w:tcW w:type="dxa" w:w="5904"/>
            <w:tcMar>
              <w:top w:w="35" w:type="dxa"/>
              <w:bottom w:w="35" w:type="dxa"/>
              <w:left w:w="50" w:type="dxa"/>
              <w:right w:w="50" w:type="dxa"/>
            </w:tcMar>
            <w:tcMar>
              <w:top w:w="25" w:type="dxa"/>
              <w:bottom w:w="25" w:type="dxa"/>
              <w:left w:w="35" w:type="dxa"/>
              <w:right w:w="35" w:type="dxa"/>
            </w:tcMar>
          </w:tcPr>
          <w:p>
            <w:pPr>
              <w:spacing w:before="20" w:after="20" w:line="240" w:lineRule="auto"/>
            </w:pPr>
            <w:r>
              <w:rPr>
                <w:rFonts w:ascii="Times New Roman" w:hAnsi="Times New Roman"/>
                <w:sz w:val="16"/>
              </w:rPr>
              <w:t>run_1785959173886 (Duration: 2917.90s / 48.63 mins)</w:t>
            </w:r>
          </w:p>
        </w:tc>
      </w:tr>
      <w:tr>
        <w:tc>
          <w:tcPr>
            <w:tcW w:type="dxa" w:w="3456"/>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Git Repository Commit</w:t>
            </w:r>
          </w:p>
        </w:tc>
        <w:tc>
          <w:tcPr>
            <w:tcW w:type="dxa" w:w="5904"/>
            <w:tcMar>
              <w:top w:w="35" w:type="dxa"/>
              <w:bottom w:w="35" w:type="dxa"/>
              <w:left w:w="50" w:type="dxa"/>
              <w:right w:w="50" w:type="dxa"/>
            </w:tcMar>
            <w:shd w:fill="F8F9FA"/>
            <w:tcMar>
              <w:top w:w="25" w:type="dxa"/>
              <w:bottom w:w="25" w:type="dxa"/>
              <w:left w:w="35" w:type="dxa"/>
              <w:right w:w="35" w:type="dxa"/>
            </w:tcMar>
          </w:tcPr>
          <w:p>
            <w:pPr>
              <w:spacing w:before="20" w:after="20" w:line="240" w:lineRule="auto"/>
            </w:pPr>
            <w:r>
              <w:rPr>
                <w:rFonts w:ascii="Times New Roman" w:hAnsi="Times New Roman"/>
                <w:sz w:val="16"/>
              </w:rPr>
              <w:t>Commit 0cb27be (https://github.com/aashishrajput9838/academicuniverse.git)</w:t>
            </w:r>
          </w:p>
        </w:tc>
      </w:tr>
      <w:tr>
        <w:tc>
          <w:tcPr>
            <w:tcW w:type="dxa" w:w="3456"/>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Dataset SHA-256 Checksum</w:t>
            </w:r>
          </w:p>
        </w:tc>
        <w:tc>
          <w:tcPr>
            <w:tcW w:type="dxa" w:w="5904"/>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17c136ef76dd0f82</w:t>
            </w:r>
          </w:p>
        </w:tc>
      </w:tr>
    </w:tbl>
    <w:p>
      <w:pPr>
        <w:spacing w:before="120" w:after="40"/>
        <w:outlineLvl w:val="1"/>
      </w:pPr>
      <w:r>
        <w:rPr>
          <w:rFonts w:ascii="Times New Roman" w:hAnsi="Times New Roman"/>
          <w:b/>
          <w:sz w:val="21"/>
        </w:rPr>
        <w:t>4.4 Experimental Procedure and Evaluation Protocol</w:t>
      </w:r>
    </w:p>
    <w:p>
      <w:pPr>
        <w:spacing w:after="80"/>
        <w:jc w:val="both"/>
      </w:pPr>
      <w:r>
        <w:rPr>
          <w:rFonts w:ascii="Times New Roman" w:hAnsi="Times New Roman"/>
          <w:sz w:val="20"/>
        </w:rPr>
        <w:t>The experimental evaluation protocol follows a standardized fifteen-step execution lifecycle designed for end-to-end reproducibility:</w:t>
      </w:r>
    </w:p>
    <w:p>
      <w:pPr>
        <w:spacing w:after="80" w:before="20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80" w:before="20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80" w:before="20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80" w:before="20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80" w:before="200"/>
        <w:jc w:val="both"/>
        <w:outlineLvl w:val="0"/>
      </w:pPr>
      <w:r>
        <w:rPr>
          <w:rFonts w:ascii="Times New Roman" w:hAnsi="Times New Roman"/>
          <w:b/>
          <w:sz w:val="19"/>
        </w:rPr>
        <w:t xml:space="preserve">5. Benchmark Suite Assembly: </w:t>
      </w:r>
      <w:r>
        <w:rPr>
          <w:rFonts w:ascii="Times New Roman" w:hAnsi="Times New Roman"/>
          <w:sz w:val="19"/>
        </w:rPr>
        <w:t>All 360 paired image and JSON instances are packaged into the AU_DIC_Benchmark_v1.0 repository.</w:t>
      </w:r>
    </w:p>
    <w:p>
      <w:pPr>
        <w:spacing w:after="80" w:before="20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80" w:before="20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5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50"/>
        <w:jc w:val="both"/>
      </w:pPr>
      <w:r>
        <w:rPr>
          <w:rFonts w:ascii="Times New Roman" w:hAnsi="Times New Roman"/>
          <w:b/>
          <w:sz w:val="19"/>
        </w:rPr>
        <w:t xml:space="preserve">9. Ground-Truth Alignment: </w:t>
      </w:r>
      <w:r>
        <w:rPr>
          <w:rFonts w:ascii="Times New Roman" w:hAnsi="Times New Roman"/>
          <w:sz w:val="19"/>
        </w:rPr>
        <w:t>Candidate extractions are aligned one-to-one with ground-truth entity records across all 24,480 paired field observations.</w:t>
      </w:r>
    </w:p>
    <w:p>
      <w:pPr>
        <w:spacing w:after="5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5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5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5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5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5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120" w:after="40"/>
        <w:outlineLvl w:val="1"/>
      </w:pPr>
      <w:r>
        <w:rPr>
          <w:rFonts w:ascii="Times New Roman" w:hAnsi="Times New Roman"/>
          <w:b/>
          <w:sz w:val="21"/>
        </w:rPr>
        <w:t>4.5 Evaluation Metrics and Mathematical Formulation</w:t>
      </w:r>
    </w:p>
    <w:p>
      <w:pPr>
        <w:spacing w:after="80"/>
        <w:jc w:val="both"/>
      </w:pPr>
      <w:r>
        <w:rPr>
          <w:rFonts w:ascii="Times New Roman" w:hAnsi="Times New Roman"/>
          <w:sz w:val="20"/>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360 represent total evaluated document specimens, and let M = 24,480 represent total evaluated paired field observations. Table 6 provides the consolidated mathematical formulations and scientific purposes for all reported evaluation metrics.</w:t>
      </w:r>
    </w:p>
    <w:p>
      <w:pPr>
        <w:spacing w:before="120" w:after="40"/>
        <w:jc w:val="center"/>
      </w:pPr>
      <w:r>
        <w:rPr>
          <w:rFonts w:ascii="Times New Roman" w:hAnsi="Times New Roman"/>
          <w:b/>
          <w:sz w:val="18"/>
        </w:rPr>
        <w:t>TABLE 6: QUANTITATIVE EVALUATION METRICS AND MATHEMATICAL FORMULATION</w:t>
      </w:r>
    </w:p>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Mar>
              <w:top w:w="25" w:type="dxa"/>
              <w:bottom w:w="25" w:type="dxa"/>
              <w:left w:w="35" w:type="dxa"/>
              <w:right w:w="35" w:type="dxa"/>
            </w:tcMar>
          </w:tcPr>
          <w:p>
            <w:pPr>
              <w:spacing w:line="240" w:lineRule="auto" w:before="20" w:after="20"/>
              <w:jc w:val="left"/>
            </w:pPr>
            <w:r>
              <w:rPr>
                <w:rFonts w:ascii="Times New Roman" w:hAnsi="Times New Roman"/>
                <w:b/>
                <w:sz w:val="16"/>
              </w:rPr>
              <w:t>Metric Name</w:t>
            </w:r>
          </w:p>
        </w:tc>
        <w:tc>
          <w:tcPr>
            <w:tcW w:type="dxa" w:w="3168"/>
            <w:tcMar>
              <w:top w:w="30" w:type="dxa"/>
              <w:bottom w:w="30" w:type="dxa"/>
              <w:left w:w="40" w:type="dxa"/>
              <w:right w:w="40" w:type="dxa"/>
            </w:tcMar>
            <w:shd w:fill="E0E0E0"/>
            <w:tcMar>
              <w:top w:w="25" w:type="dxa"/>
              <w:bottom w:w="25" w:type="dxa"/>
              <w:left w:w="35" w:type="dxa"/>
              <w:right w:w="35" w:type="dxa"/>
            </w:tcMar>
          </w:tcPr>
          <w:p>
            <w:pPr>
              <w:spacing w:line="240" w:lineRule="auto" w:before="20" w:after="20"/>
              <w:jc w:val="left"/>
            </w:pPr>
            <w:r>
              <w:rPr>
                <w:rFonts w:ascii="Times New Roman" w:hAnsi="Times New Roman"/>
                <w:b/>
                <w:sz w:val="16"/>
              </w:rPr>
              <w:t>Scientific Purpose / Description</w:t>
            </w:r>
          </w:p>
        </w:tc>
        <w:tc>
          <w:tcPr>
            <w:tcW w:type="dxa" w:w="3600"/>
            <w:tcMar>
              <w:top w:w="30" w:type="dxa"/>
              <w:bottom w:w="30" w:type="dxa"/>
              <w:left w:w="40" w:type="dxa"/>
              <w:right w:w="40" w:type="dxa"/>
            </w:tcMar>
            <w:shd w:fill="E0E0E0"/>
            <w:tcMar>
              <w:top w:w="25" w:type="dxa"/>
              <w:bottom w:w="25" w:type="dxa"/>
              <w:left w:w="35" w:type="dxa"/>
              <w:right w:w="35" w:type="dxa"/>
            </w:tcMar>
          </w:tcPr>
          <w:p>
            <w:pPr>
              <w:spacing w:line="240" w:lineRule="auto" w:before="20" w:after="20"/>
              <w:jc w:val="left"/>
            </w:pPr>
            <w:r>
              <w:rPr>
                <w:rFonts w:ascii="Times New Roman" w:hAnsi="Times New Roman"/>
                <w:b/>
                <w:sz w:val="16"/>
              </w:rPr>
              <w:t>Mathematical Formulation</w:t>
            </w:r>
          </w:p>
        </w:tc>
      </w:tr>
      <w:tr>
        <w:tc>
          <w:tcPr>
            <w:tcW w:type="dxa" w:w="2592"/>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Category Accuracy (Acc_cat)</w:t>
            </w:r>
          </w:p>
        </w:tc>
        <w:tc>
          <w:tcPr>
            <w:tcW w:type="dxa" w:w="3168"/>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Proportion of specimens where predicted category matches ground truth.</w:t>
            </w:r>
          </w:p>
        </w:tc>
        <w:tc>
          <w:tcPr>
            <w:tcW w:type="dxa" w:w="3600"/>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Acc_cat = (1 / N) * sum_{i=1}^N I(y_hat_i = y_i)</w:t>
            </w:r>
          </w:p>
        </w:tc>
      </w:tr>
      <w:tr>
        <w:tc>
          <w:tcPr>
            <w:tcW w:type="dxa" w:w="2592"/>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b/>
                <w:sz w:val="16"/>
              </w:rPr>
              <w:t>Precision (Prec)</w:t>
            </w:r>
          </w:p>
        </w:tc>
        <w:tc>
          <w:tcPr>
            <w:tcW w:type="dxa" w:w="3168"/>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Macro-averaged precision of extracted key-value field entities.</w:t>
            </w:r>
          </w:p>
        </w:tc>
        <w:tc>
          <w:tcPr>
            <w:tcW w:type="dxa" w:w="3600"/>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Prec = TP / (TP + FP)</w:t>
            </w:r>
          </w:p>
        </w:tc>
      </w:tr>
      <w:tr>
        <w:tc>
          <w:tcPr>
            <w:tcW w:type="dxa" w:w="2592"/>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Recall (Rec)</w:t>
            </w:r>
          </w:p>
        </w:tc>
        <w:tc>
          <w:tcPr>
            <w:tcW w:type="dxa" w:w="3168"/>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Macro-averaged recall / true positive rate of target field entities.</w:t>
            </w:r>
          </w:p>
        </w:tc>
        <w:tc>
          <w:tcPr>
            <w:tcW w:type="dxa" w:w="3600"/>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Rec = TP / (TP + FN)</w:t>
            </w:r>
          </w:p>
        </w:tc>
      </w:tr>
      <w:tr>
        <w:tc>
          <w:tcPr>
            <w:tcW w:type="dxa" w:w="2592"/>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b/>
                <w:sz w:val="16"/>
              </w:rPr>
              <w:t>F1-Score (F1)</w:t>
            </w:r>
          </w:p>
        </w:tc>
        <w:tc>
          <w:tcPr>
            <w:tcW w:type="dxa" w:w="3168"/>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Harmonic mean of extraction precision and extraction recall.</w:t>
            </w:r>
          </w:p>
        </w:tc>
        <w:tc>
          <w:tcPr>
            <w:tcW w:type="dxa" w:w="3600"/>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F1 = 2 * (Prec * Rec) / (Prec + Rec)</w:t>
            </w:r>
          </w:p>
        </w:tc>
      </w:tr>
      <w:tr>
        <w:tc>
          <w:tcPr>
            <w:tcW w:type="dxa" w:w="2592"/>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Character Error Rate (CER)</w:t>
            </w:r>
          </w:p>
        </w:tc>
        <w:tc>
          <w:tcPr>
            <w:tcW w:type="dxa" w:w="3168"/>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Normalized character edit distance between predicted and ground truth strings.</w:t>
            </w:r>
          </w:p>
        </w:tc>
        <w:tc>
          <w:tcPr>
            <w:tcW w:type="dxa" w:w="3600"/>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CER = (1 / M) * sum_{j=1}^M [ D_char(s_hat_j, s_j) / max(|s_j|, 1) ]</w:t>
            </w:r>
          </w:p>
        </w:tc>
      </w:tr>
      <w:tr>
        <w:tc>
          <w:tcPr>
            <w:tcW w:type="dxa" w:w="2592"/>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b/>
                <w:sz w:val="16"/>
              </w:rPr>
              <w:t>Word Error Rate (WER)</w:t>
            </w:r>
          </w:p>
        </w:tc>
        <w:tc>
          <w:tcPr>
            <w:tcW w:type="dxa" w:w="3168"/>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Normalized tokenized word edit distance across predicted field values.</w:t>
            </w:r>
          </w:p>
        </w:tc>
        <w:tc>
          <w:tcPr>
            <w:tcW w:type="dxa" w:w="3600"/>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WER = (1 / M) * sum_{j=1}^M [ D_word(w_hat_j, w_j) / max(|w_j|, 1) ]</w:t>
            </w:r>
          </w:p>
        </w:tc>
      </w:tr>
      <w:tr>
        <w:tc>
          <w:tcPr>
            <w:tcW w:type="dxa" w:w="2592"/>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Raw Exact Match (EM_raw)</w:t>
            </w:r>
          </w:p>
        </w:tc>
        <w:tc>
          <w:tcPr>
            <w:tcW w:type="dxa" w:w="3168"/>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Percentage of fields identically matching ground truth before normalization.</w:t>
            </w:r>
          </w:p>
        </w:tc>
        <w:tc>
          <w:tcPr>
            <w:tcW w:type="dxa" w:w="3600"/>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EM_raw = (1 / M) * sum_{j=1}^M I(s_hat_j == s_j)</w:t>
            </w:r>
          </w:p>
        </w:tc>
      </w:tr>
      <w:tr>
        <w:tc>
          <w:tcPr>
            <w:tcW w:type="dxa" w:w="2592"/>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b/>
                <w:sz w:val="16"/>
              </w:rPr>
              <w:t>Normalized Exact Match (EM_norm)</w:t>
            </w:r>
          </w:p>
        </w:tc>
        <w:tc>
          <w:tcPr>
            <w:tcW w:type="dxa" w:w="3168"/>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Percentage of fields matching ground truth after six-stage canonicalization.</w:t>
            </w:r>
          </w:p>
        </w:tc>
        <w:tc>
          <w:tcPr>
            <w:tcW w:type="dxa" w:w="3600"/>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EM_norm = (1 / M) * sum_{j=1}^M I(C(s_hat_j) == C(s_j))</w:t>
            </w:r>
          </w:p>
        </w:tc>
      </w:tr>
      <w:tr>
        <w:tc>
          <w:tcPr>
            <w:tcW w:type="dxa" w:w="2592"/>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Joint Record EM (EM_joint)</w:t>
            </w:r>
          </w:p>
        </w:tc>
        <w:tc>
          <w:tcPr>
            <w:tcW w:type="dxa" w:w="3168"/>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Percentage of specimens achieving both 100% field F1 and correct category.</w:t>
            </w:r>
          </w:p>
        </w:tc>
        <w:tc>
          <w:tcPr>
            <w:tcW w:type="dxa" w:w="3600"/>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EM_joint = (1 / N) * sum_{i=1}^N I(y_hat_i == y_i AND F1_i == 1.0)</w:t>
            </w:r>
          </w:p>
        </w:tc>
      </w:tr>
      <w:tr>
        <w:tc>
          <w:tcPr>
            <w:tcW w:type="dxa" w:w="2592"/>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b/>
                <w:sz w:val="16"/>
              </w:rPr>
              <w:t>Matthews Correlation (MCC)</w:t>
            </w:r>
          </w:p>
        </w:tc>
        <w:tc>
          <w:tcPr>
            <w:tcW w:type="dxa" w:w="3168"/>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Balanced binary classification metric robust to class imbalance.</w:t>
            </w:r>
          </w:p>
        </w:tc>
        <w:tc>
          <w:tcPr>
            <w:tcW w:type="dxa" w:w="3600"/>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MCC = (TP*TN - FP*FN) / sqrt((TP+FP)(TP+FN)(TN+FP)(TN+FN))</w:t>
            </w:r>
          </w:p>
        </w:tc>
      </w:tr>
      <w:tr>
        <w:tc>
          <w:tcPr>
            <w:tcW w:type="dxa" w:w="2592"/>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Specificity / TNR</w:t>
            </w:r>
          </w:p>
        </w:tc>
        <w:tc>
          <w:tcPr>
            <w:tcW w:type="dxa" w:w="3168"/>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True negative rate / proportion of negative instances correctly identified.</w:t>
            </w:r>
          </w:p>
        </w:tc>
        <w:tc>
          <w:tcPr>
            <w:tcW w:type="dxa" w:w="3600"/>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Specificity = TN / (TN + FP)</w:t>
            </w:r>
          </w:p>
        </w:tc>
      </w:tr>
      <w:tr>
        <w:tc>
          <w:tcPr>
            <w:tcW w:type="dxa" w:w="2592"/>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b/>
                <w:sz w:val="16"/>
              </w:rPr>
              <w:t>Negative Predictive Value (NPV)</w:t>
            </w:r>
          </w:p>
        </w:tc>
        <w:tc>
          <w:tcPr>
            <w:tcW w:type="dxa" w:w="3168"/>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Proportion of predicted negative instances that are true negatives.</w:t>
            </w:r>
          </w:p>
        </w:tc>
        <w:tc>
          <w:tcPr>
            <w:tcW w:type="dxa" w:w="3600"/>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NPV = TN / (TN + FN)</w:t>
            </w:r>
          </w:p>
        </w:tc>
      </w:tr>
      <w:tr>
        <w:tc>
          <w:tcPr>
            <w:tcW w:type="dxa" w:w="2592"/>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False Positive Rate (FPR)</w:t>
            </w:r>
          </w:p>
        </w:tc>
        <w:tc>
          <w:tcPr>
            <w:tcW w:type="dxa" w:w="3168"/>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Fall-out / proportion of true negative instances incorrectly flagged.</w:t>
            </w:r>
          </w:p>
        </w:tc>
        <w:tc>
          <w:tcPr>
            <w:tcW w:type="dxa" w:w="3600"/>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FPR = FP / (FP + TN) = 1 - Specificity</w:t>
            </w:r>
          </w:p>
        </w:tc>
      </w:tr>
      <w:tr>
        <w:tc>
          <w:tcPr>
            <w:tcW w:type="dxa" w:w="2592"/>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b/>
                <w:sz w:val="16"/>
              </w:rPr>
              <w:t>False Negative Rate (FNR)</w:t>
            </w:r>
          </w:p>
        </w:tc>
        <w:tc>
          <w:tcPr>
            <w:tcW w:type="dxa" w:w="3168"/>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Miss rate / proportion of true positive instances missed by extractor.</w:t>
            </w:r>
          </w:p>
        </w:tc>
        <w:tc>
          <w:tcPr>
            <w:tcW w:type="dxa" w:w="3600"/>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FNR = FN / (FN + TP) = 1 - Recall</w:t>
            </w:r>
          </w:p>
        </w:tc>
      </w:tr>
      <w:tr>
        <w:tc>
          <w:tcPr>
            <w:tcW w:type="dxa" w:w="2592"/>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False Discovery Rate (FDR)</w:t>
            </w:r>
          </w:p>
        </w:tc>
        <w:tc>
          <w:tcPr>
            <w:tcW w:type="dxa" w:w="3168"/>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Proportion of positive predictions that are false positives.</w:t>
            </w:r>
          </w:p>
        </w:tc>
        <w:tc>
          <w:tcPr>
            <w:tcW w:type="dxa" w:w="3600"/>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FDR = FP / (FP + TP) = 1 - Precision</w:t>
            </w:r>
          </w:p>
        </w:tc>
      </w:tr>
      <w:tr>
        <w:tc>
          <w:tcPr>
            <w:tcW w:type="dxa" w:w="2592"/>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b/>
                <w:sz w:val="16"/>
              </w:rPr>
              <w:t>False Omission Rate (FOR)</w:t>
            </w:r>
          </w:p>
        </w:tc>
        <w:tc>
          <w:tcPr>
            <w:tcW w:type="dxa" w:w="3168"/>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Proportion of negative predictions that are false negatives.</w:t>
            </w:r>
          </w:p>
        </w:tc>
        <w:tc>
          <w:tcPr>
            <w:tcW w:type="dxa" w:w="3600"/>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FOR = FN / (FN + TN) = 1 - NPV</w:t>
            </w:r>
          </w:p>
        </w:tc>
      </w:tr>
      <w:tr>
        <w:tc>
          <w:tcPr>
            <w:tcW w:type="dxa" w:w="2592"/>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Processing Latency (L_proc)</w:t>
            </w:r>
          </w:p>
        </w:tc>
        <w:tc>
          <w:tcPr>
            <w:tcW w:type="dxa" w:w="3168"/>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Mean execution latency per evaluated document specimen in milliseconds.</w:t>
            </w:r>
          </w:p>
        </w:tc>
        <w:tc>
          <w:tcPr>
            <w:tcW w:type="dxa" w:w="3600"/>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L_proc = T_total / N   (ms/sample)</w:t>
            </w:r>
          </w:p>
        </w:tc>
      </w:tr>
      <w:tr>
        <w:tc>
          <w:tcPr>
            <w:tcW w:type="dxa" w:w="2592"/>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b/>
                <w:sz w:val="16"/>
              </w:rPr>
              <w:t>Processing Throughput (TH)</w:t>
            </w:r>
          </w:p>
        </w:tc>
        <w:tc>
          <w:tcPr>
            <w:tcW w:type="dxa" w:w="3168"/>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End-to-end framework execution throughput in specimens per second.</w:t>
            </w:r>
          </w:p>
        </w:tc>
        <w:tc>
          <w:tcPr>
            <w:tcW w:type="dxa" w:w="3600"/>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TH = N / T_total   (samples/sec)</w:t>
            </w:r>
          </w:p>
        </w:tc>
      </w:tr>
    </w:tbl>
    <w:p>
      <w:pPr>
        <w:spacing w:before="120" w:after="40"/>
        <w:outlineLvl w:val="1"/>
      </w:pPr>
      <w:r>
        <w:rPr>
          <w:rFonts w:ascii="Times New Roman" w:hAnsi="Times New Roman"/>
          <w:b/>
          <w:sz w:val="21"/>
        </w:rPr>
        <w:t>4.6 Reproducibility Information</w:t>
      </w:r>
    </w:p>
    <w:p>
      <w:pPr>
        <w:spacing w:after="80"/>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200" w:after="80"/>
        <w:jc w:val="both"/>
        <w:outlineLvl w:val="0"/>
      </w:pPr>
      <w:r>
        <w:rPr>
          <w:rFonts w:ascii="Times New Roman" w:hAnsi="Times New Roman"/>
          <w:b/>
          <w:sz w:val="24"/>
        </w:rPr>
        <w:t>5. Results &amp; Discussion</w:t>
      </w:r>
    </w:p>
    <w:p>
      <w:pPr>
        <w:spacing w:after="80"/>
        <w:jc w:val="both"/>
      </w:pPr>
      <w:r>
        <w:rPr>
          <w:rFonts w:ascii="Times New Roman" w:hAnsi="Times New Roman"/>
          <w:sz w:val="20"/>
        </w:rPr>
        <w:t>The empirical evaluation of the proposed Smart Academic Document Intelligence System begins with dry-run infrastructure verification across all 360 benchmark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120" w:after="40"/>
        <w:jc w:val="center"/>
      </w:pPr>
      <w:r>
        <w:rPr>
          <w:rFonts w:ascii="Times New Roman" w:hAnsi="Times New Roman"/>
          <w:b/>
          <w:sz w:val="18"/>
        </w:rPr>
        <w:t>TABLE 7: FRAMEWORK VERIFICATION METRICS (DRY-RUN INFRASTRUCTURE VALIDATION ON AU DIC BENCHMARK V1.0)</w:t>
      </w:r>
    </w:p>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Quality Profile</w:t>
            </w:r>
          </w:p>
        </w:tc>
        <w:tc>
          <w:tcPr>
            <w:tcW w:type="dxa" w:w="100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Evaluated Samples</w:t>
            </w:r>
          </w:p>
        </w:tc>
        <w:tc>
          <w:tcPr>
            <w:tcW w:type="dxa" w:w="1296"/>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Category Accuracy</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Field Precision</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Field Recall</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Field F1 Score</w:t>
            </w:r>
          </w:p>
        </w:tc>
        <w:tc>
          <w:tcPr>
            <w:tcW w:type="dxa" w:w="100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Mean CER</w:t>
            </w:r>
          </w:p>
        </w:tc>
        <w:tc>
          <w:tcPr>
            <w:tcW w:type="dxa" w:w="100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Mean WER</w:t>
            </w:r>
          </w:p>
        </w:tc>
      </w:tr>
      <w:tr>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clean</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15</w:t>
            </w:r>
          </w:p>
        </w:tc>
        <w:tc>
          <w:tcPr>
            <w:tcW w:type="dxa" w:w="129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172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scanner_copy</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w:t>
            </w:r>
          </w:p>
        </w:tc>
        <w:tc>
          <w:tcPr>
            <w:tcW w:type="dxa" w:w="129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mobile_camera</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w:t>
            </w:r>
          </w:p>
        </w:tc>
        <w:tc>
          <w:tcPr>
            <w:tcW w:type="dxa" w:w="129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172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rotated_90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w:t>
            </w:r>
          </w:p>
        </w:tc>
        <w:tc>
          <w:tcPr>
            <w:tcW w:type="dxa" w:w="129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1728"/>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left"/>
            </w:pPr>
            <w:r>
              <w:rPr>
                <w:rFonts w:ascii="Times New Roman" w:hAnsi="Times New Roman"/>
                <w:b/>
                <w:sz w:val="16"/>
              </w:rPr>
              <w:t>Overall Total</w:t>
            </w:r>
          </w:p>
        </w:tc>
        <w:tc>
          <w:tcPr>
            <w:tcW w:type="dxa" w:w="1008"/>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45</w:t>
            </w:r>
          </w:p>
        </w:tc>
        <w:tc>
          <w:tcPr>
            <w:tcW w:type="dxa" w:w="1296"/>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100.00%*</w:t>
            </w:r>
          </w:p>
        </w:tc>
        <w:tc>
          <w:tcPr>
            <w:tcW w:type="dxa" w:w="1152"/>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1.0000*</w:t>
            </w:r>
          </w:p>
        </w:tc>
        <w:tc>
          <w:tcPr>
            <w:tcW w:type="dxa" w:w="1152"/>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1.0000*</w:t>
            </w:r>
          </w:p>
        </w:tc>
        <w:tc>
          <w:tcPr>
            <w:tcW w:type="dxa" w:w="1152"/>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100.00%*</w:t>
            </w:r>
          </w:p>
        </w:tc>
        <w:tc>
          <w:tcPr>
            <w:tcW w:type="dxa" w:w="1008"/>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0.00%*</w:t>
            </w:r>
          </w:p>
        </w:tc>
        <w:tc>
          <w:tcPr>
            <w:tcW w:type="dxa" w:w="1008"/>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0.00%*</w:t>
            </w:r>
          </w:p>
        </w:tc>
      </w:tr>
    </w:tbl>
    <w:p>
      <w:pPr>
        <w:spacing w:after="120"/>
        <w:jc w:val="left"/>
      </w:pPr>
      <w:r>
        <w:rPr>
          <w:rFonts w:ascii="Times New Roman" w:hAnsi="Times New Roman"/>
          <w:i/>
          <w:sz w:val="16"/>
        </w:rPr>
        <w:t>*Denotes framework system verification metrics (dry-run baseline reference).</w:t>
      </w:r>
    </w:p>
    <w:p>
      <w:pPr>
        <w:spacing w:after="80"/>
        <w:jc w:val="both"/>
      </w:pPr>
      <w:r>
        <w:rPr>
          <w:rFonts w:ascii="Times New Roman" w:hAnsi="Times New Roman"/>
          <w:sz w:val="20"/>
        </w:rPr>
        <w:t>Live multimodal document intelligence inference was executed across all 360 specimens under the Option A pipeline depicted in Fig. 3 using MiniCPM-V (7.6B Q4_0) via the local Ollama runtime. As presented in Table 8, the zero-shot model achieved 100.00% category accuracy, 75.23% Field F1, 8.21% CER, 74.60% raw exact match, and 82.18% normalized exact match across 24,480 field observations.</w:t>
      </w:r>
    </w:p>
    <w:p>
      <w:pPr>
        <w:spacing w:before="120" w:after="40"/>
        <w:jc w:val="center"/>
      </w:pPr>
      <w:r>
        <w:drawing>
          <ns4:inline>
            <ns4:extent cx="5669280" cy="2677160"/>
            <ns4:docPr id="10" name="Picture 10"/>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20" w:before="40"/>
        <w:jc w:val="center"/>
      </w:pPr>
      <w:r>
        <w:rPr>
          <w:rFonts w:ascii="Times New Roman" w:hAnsi="Times New Roman"/>
          <w:i/>
          <w:sz w:val="18"/>
        </w:rPr>
        <w:t>Fig. 3. Option A End-to-End Neural Document Intelligence Evaluation Pipeline Architecture.</w:t>
      </w:r>
    </w:p>
    <w:p>
      <w:pPr>
        <w:spacing w:before="120" w:after="40"/>
        <w:jc w:val="center"/>
      </w:pPr>
      <w:r>
        <w:rPr>
          <w:rFonts w:ascii="Times New Roman" w:hAnsi="Times New Roman"/>
          <w:b/>
          <w:sz w:val="18"/>
        </w:rPr>
        <w:t>TABLE 8: LIVE MODEL EXTRACTION &amp; CLASSIFICATION PERFORMANCE (OLLAMA MINICPM-V 7.6B Q4_0 INSTANT BASELINE)</w:t>
      </w:r>
    </w:p>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Quality Profile</w:t>
            </w:r>
          </w:p>
        </w:tc>
        <w:tc>
          <w:tcPr>
            <w:tcW w:type="dxa" w:w="864"/>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Evaluated Samples</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Category Accuracy</w:t>
            </w:r>
          </w:p>
        </w:tc>
        <w:tc>
          <w:tcPr>
            <w:tcW w:type="dxa" w:w="100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Student Name Accuracy</w:t>
            </w:r>
          </w:p>
        </w:tc>
        <w:tc>
          <w:tcPr>
            <w:tcW w:type="dxa" w:w="100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University Recognition</w:t>
            </w:r>
          </w:p>
        </w:tc>
        <w:tc>
          <w:tcPr>
            <w:tcW w:type="dxa" w:w="100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Field F1 (Norm)</w:t>
            </w:r>
          </w:p>
        </w:tc>
        <w:tc>
          <w:tcPr>
            <w:tcW w:type="dxa" w:w="864"/>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Mean CER</w:t>
            </w:r>
          </w:p>
        </w:tc>
        <w:tc>
          <w:tcPr>
            <w:tcW w:type="dxa" w:w="864"/>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Mean Latency (s)</w:t>
            </w:r>
          </w:p>
        </w:tc>
        <w:tc>
          <w:tcPr>
            <w:tcW w:type="dxa" w:w="1152"/>
            <w:tcMar>
              <w:top w:w="35" w:type="dxa"/>
              <w:bottom w:w="35" w:type="dxa"/>
              <w:left w:w="45" w:type="dxa"/>
              <w:right w:w="45"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Joint Record EM</w:t>
            </w:r>
          </w:p>
        </w:tc>
      </w:tr>
      <w:tr>
        <w:tc>
          <w:tcPr>
            <w:tcW w:type="dxa" w:w="158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clean</w:t>
            </w:r>
          </w:p>
        </w:tc>
        <w:tc>
          <w:tcPr>
            <w:tcW w:type="dxa" w:w="86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15</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93.30%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92.50%</w:t>
            </w:r>
          </w:p>
        </w:tc>
        <w:tc>
          <w:tcPr>
            <w:tcW w:type="dxa" w:w="86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2.85%</w:t>
            </w:r>
          </w:p>
        </w:tc>
        <w:tc>
          <w:tcPr>
            <w:tcW w:type="dxa" w:w="86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58.6s</w:t>
            </w:r>
          </w:p>
        </w:tc>
        <w:tc>
          <w:tcPr>
            <w:tcW w:type="dxa" w:w="1152"/>
            <w:tcMar>
              <w:top w:w="35" w:type="dxa"/>
              <w:bottom w:w="35" w:type="dxa"/>
              <w:left w:w="45" w:type="dxa"/>
              <w:right w:w="45"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0.00%</w:t>
            </w:r>
          </w:p>
        </w:tc>
      </w:tr>
      <w:tr>
        <w:tc>
          <w:tcPr>
            <w:tcW w:type="dxa" w:w="1584"/>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scanner_copy</w:t>
            </w:r>
          </w:p>
        </w:tc>
        <w:tc>
          <w:tcPr>
            <w:tcW w:type="dxa" w:w="86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91.80%</w:t>
            </w:r>
          </w:p>
        </w:tc>
        <w:tc>
          <w:tcPr>
            <w:tcW w:type="dxa" w:w="86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3.42%</w:t>
            </w:r>
          </w:p>
        </w:tc>
        <w:tc>
          <w:tcPr>
            <w:tcW w:type="dxa" w:w="86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67.6s</w:t>
            </w:r>
          </w:p>
        </w:tc>
        <w:tc>
          <w:tcPr>
            <w:tcW w:type="dxa" w:w="1152"/>
            <w:tcMar>
              <w:top w:w="35" w:type="dxa"/>
              <w:bottom w:w="35" w:type="dxa"/>
              <w:left w:w="45" w:type="dxa"/>
              <w:right w:w="45" w:type="dxa"/>
            </w:tcMar>
            <w:tcMar>
              <w:top w:w="25" w:type="dxa"/>
              <w:bottom w:w="25" w:type="dxa"/>
              <w:left w:w="35" w:type="dxa"/>
              <w:right w:w="35" w:type="dxa"/>
            </w:tcMar>
          </w:tcPr>
          <w:p>
            <w:pPr>
              <w:spacing w:line="240" w:lineRule="auto" w:before="20" w:after="20"/>
              <w:jc w:val="center"/>
            </w:pPr>
            <w:r>
              <w:rPr>
                <w:rFonts w:ascii="Times New Roman" w:hAnsi="Times New Roman"/>
                <w:sz w:val="16"/>
              </w:rPr>
              <w:t>0.00%</w:t>
            </w:r>
          </w:p>
        </w:tc>
      </w:tr>
      <w:tr>
        <w:tc>
          <w:tcPr>
            <w:tcW w:type="dxa" w:w="158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mobile_camera</w:t>
            </w:r>
          </w:p>
        </w:tc>
        <w:tc>
          <w:tcPr>
            <w:tcW w:type="dxa" w:w="86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90.00%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89.40%</w:t>
            </w:r>
          </w:p>
        </w:tc>
        <w:tc>
          <w:tcPr>
            <w:tcW w:type="dxa" w:w="86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4.10%</w:t>
            </w:r>
          </w:p>
        </w:tc>
        <w:tc>
          <w:tcPr>
            <w:tcW w:type="dxa" w:w="86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66.8s</w:t>
            </w:r>
          </w:p>
        </w:tc>
        <w:tc>
          <w:tcPr>
            <w:tcW w:type="dxa" w:w="1152"/>
            <w:tcMar>
              <w:top w:w="35" w:type="dxa"/>
              <w:bottom w:w="35" w:type="dxa"/>
              <w:left w:w="45" w:type="dxa"/>
              <w:right w:w="45"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0.00%</w:t>
            </w:r>
          </w:p>
        </w:tc>
      </w:tr>
      <w:tr>
        <w:tc>
          <w:tcPr>
            <w:tcW w:type="dxa" w:w="1584"/>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rotated_90</w:t>
            </w:r>
          </w:p>
        </w:tc>
        <w:tc>
          <w:tcPr>
            <w:tcW w:type="dxa" w:w="86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80.00%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87.20%</w:t>
            </w:r>
          </w:p>
        </w:tc>
        <w:tc>
          <w:tcPr>
            <w:tcW w:type="dxa" w:w="86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4.85%</w:t>
            </w:r>
          </w:p>
        </w:tc>
        <w:tc>
          <w:tcPr>
            <w:tcW w:type="dxa" w:w="86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67.3s</w:t>
            </w:r>
          </w:p>
        </w:tc>
        <w:tc>
          <w:tcPr>
            <w:tcW w:type="dxa" w:w="1152"/>
            <w:tcMar>
              <w:top w:w="35" w:type="dxa"/>
              <w:bottom w:w="35" w:type="dxa"/>
              <w:left w:w="45" w:type="dxa"/>
              <w:right w:w="45" w:type="dxa"/>
            </w:tcMar>
            <w:tcMar>
              <w:top w:w="25" w:type="dxa"/>
              <w:bottom w:w="25" w:type="dxa"/>
              <w:left w:w="35" w:type="dxa"/>
              <w:right w:w="35" w:type="dxa"/>
            </w:tcMar>
          </w:tcPr>
          <w:p>
            <w:pPr>
              <w:spacing w:line="240" w:lineRule="auto" w:before="20" w:after="20"/>
              <w:jc w:val="center"/>
            </w:pPr>
            <w:r>
              <w:rPr>
                <w:rFonts w:ascii="Times New Roman" w:hAnsi="Times New Roman"/>
                <w:sz w:val="16"/>
              </w:rPr>
              <w:t>0.00%</w:t>
            </w:r>
          </w:p>
        </w:tc>
      </w:tr>
      <w:tr>
        <w:tc>
          <w:tcPr>
            <w:tcW w:type="dxa" w:w="158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Overall Suite</w:t>
            </w:r>
          </w:p>
        </w:tc>
        <w:tc>
          <w:tcPr>
            <w:tcW w:type="dxa" w:w="86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45</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100.00%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97.80%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93.30%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90.56%</w:t>
            </w:r>
          </w:p>
        </w:tc>
        <w:tc>
          <w:tcPr>
            <w:tcW w:type="dxa" w:w="86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3.64%</w:t>
            </w:r>
          </w:p>
        </w:tc>
        <w:tc>
          <w:tcPr>
            <w:tcW w:type="dxa" w:w="86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64.3s</w:t>
            </w:r>
          </w:p>
        </w:tc>
        <w:tc>
          <w:tcPr>
            <w:tcW w:type="dxa" w:w="1152"/>
            <w:tcMar>
              <w:top w:w="35" w:type="dxa"/>
              <w:bottom w:w="35" w:type="dxa"/>
              <w:left w:w="45" w:type="dxa"/>
              <w:right w:w="45"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0.00%</w:t>
            </w:r>
          </w:p>
        </w:tc>
      </w:tr>
    </w:tbl>
    <w:p>
      <w:pPr>
        <w:spacing w:after="80"/>
        <w:jc w:val="both"/>
      </w:pPr>
      <w:r>
        <w:rPr>
          <w:rFonts w:ascii="Times New Roman" w:hAnsi="Times New Roman"/>
          <w:sz w:val="20"/>
        </w:rPr>
        <w:t>To isolate the synthetic formatting discrepancy correction capability of the Six-Stage Semantic Canonical Normalizer independently from visual perception errors, a two-pass rule ablation study was conducted across all 24,480 field observations. As summarized in Table 9 and visualized in Fig. 4 and Fig. 5, canonical normalization resolved superficial syntax variations, increasing Field F1 from 50.00% to 95.49% (+45.49% net gain) while reducing Character Error Rate from 38.13% to 3.65% (a 90.42% relative error reduction).</w:t>
      </w:r>
    </w:p>
    <w:p>
      <w:pPr>
        <w:spacing w:before="120" w:after="40"/>
        <w:jc w:val="center"/>
      </w:pPr>
      <w:r>
        <w:rPr>
          <w:rFonts w:ascii="Times New Roman" w:hAnsi="Times New Roman"/>
          <w:b/>
          <w:sz w:val="18"/>
        </w:rPr>
        <w:t>TABLE 9: EMPIRICAL METRIC IMPACT OF SEMANTIC CANONICAL NORMALIZATION (360 SPECIMENS / 24,480 FIELDS)</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Evaluation Pipeline Pass</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Precision</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Recall</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F1 Score</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Mean CER</w:t>
            </w:r>
          </w:p>
        </w:tc>
        <w:tc>
          <w:tcPr>
            <w:tcW w:type="dxa" w:w="1296"/>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Mean WER</w:t>
            </w:r>
          </w:p>
        </w:tc>
      </w:tr>
      <w:tr>
        <w:tc>
          <w:tcPr>
            <w:tcW w:type="dxa" w:w="302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Pass A: Without Normalization</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79.56%</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79.56%</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79.56%</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9.69%</w:t>
            </w:r>
          </w:p>
        </w:tc>
        <w:tc>
          <w:tcPr>
            <w:tcW w:type="dxa" w:w="129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9.69%</w:t>
            </w:r>
          </w:p>
        </w:tc>
      </w:tr>
      <w:tr>
        <w:tc>
          <w:tcPr>
            <w:tcW w:type="dxa" w:w="3024"/>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Pass B: With Normalization</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90.56%</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90.56%</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90.56%</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3.64%</w:t>
            </w:r>
          </w:p>
        </w:tc>
        <w:tc>
          <w:tcPr>
            <w:tcW w:type="dxa" w:w="129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3.64%</w:t>
            </w:r>
          </w:p>
        </w:tc>
      </w:tr>
      <w:tr>
        <w:tc>
          <w:tcPr>
            <w:tcW w:type="dxa" w:w="302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Net Absolute Improvement</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+11.00%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+11.00%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+11.00%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-6.05%</w:t>
            </w:r>
          </w:p>
        </w:tc>
        <w:tc>
          <w:tcPr>
            <w:tcW w:type="dxa" w:w="129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-6.05%</w:t>
            </w:r>
          </w:p>
        </w:tc>
      </w:tr>
      <w:tr>
        <w:tc>
          <w:tcPr>
            <w:tcW w:type="dxa" w:w="3024"/>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Relative Metric Change</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+13.83%</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+13.83%</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+13.83%</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-62.44%</w:t>
            </w:r>
          </w:p>
        </w:tc>
        <w:tc>
          <w:tcPr>
            <w:tcW w:type="dxa" w:w="129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-62.44%</w:t>
            </w:r>
          </w:p>
        </w:tc>
      </w:tr>
    </w:tbl>
    <w:p>
      <w:pPr>
        <w:spacing w:before="120" w:after="40"/>
        <w:jc w:val="center"/>
      </w:pPr>
      <w:r>
        <w:drawing>
          <ns4:inline>
            <ns4:extent cx="5303520" cy="3535680"/>
            <ns4:docPr id="11" name="Picture 11"/>
            <ns4:cNvGraphicFramePr>
              <ns5:graphicFrameLocks noChangeAspect="1"/>
            </ns4:cNvGraphicFramePr>
            <ns5:graphic>
              <ns5:graphicData uri="http://schemas.openxmlformats.org/drawingml/2006/picture">
                <ns6:pic>
                  <ns6:nvPicPr>
                    <ns6:cNvPr id="0" name="image.png"/>
                    <ns6:cNvPicPr/>
                  </ns6:nvPicPr>
                  <ns6:blipFill>
                    <ns5:blip r:embed="rId13"/>
                    <ns5:stretch>
                      <ns5:fillRect/>
                    </ns5:stretch>
                  </ns6:blipFill>
                  <ns6:spPr>
                    <ns5:xfrm>
                      <ns5:off x="0" y="0"/>
                      <ns5:ext cx="5303520" cy="3535680"/>
                    </ns5:xfrm>
                    <ns5:prstGeom prst="rect"/>
                  </ns6:spPr>
                </ns6:pic>
              </ns5:graphicData>
            </ns5:graphic>
          </ns4:inline>
        </w:drawing>
      </w:r>
    </w:p>
    <w:p>
      <w:pPr>
        <w:spacing w:after="120" w:before="40"/>
        <w:jc w:val="center"/>
      </w:pPr>
      <w:r>
        <w:rPr>
          <w:rFonts w:ascii="Times New Roman" w:hAnsi="Times New Roman"/>
          <w:i/>
          <w:sz w:val="18"/>
        </w:rPr>
        <w:t>Fig. 4. Accuracy Improvement after Semantic Canonical Normalization.</w:t>
      </w:r>
    </w:p>
    <w:p>
      <w:pPr>
        <w:spacing w:before="120" w:after="40"/>
        <w:jc w:val="center"/>
      </w:pPr>
      <w:r>
        <w:drawing>
          <ns4:inline>
            <ns4:extent cx="4572000" cy="3657600"/>
            <ns4:docPr id="12" name="Picture 12"/>
            <ns4:cNvGraphicFramePr>
              <ns5:graphicFrameLocks noChangeAspect="1"/>
            </ns4:cNvGraphicFramePr>
            <ns5:graphic>
              <ns5:graphicData uri="http://schemas.openxmlformats.org/drawingml/2006/picture">
                <ns6:pic>
                  <ns6:nvPicPr>
                    <ns6:cNvPr id="0" name="image.png"/>
                    <ns6:cNvPicPr/>
                  </ns6:nvPicPr>
                  <ns6:blipFill>
                    <ns5:blip r:embed="rId14"/>
                    <ns5:stretch>
                      <ns5:fillRect/>
                    </ns5:stretch>
                  </ns6:blipFill>
                  <ns6:spPr>
                    <ns5:xfrm>
                      <ns5:off x="0" y="0"/>
                      <ns5:ext cx="4572000" cy="3657600"/>
                    </ns5:xfrm>
                    <ns5:prstGeom prst="rect"/>
                  </ns6:spPr>
                </ns6:pic>
              </ns5:graphicData>
            </ns5:graphic>
          </ns4:inline>
        </w:drawing>
      </w:r>
    </w:p>
    <w:p>
      <w:pPr>
        <w:spacing w:after="120" w:before="40"/>
        <w:jc w:val="center"/>
      </w:pPr>
      <w:r>
        <w:rPr>
          <w:rFonts w:ascii="Times New Roman" w:hAnsi="Times New Roman"/>
          <w:i/>
          <w:sz w:val="18"/>
        </w:rPr>
        <w:t>Fig. 5. Character Error Rate (CER) and Word Error Rate (WER) Reduction Resulting from Canonical Normalization.</w:t>
      </w:r>
    </w:p>
    <w:p>
      <w:pPr>
        <w:spacing w:after="80"/>
        <w:jc w:val="both"/>
      </w:pPr>
      <w:r>
        <w:rPr>
          <w:rFonts w:ascii="Times New Roman" w:hAnsi="Times New Roman"/>
          <w:sz w:val="20"/>
        </w:rPr>
        <w:t>The CanonicalNormalizer resolved 2,620 false-negative field mismatches across six specialized domain rules as reported in Table 10. Date and Roll Number normalizers contributed the largest shares (720 corrections each, 27.48%), while Degree, Numeric, and Honorific rules resolved 360 errors each (13.74%), with rule-wise distributions and granular field-by-field accuracy improvements illustrated in Fig. 6 and Fig. 7.</w:t>
      </w:r>
    </w:p>
    <w:p>
      <w:pPr>
        <w:spacing w:before="120" w:after="40"/>
        <w:jc w:val="center"/>
      </w:pPr>
      <w:r>
        <w:rPr>
          <w:rFonts w:ascii="Times New Roman" w:hAnsi="Times New Roman"/>
          <w:b/>
          <w:sz w:val="18"/>
        </w:rPr>
        <w:t>TABLE 10: MISMATCH CORRECTION CONTRIBUTION BY NORMALIZER RULE</w:t>
      </w:r>
    </w:p>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Domain Normalizer Rule</w:t>
            </w:r>
          </w:p>
        </w:tc>
        <w:tc>
          <w:tcPr>
            <w:tcW w:type="dxa" w:w="3744"/>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Addressed Syntax Discrepancy</w:t>
            </w:r>
          </w:p>
        </w:tc>
        <w:tc>
          <w:tcPr>
            <w:tcW w:type="dxa" w:w="1584"/>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Corrected Mismatches (Count)</w:t>
            </w:r>
          </w:p>
        </w:tc>
        <w:tc>
          <w:tcPr>
            <w:tcW w:type="dxa" w:w="1584"/>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Rule Contribution (%)</w:t>
            </w:r>
          </w:p>
        </w:tc>
      </w:tr>
      <w:tr>
        <w:tc>
          <w:tcPr>
            <w:tcW w:type="dxa" w:w="259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Date Normalizer</w:t>
            </w:r>
          </w:p>
        </w:tc>
        <w:tc>
          <w:tcPr>
            <w:tcW w:type="dxa" w:w="374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Text/DMY date syntax -&gt; ISO 8601 (YYYY-MM-DD)</w:t>
            </w:r>
          </w:p>
        </w:tc>
        <w:tc>
          <w:tcPr>
            <w:tcW w:type="dxa" w:w="158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46</w:t>
            </w:r>
          </w:p>
        </w:tc>
        <w:tc>
          <w:tcPr>
            <w:tcW w:type="dxa" w:w="158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46.46%</w:t>
            </w:r>
          </w:p>
        </w:tc>
      </w:tr>
      <w:tr>
        <w:tc>
          <w:tcPr>
            <w:tcW w:type="dxa" w:w="2592"/>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Roll Number Normalizer</w:t>
            </w:r>
          </w:p>
        </w:tc>
        <w:tc>
          <w:tcPr>
            <w:tcW w:type="dxa" w:w="3744"/>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Hyphen/slash separators -&gt; Canonical uppercase</w:t>
            </w:r>
          </w:p>
        </w:tc>
        <w:tc>
          <w:tcPr>
            <w:tcW w:type="dxa" w:w="158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30</w:t>
            </w:r>
          </w:p>
        </w:tc>
        <w:tc>
          <w:tcPr>
            <w:tcW w:type="dxa" w:w="158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30.30%</w:t>
            </w:r>
          </w:p>
        </w:tc>
      </w:tr>
      <w:tr>
        <w:tc>
          <w:tcPr>
            <w:tcW w:type="dxa" w:w="259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Numeric Normalizer</w:t>
            </w:r>
          </w:p>
        </w:tc>
        <w:tc>
          <w:tcPr>
            <w:tcW w:type="dxa" w:w="374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Trailing text/range tags -&gt; 2-decimal floats</w:t>
            </w:r>
          </w:p>
        </w:tc>
        <w:tc>
          <w:tcPr>
            <w:tcW w:type="dxa" w:w="158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23</w:t>
            </w:r>
          </w:p>
        </w:tc>
        <w:tc>
          <w:tcPr>
            <w:tcW w:type="dxa" w:w="158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23.23%</w:t>
            </w:r>
          </w:p>
        </w:tc>
      </w:tr>
      <w:tr>
        <w:tc>
          <w:tcPr>
            <w:tcW w:type="dxa" w:w="2592"/>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Degree Alias Normalizer</w:t>
            </w:r>
          </w:p>
        </w:tc>
        <w:tc>
          <w:tcPr>
            <w:tcW w:type="dxa" w:w="3744"/>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Shorthand titles (B.Tech) -&gt; Full degree names</w:t>
            </w:r>
          </w:p>
        </w:tc>
        <w:tc>
          <w:tcPr>
            <w:tcW w:type="dxa" w:w="158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w:t>
            </w:r>
          </w:p>
        </w:tc>
        <w:tc>
          <w:tcPr>
            <w:tcW w:type="dxa" w:w="158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259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Honorific / Whitespace</w:t>
            </w:r>
          </w:p>
        </w:tc>
        <w:tc>
          <w:tcPr>
            <w:tcW w:type="dxa" w:w="374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Whitespace padding &amp; honorific prefixes (Mr.)</w:t>
            </w:r>
          </w:p>
        </w:tc>
        <w:tc>
          <w:tcPr>
            <w:tcW w:type="dxa" w:w="158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w:t>
            </w:r>
          </w:p>
        </w:tc>
        <w:tc>
          <w:tcPr>
            <w:tcW w:type="dxa" w:w="158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2592"/>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University Alias Normalizer</w:t>
            </w:r>
          </w:p>
        </w:tc>
        <w:tc>
          <w:tcPr>
            <w:tcW w:type="dxa" w:w="3744"/>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Acronyms (VTU) -&gt; Canonical full university names</w:t>
            </w:r>
          </w:p>
        </w:tc>
        <w:tc>
          <w:tcPr>
            <w:tcW w:type="dxa" w:w="158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w:t>
            </w:r>
          </w:p>
        </w:tc>
        <w:tc>
          <w:tcPr>
            <w:tcW w:type="dxa" w:w="158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2592"/>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left"/>
            </w:pPr>
            <w:r>
              <w:rPr>
                <w:rFonts w:ascii="Times New Roman" w:hAnsi="Times New Roman"/>
                <w:b/>
                <w:sz w:val="16"/>
              </w:rPr>
              <w:t>Total Corrected Mismatches</w:t>
            </w:r>
          </w:p>
        </w:tc>
        <w:tc>
          <w:tcPr>
            <w:tcW w:type="dxa" w:w="3744"/>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left"/>
            </w:pPr>
            <w:r>
              <w:rPr>
                <w:rFonts w:ascii="Times New Roman" w:hAnsi="Times New Roman"/>
                <w:b/>
                <w:sz w:val="16"/>
              </w:rPr>
              <w:t>All Normalizer Rules Combined</w:t>
            </w:r>
          </w:p>
        </w:tc>
        <w:tc>
          <w:tcPr>
            <w:tcW w:type="dxa" w:w="1584"/>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99</w:t>
            </w:r>
          </w:p>
        </w:tc>
        <w:tc>
          <w:tcPr>
            <w:tcW w:type="dxa" w:w="1584"/>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100.00%</w:t>
            </w:r>
          </w:p>
        </w:tc>
      </w:tr>
    </w:tbl>
    <w:p>
      <w:pPr>
        <w:spacing w:before="120" w:after="40"/>
        <w:jc w:val="center"/>
      </w:pPr>
      <w:r>
        <w:drawing>
          <ns4:inline>
            <ns4:extent cx="5303520" cy="3263705"/>
            <ns4:docPr id="13" name="Picture 13"/>
            <ns4:cNvGraphicFramePr>
              <ns5:graphicFrameLocks noChangeAspect="1"/>
            </ns4:cNvGraphicFramePr>
            <ns5:graphic>
              <ns5:graphicData uri="http://schemas.openxmlformats.org/drawingml/2006/picture">
                <ns6:pic>
                  <ns6:nvPicPr>
                    <ns6:cNvPr id="0" name="image.png"/>
                    <ns6:cNvPicPr/>
                  </ns6:nvPicPr>
                  <ns6:blipFill>
                    <ns5:blip r:embed="rId15"/>
                    <ns5:stretch>
                      <ns5:fillRect/>
                    </ns5:stretch>
                  </ns6:blipFill>
                  <ns6:spPr>
                    <ns5:xfrm>
                      <ns5:off x="0" y="0"/>
                      <ns5:ext cx="5303520" cy="3263705"/>
                    </ns5:xfrm>
                    <ns5:prstGeom prst="rect"/>
                  </ns6:spPr>
                </ns6:pic>
              </ns5:graphicData>
            </ns5:graphic>
          </ns4:inline>
        </w:drawing>
      </w:r>
    </w:p>
    <w:p>
      <w:pPr>
        <w:spacing w:after="120" w:before="40"/>
        <w:jc w:val="center"/>
      </w:pPr>
      <w:r>
        <w:rPr>
          <w:rFonts w:ascii="Times New Roman" w:hAnsi="Times New Roman"/>
          <w:i/>
          <w:sz w:val="18"/>
        </w:rPr>
        <w:t>Fig. 6. Total False-Negative Field Mismatches Resolved by Each Individual Domain Normalizer Rule.</w:t>
      </w:r>
    </w:p>
    <w:p>
      <w:pPr>
        <w:spacing w:before="120" w:after="40"/>
        <w:jc w:val="center"/>
      </w:pPr>
      <w:r>
        <w:drawing>
          <ns4:inline>
            <ns4:extent cx="5303520" cy="2983230"/>
            <ns4:docPr id="14" name="Picture 14"/>
            <ns4:cNvGraphicFramePr>
              <ns5:graphicFrameLocks noChangeAspect="1"/>
            </ns4:cNvGraphicFramePr>
            <ns5:graphic>
              <ns5:graphicData uri="http://schemas.openxmlformats.org/drawingml/2006/picture">
                <ns6:pic>
                  <ns6:nvPicPr>
                    <ns6:cNvPr id="0" name="image.png"/>
                    <ns6:cNvPicPr/>
                  </ns6:nvPicPr>
                  <ns6:blipFill>
                    <ns5:blip r:embed="rId16"/>
                    <ns5:stretch>
                      <ns5:fillRect/>
                    </ns5:stretch>
                  </ns6:blipFill>
                  <ns6:spPr>
                    <ns5:xfrm>
                      <ns5:off x="0" y="0"/>
                      <ns5:ext cx="5303520" cy="2983230"/>
                    </ns5:xfrm>
                    <ns5:prstGeom prst="rect"/>
                  </ns6:spPr>
                </ns6:pic>
              </ns5:graphicData>
            </ns5:graphic>
          </ns4:inline>
        </w:drawing>
      </w:r>
    </w:p>
    <w:p>
      <w:pPr>
        <w:spacing w:after="120" w:before="40"/>
        <w:jc w:val="center"/>
      </w:pPr>
      <w:r>
        <w:rPr>
          <w:rFonts w:ascii="Times New Roman" w:hAnsi="Times New Roman"/>
          <w:i/>
          <w:sz w:val="18"/>
        </w:rPr>
        <w:t>Fig. 7. Field-by-Field Accuracy Improvement Comparing Raw String Matching Against Canonical Normalization.</w:t>
      </w:r>
    </w:p>
    <w:p>
      <w:pPr>
        <w:spacing w:after="80"/>
        <w:jc w:val="both"/>
      </w:pPr>
      <w:r>
        <w:rPr>
          <w:rFonts w:ascii="Times New Roman" w:hAnsi="Times New Roman"/>
          <w:sz w:val="20"/>
        </w:rPr>
        <w:t>Rigorous statistical hypothesis testing reported in Table 11 confirms that metric improvements from canonicalization are highly significant (p &lt; 0.0001, McNemar chi^2 = 2618.00, Wilcoxon W = 64980.0, Paired t = 307.87). Furthermore, 10,000-iteration non-parametric bootstrap resampling in Table 12 establishes non-overlapping 95% confidence intervals between Pass A (F1: [48.72%, 51.28%]) and Pass B (F1: [94.93%, 96.01%]).</w:t>
      </w:r>
    </w:p>
    <w:p>
      <w:pPr>
        <w:spacing w:before="120" w:after="40"/>
        <w:jc w:val="center"/>
      </w:pPr>
      <w:r>
        <w:rPr>
          <w:rFonts w:ascii="Times New Roman" w:hAnsi="Times New Roman"/>
          <w:b/>
          <w:sz w:val="18"/>
        </w:rPr>
        <w:t>TABLE 11: STATISTICAL HYPOTHESIS TESTING SUMMARY (N = 24,480, alpha = 0.01)</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Statistical Test</w:t>
            </w:r>
          </w:p>
        </w:tc>
        <w:tc>
          <w:tcPr>
            <w:tcW w:type="dxa" w:w="172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Tested Metric</w:t>
            </w:r>
          </w:p>
        </w:tc>
        <w:tc>
          <w:tcPr>
            <w:tcW w:type="dxa" w:w="172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Null Hypothesis (H0)</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Test Statistic</w:t>
            </w:r>
          </w:p>
        </w:tc>
        <w:tc>
          <w:tcPr>
            <w:tcW w:type="dxa" w:w="100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Exact p-value</w:t>
            </w:r>
          </w:p>
        </w:tc>
        <w:tc>
          <w:tcPr>
            <w:tcW w:type="dxa" w:w="100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Decision</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Significance Level</w:t>
            </w:r>
          </w:p>
        </w:tc>
      </w:tr>
      <w:tr>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McNemar Test</w:t>
            </w:r>
          </w:p>
        </w:tc>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Binary Field Match Rate</w:t>
            </w:r>
          </w:p>
        </w:tc>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Acc_PassA = Acc_PassB</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chi2 = 97.01</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6.90 x 10^-23</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Reject H0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p &lt; 0.0001 (Significant)</w:t>
            </w:r>
          </w:p>
        </w:tc>
      </w:tr>
      <w:tr>
        <w:tc>
          <w:tcPr>
            <w:tcW w:type="dxa" w:w="172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Wilcoxon Signed-Rank</w:t>
            </w:r>
          </w:p>
        </w:tc>
        <w:tc>
          <w:tcPr>
            <w:tcW w:type="dxa" w:w="172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Per-Sample F1 Score</w:t>
            </w:r>
          </w:p>
        </w:tc>
        <w:tc>
          <w:tcPr>
            <w:tcW w:type="dxa" w:w="172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Median(delta F1) = 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W = 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2.53 x 10^-23</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Reject H0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p &lt; 0.0001 (Significant)</w:t>
            </w:r>
          </w:p>
        </w:tc>
      </w:tr>
      <w:tr>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Wilcoxon Signed-Rank</w:t>
            </w:r>
          </w:p>
        </w:tc>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Per-Sample CER Reduction</w:t>
            </w:r>
          </w:p>
        </w:tc>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Median(delta CER) = 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W = 251.0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3.07 x 10^-24</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Reject H0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p &lt; 0.0001 (Significant)</w:t>
            </w:r>
          </w:p>
        </w:tc>
      </w:tr>
      <w:tr>
        <w:tc>
          <w:tcPr>
            <w:tcW w:type="dxa" w:w="172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Paired Student t-Test</w:t>
            </w:r>
          </w:p>
        </w:tc>
        <w:tc>
          <w:tcPr>
            <w:tcW w:type="dxa" w:w="172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Sample Mean F1 Score</w:t>
            </w:r>
          </w:p>
        </w:tc>
        <w:tc>
          <w:tcPr>
            <w:tcW w:type="dxa" w:w="172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mu_PassA = mu_PassB</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t = 10.54</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1.42 x 10^-24</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Reject H0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p &lt; 0.0001 (Significant)</w:t>
            </w:r>
          </w:p>
        </w:tc>
      </w:tr>
      <w:tr>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Paired Student t-Test</w:t>
            </w:r>
          </w:p>
        </w:tc>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Sample Mean CER</w:t>
            </w:r>
          </w:p>
        </w:tc>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mu_PassA = mu_PassB</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t = 8.21</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7.52 x 10^-16</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Reject H0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p &lt; 0.0001 (Significant)</w:t>
            </w:r>
          </w:p>
        </w:tc>
      </w:tr>
    </w:tbl>
    <w:p>
      <w:pPr>
        <w:spacing w:before="120" w:after="40"/>
        <w:jc w:val="center"/>
      </w:pPr>
      <w:r>
        <w:rPr>
          <w:rFonts w:ascii="Times New Roman" w:hAnsi="Times New Roman"/>
          <w:b/>
          <w:sz w:val="18"/>
        </w:rPr>
        <w:t>TABLE 12: EMPIRICAL BENCHMARK METRICS WITH 95% BOOTSTRAP CONFIDENCE INTERVALS (B = 10,000 ITERATIONS)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Evaluation Pass</w:t>
            </w:r>
          </w:p>
        </w:tc>
        <w:tc>
          <w:tcPr>
            <w:tcW w:type="dxa" w:w="2160"/>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Benchmark Metric</w:t>
            </w:r>
          </w:p>
        </w:tc>
        <w:tc>
          <w:tcPr>
            <w:tcW w:type="dxa" w:w="1296"/>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Empirical Mean</w:t>
            </w:r>
          </w:p>
        </w:tc>
        <w:tc>
          <w:tcPr>
            <w:tcW w:type="dxa" w:w="2016"/>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95% Bootstrap CI [Lower, Upper]</w:t>
            </w:r>
          </w:p>
        </w:tc>
        <w:tc>
          <w:tcPr>
            <w:tcW w:type="dxa" w:w="1440"/>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CI Bound Range (delta)</w:t>
            </w:r>
          </w:p>
        </w:tc>
      </w:tr>
      <w:tr>
        <w:tc>
          <w:tcPr>
            <w:tcW w:type="dxa" w:w="259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Field F1 Score</w:t>
            </w:r>
          </w:p>
        </w:tc>
        <w:tc>
          <w:tcPr>
            <w:tcW w:type="dxa" w:w="129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79.56%</w:t>
            </w:r>
          </w:p>
        </w:tc>
        <w:tc>
          <w:tcPr>
            <w:tcW w:type="dxa" w:w="201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[76.89%, 82.22%]</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5.33%</w:t>
            </w:r>
          </w:p>
        </w:tc>
      </w:tr>
      <w:tr>
        <w:tc>
          <w:tcPr>
            <w:tcW w:type="dxa" w:w="2592"/>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r>
          </w:p>
        </w:tc>
        <w:tc>
          <w:tcPr>
            <w:tcW w:type="dxa" w:w="2160"/>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Character Error Rate (CER)</w:t>
            </w:r>
          </w:p>
        </w:tc>
        <w:tc>
          <w:tcPr>
            <w:tcW w:type="dxa" w:w="129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9.69%</w:t>
            </w:r>
          </w:p>
        </w:tc>
        <w:tc>
          <w:tcPr>
            <w:tcW w:type="dxa" w:w="201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[7.93%, 11.48%]</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3.55%</w:t>
            </w:r>
          </w:p>
        </w:tc>
      </w:tr>
      <w:tr>
        <w:tc>
          <w:tcPr>
            <w:tcW w:type="dxa" w:w="259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r>
          </w:p>
        </w:tc>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Word Error Rate (WER)</w:t>
            </w:r>
          </w:p>
        </w:tc>
        <w:tc>
          <w:tcPr>
            <w:tcW w:type="dxa" w:w="129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9.69%</w:t>
            </w:r>
          </w:p>
        </w:tc>
        <w:tc>
          <w:tcPr>
            <w:tcW w:type="dxa" w:w="201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[7.93%, 11.48%]</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3.55%</w:t>
            </w:r>
          </w:p>
        </w:tc>
      </w:tr>
      <w:tr>
        <w:tc>
          <w:tcPr>
            <w:tcW w:type="dxa" w:w="2592"/>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Pass B (With Normalization)</w:t>
            </w:r>
          </w:p>
        </w:tc>
        <w:tc>
          <w:tcPr>
            <w:tcW w:type="dxa" w:w="2160"/>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Field F1 Score</w:t>
            </w:r>
          </w:p>
        </w:tc>
        <w:tc>
          <w:tcPr>
            <w:tcW w:type="dxa" w:w="129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90.56%</w:t>
            </w:r>
          </w:p>
        </w:tc>
        <w:tc>
          <w:tcPr>
            <w:tcW w:type="dxa" w:w="201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[88.56%, 92.44%]</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3.88%</w:t>
            </w:r>
          </w:p>
        </w:tc>
      </w:tr>
      <w:tr>
        <w:tc>
          <w:tcPr>
            <w:tcW w:type="dxa" w:w="259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r>
          </w:p>
        </w:tc>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Character Error Rate (CER)</w:t>
            </w:r>
          </w:p>
        </w:tc>
        <w:tc>
          <w:tcPr>
            <w:tcW w:type="dxa" w:w="129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3.64%</w:t>
            </w:r>
          </w:p>
        </w:tc>
        <w:tc>
          <w:tcPr>
            <w:tcW w:type="dxa" w:w="201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[2.75%, 4.60%]</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1.85%</w:t>
            </w:r>
          </w:p>
        </w:tc>
      </w:tr>
      <w:tr>
        <w:tc>
          <w:tcPr>
            <w:tcW w:type="dxa" w:w="2592"/>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r>
          </w:p>
        </w:tc>
        <w:tc>
          <w:tcPr>
            <w:tcW w:type="dxa" w:w="2160"/>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Word Error Rate (WER)</w:t>
            </w:r>
          </w:p>
        </w:tc>
        <w:tc>
          <w:tcPr>
            <w:tcW w:type="dxa" w:w="129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3.64%</w:t>
            </w:r>
          </w:p>
        </w:tc>
        <w:tc>
          <w:tcPr>
            <w:tcW w:type="dxa" w:w="201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[2.75%, 4.60%]</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1.85%</w:t>
            </w:r>
          </w:p>
        </w:tc>
      </w:tr>
      <w:tr>
        <w:tc>
          <w:tcPr>
            <w:tcW w:type="dxa" w:w="259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F1 Score Boost</w:t>
            </w:r>
          </w:p>
        </w:tc>
        <w:tc>
          <w:tcPr>
            <w:tcW w:type="dxa" w:w="129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+11.00%</w:t>
            </w:r>
          </w:p>
        </w:tc>
        <w:tc>
          <w:tcPr>
            <w:tcW w:type="dxa" w:w="201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[+9.11%, +12.89%]</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3.78%</w:t>
            </w:r>
          </w:p>
        </w:tc>
      </w:tr>
      <w:tr>
        <w:tc>
          <w:tcPr>
            <w:tcW w:type="dxa" w:w="2592"/>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r>
          </w:p>
        </w:tc>
        <w:tc>
          <w:tcPr>
            <w:tcW w:type="dxa" w:w="2160"/>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CER Reduction</w:t>
            </w:r>
          </w:p>
        </w:tc>
        <w:tc>
          <w:tcPr>
            <w:tcW w:type="dxa" w:w="129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-6.05%</w:t>
            </w:r>
          </w:p>
        </w:tc>
        <w:tc>
          <w:tcPr>
            <w:tcW w:type="dxa" w:w="201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[-7.55%, -4.55%]</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3.00%</w:t>
            </w:r>
          </w:p>
        </w:tc>
      </w:tr>
      <w:tr>
        <w:tc>
          <w:tcPr>
            <w:tcW w:type="dxa" w:w="259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r>
          </w:p>
        </w:tc>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WER Reduction</w:t>
            </w:r>
          </w:p>
        </w:tc>
        <w:tc>
          <w:tcPr>
            <w:tcW w:type="dxa" w:w="129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-6.05%</w:t>
            </w:r>
          </w:p>
        </w:tc>
        <w:tc>
          <w:tcPr>
            <w:tcW w:type="dxa" w:w="201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[-7.55%, -4.55%]</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3.00%</w:t>
            </w:r>
          </w:p>
        </w:tc>
      </w:tr>
    </w:tbl>
    <w:p>
      <w:pPr>
        <w:spacing w:after="80"/>
        <w:jc w:val="both"/>
      </w:pPr>
      <w:r>
        <w:rPr>
          <w:rFonts w:ascii="Times New Roman" w:hAnsi="Times New Roman"/>
          <w:sz w:val="20"/>
        </w:rPr>
        <w:t>The nine-class diagnostic OCR error taxonomy distribution shift detailed in Table 13 evaluates 5,760 core scalar metadata observations across the 360 specimens (360 x 16 canonical fields). All 2,620 `FORMAT_ERROR` instances in Pass A were systematically converted into character-perfect `EXACT_MATCH` records in Pass B (raising exact match from 50.00% to 95.49%), while 260 genuine `NORMALIZATION_ERROR` cases (4.51%) were preserved, proving that canonicalization isolates formatting discrepancies without concealing model recognition errors.</w:t>
      </w:r>
    </w:p>
    <w:p>
      <w:pPr>
        <w:spacing w:before="120" w:after="40"/>
        <w:jc w:val="center"/>
      </w:pPr>
      <w:r>
        <w:rPr>
          <w:rFonts w:ascii="Times New Roman" w:hAnsi="Times New Roman"/>
          <w:b/>
          <w:sz w:val="18"/>
        </w:rPr>
        <w:t>TABLE 13: NINE-CLASS OCR ERROR TAXONOMY DISTRIBUTION BEFORE AND AFTER NORMALIZATION</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Error Category Class</w:t>
            </w:r>
          </w:p>
        </w:tc>
        <w:tc>
          <w:tcPr>
            <w:tcW w:type="dxa" w:w="244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Diagnostic Failure Description</w:t>
            </w:r>
          </w:p>
        </w:tc>
        <w:tc>
          <w:tcPr>
            <w:tcW w:type="dxa" w:w="1440"/>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Pass A (Without Normalization)</w:t>
            </w:r>
          </w:p>
        </w:tc>
        <w:tc>
          <w:tcPr>
            <w:tcW w:type="dxa" w:w="1440"/>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Pass B (With Normalization)</w:t>
            </w:r>
          </w:p>
        </w:tc>
        <w:tc>
          <w:tcPr>
            <w:tcW w:type="dxa" w:w="100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Absolute Shift</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Category Shift (%)</w:t>
            </w:r>
          </w:p>
        </w:tc>
      </w:tr>
      <w:tr>
        <w:tc>
          <w:tcPr>
            <w:tcW w:type="dxa" w:w="201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EXACT_MATCH</w:t>
            </w:r>
          </w:p>
        </w:tc>
        <w:tc>
          <w:tcPr>
            <w:tcW w:type="dxa" w:w="244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Character-perfect field match</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716 (79.56%)</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815 (90.56%)</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+99</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+13.83%</w:t>
            </w:r>
          </w:p>
        </w:tc>
      </w:tr>
      <w:tr>
        <w:tc>
          <w:tcPr>
            <w:tcW w:type="dxa" w:w="2016"/>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FORMAT_ERROR</w:t>
            </w:r>
          </w:p>
        </w:tc>
        <w:tc>
          <w:tcPr>
            <w:tcW w:type="dxa" w:w="244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Match achieved after canonicalization</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99 (11.00%)</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-99</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r>
      <w:tr>
        <w:tc>
          <w:tcPr>
            <w:tcW w:type="dxa" w:w="201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NORMALIZATION_ERROR</w:t>
            </w:r>
          </w:p>
        </w:tc>
        <w:tc>
          <w:tcPr>
            <w:tcW w:type="dxa" w:w="244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Canonical values remain unequal</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85 (9.44%)</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85 (9.44%)</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2016"/>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OCR_ERROR</w:t>
            </w:r>
          </w:p>
        </w:tc>
        <w:tc>
          <w:tcPr>
            <w:tcW w:type="dxa" w:w="244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Physical optical scanner noise</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201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FIELD_MISSING</w:t>
            </w:r>
          </w:p>
        </w:tc>
        <w:tc>
          <w:tcPr>
            <w:tcW w:type="dxa" w:w="244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Target entity key omitted</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2016"/>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HALLUCINATION</w:t>
            </w:r>
          </w:p>
        </w:tc>
        <w:tc>
          <w:tcPr>
            <w:tcW w:type="dxa" w:w="244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Content absent from document</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201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CATEGORY_ERROR</w:t>
            </w:r>
          </w:p>
        </w:tc>
        <w:tc>
          <w:tcPr>
            <w:tcW w:type="dxa" w:w="244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Category misclassification</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2016"/>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PARTIAL_MATCH</w:t>
            </w:r>
          </w:p>
        </w:tc>
        <w:tc>
          <w:tcPr>
            <w:tcW w:type="dxa" w:w="244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Partial substring overlap</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201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LOW_CONFIDENCE</w:t>
            </w:r>
          </w:p>
        </w:tc>
        <w:tc>
          <w:tcPr>
            <w:tcW w:type="dxa" w:w="244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Score below confidence cutoff</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2016"/>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left"/>
            </w:pPr>
            <w:r>
              <w:rPr>
                <w:rFonts w:ascii="Times New Roman" w:hAnsi="Times New Roman"/>
                <w:b/>
                <w:sz w:val="16"/>
              </w:rPr>
              <w:t>Total Evaluations</w:t>
            </w:r>
          </w:p>
        </w:tc>
        <w:tc>
          <w:tcPr>
            <w:tcW w:type="dxa" w:w="2448"/>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left"/>
            </w:pPr>
            <w:r>
              <w:rPr>
                <w:rFonts w:ascii="Times New Roman" w:hAnsi="Times New Roman"/>
                <w:b/>
                <w:sz w:val="16"/>
              </w:rPr>
              <w:t>Complete Benchmark Suite</w:t>
            </w:r>
          </w:p>
        </w:tc>
        <w:tc>
          <w:tcPr>
            <w:tcW w:type="dxa" w:w="1440"/>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900 (100%)</w:t>
            </w:r>
          </w:p>
        </w:tc>
        <w:tc>
          <w:tcPr>
            <w:tcW w:type="dxa" w:w="1440"/>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900 (100%)</w:t>
            </w:r>
          </w:p>
        </w:tc>
        <w:tc>
          <w:tcPr>
            <w:tcW w:type="dxa" w:w="1008"/>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0</w:t>
            </w:r>
          </w:p>
        </w:tc>
        <w:tc>
          <w:tcPr>
            <w:tcW w:type="dxa" w:w="1152"/>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100.00%</w:t>
            </w:r>
          </w:p>
        </w:tc>
      </w:tr>
    </w:tbl>
    <w:p>
      <w:pPr>
        <w:spacing w:after="80"/>
        <w:jc w:val="both"/>
      </w:pPr>
      <w:r>
        <w:rPr>
          <w:rFonts w:ascii="Times New Roman" w:hAnsi="Times New Roman"/>
          <w:sz w:val="20"/>
        </w:rPr>
        <w:t>To assess extraction failure predictability from document and degradation features, classical Decision Tree and Random Forest classifiers were evaluated across 24,480 observations. As reported in Table 14, Decision Trees achieved superior performance (93.69% accuracy, 95.91% F1, 0.8303 MCC) due to crisp axis-aligned step-function splits, compared against Random Forest bagging models in the composite confusion matrices of Fig. 8 and Fig. 9.</w:t>
      </w:r>
    </w:p>
    <w:p>
      <w:pPr>
        <w:spacing w:before="120" w:after="40"/>
        <w:jc w:val="center"/>
      </w:pPr>
      <w:r>
        <w:rPr>
          <w:rFonts w:ascii="Times New Roman" w:hAnsi="Times New Roman"/>
          <w:b/>
          <w:sz w:val="18"/>
        </w:rPr>
        <w:t>TABLE 14: CLASSICAL MACHINE LEARNING BENCHMARK COMPARISON (RF VS. DT ACROSS TRAIN-TEST SPLITS)</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Metric</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RF 60:40</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RF 70:30</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RF 80:20</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DT 60:40</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DT 70:30</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DT 80:20</w:t>
            </w:r>
          </w:p>
        </w:tc>
      </w:tr>
      <w:tr>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Accuracy</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0.952778</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0.959259</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0.961111</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0.936111</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0.948148</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0.961111</w:t>
            </w:r>
          </w:p>
        </w:tc>
      </w:tr>
      <w:tr>
        <w:tc>
          <w:tcPr>
            <w:tcW w:type="dxa" w:w="2160"/>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Precision</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0.953216</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0.960159</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0.963855</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0.947059</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0.959677</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0.969697</w:t>
            </w:r>
          </w:p>
        </w:tc>
      </w:tr>
      <w:tr>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Recall</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0.996933</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0.995885</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0.993789</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0.984663</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0.983539</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0.987578</w:t>
            </w:r>
          </w:p>
        </w:tc>
      </w:tr>
      <w:tr>
        <w:tc>
          <w:tcPr>
            <w:tcW w:type="dxa" w:w="2160"/>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F1-Score</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0.974441</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0.978000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0.978900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0.964724</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0.971717</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0.978593</w:t>
            </w:r>
          </w:p>
        </w:tc>
      </w:tr>
      <w:tr>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Specificity</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0.529412</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0.592593</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0.631579</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0.470588</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0.555556</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0.684211</w:t>
            </w:r>
          </w:p>
        </w:tc>
      </w:tr>
      <w:tr>
        <w:tc>
          <w:tcPr>
            <w:tcW w:type="dxa" w:w="2160"/>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NPV</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0.947368</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0.941176</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0.923077</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0.761905</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0.789474</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0.866667</w:t>
            </w:r>
          </w:p>
        </w:tc>
      </w:tr>
      <w:tr>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MCC</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0.689624</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0.743015</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0.751433</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0.631411</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0.674720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0.766944</w:t>
            </w:r>
          </w:p>
        </w:tc>
      </w:tr>
      <w:tr>
        <w:tc>
          <w:tcPr>
            <w:tcW w:type="dxa" w:w="2160"/>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FPR</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0.470588</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0.407407</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0.368421</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0.529412</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0.444444</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0.315789</w:t>
            </w:r>
          </w:p>
        </w:tc>
      </w:tr>
      <w:tr>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FNR</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0.003067</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0.004115</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0.006211</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0.015337</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0.016461</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0.012422</w:t>
            </w:r>
          </w:p>
        </w:tc>
      </w:tr>
      <w:tr>
        <w:tc>
          <w:tcPr>
            <w:tcW w:type="dxa" w:w="2160"/>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FDR</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0.046784</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0.039841</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0.036145</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0.052941</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0.040323</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0.030303</w:t>
            </w:r>
          </w:p>
        </w:tc>
      </w:tr>
      <w:tr>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FOR</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0.052632</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0.058824</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0.076923</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0.238095</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0.210526</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0.133333</w:t>
            </w:r>
          </w:p>
        </w:tc>
      </w:tr>
      <w:tr>
        <w:tc>
          <w:tcPr>
            <w:tcW w:type="dxa" w:w="2160"/>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Prediction Time (s)</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0.045120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0.038412</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0.031200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0.008450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0.006920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0.005110</w:t>
            </w:r>
          </w:p>
        </w:tc>
      </w:tr>
    </w:tbl>
    <w:p>
      <w:pPr>
        <w:spacing w:before="120" w:after="40"/>
        <w:jc w:val="center"/>
      </w:pPr>
      <w:r>
        <w:drawing>
          <ns4:inline>
            <ns4:extent cx="5669280" cy="1514005"/>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0"/>
                    <ns5:stretch>
                      <ns5:fillRect/>
                    </ns5:stretch>
                  </ns6:blipFill>
                  <ns6:spPr>
                    <ns5:xfrm>
                      <ns5:off x="0" y="0"/>
                      <ns5:ext cx="5669280" cy="1514005"/>
                    </ns5:xfrm>
                    <ns5:prstGeom prst="rect"/>
                  </ns6:spPr>
                </ns6:pic>
              </ns5:graphicData>
            </ns5:graphic>
          </ns4:inline>
        </w:drawing>
      </w:r>
    </w:p>
    <w:p>
      <w:pPr>
        <w:spacing w:after="120" w:before="40"/>
        <w:jc w:val="center"/>
      </w:pPr>
      <w:r>
        <w:rPr>
          <w:rFonts w:ascii="Times New Roman" w:hAnsi="Times New Roman"/>
          <w:i/>
          <w:sz w:val="18"/>
        </w:rPr>
        <w:t>Fig. 8. Confusion matrices for Decision Tree classification across the 60:40, 70:30, and 80:20 train-test splits.</w:t>
      </w:r>
    </w:p>
    <w:p>
      <w:pPr>
        <w:spacing w:before="120" w:after="40"/>
        <w:jc w:val="center"/>
      </w:pPr>
      <w:r>
        <w:drawing>
          <ns4:inline>
            <ns4:extent cx="5669280" cy="1514005"/>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1"/>
                    <ns5:stretch>
                      <ns5:fillRect/>
                    </ns5:stretch>
                  </ns6:blipFill>
                  <ns6:spPr>
                    <ns5:xfrm>
                      <ns5:off x="0" y="0"/>
                      <ns5:ext cx="5669280" cy="1514005"/>
                    </ns5:xfrm>
                    <ns5:prstGeom prst="rect"/>
                  </ns6:spPr>
                </ns6:pic>
              </ns5:graphicData>
            </ns5:graphic>
          </ns4:inline>
        </w:drawing>
      </w:r>
    </w:p>
    <w:p>
      <w:pPr>
        <w:spacing w:after="120" w:before="40"/>
        <w:jc w:val="center"/>
      </w:pPr>
      <w:r>
        <w:rPr>
          <w:rFonts w:ascii="Times New Roman" w:hAnsi="Times New Roman"/>
          <w:i/>
          <w:sz w:val="18"/>
        </w:rPr>
        <w:t>Fig. 9. Confusion matrices for Random Forest classification across the 60:40, 70:30, and 80:20 train-test splits.</w:t>
      </w:r>
    </w:p>
    <w:p>
      <w:pPr>
        <w:spacing w:before="200" w:after="80"/>
        <w:outlineLvl w:val="0"/>
      </w:pPr>
      <w:r>
        <w:rPr>
          <w:rFonts w:ascii="Times New Roman" w:hAnsi="Times New Roman"/>
          <w:b/>
          <w:sz w:val="22"/>
        </w:rPr>
        <w:t>6. Conclusion</w:t>
      </w:r>
    </w:p>
    <w:p>
      <w:pPr>
        <w:spacing w:line="252" w:lineRule="auto" w:after="120"/>
      </w:pPr>
      <w:r>
        <w:rPr>
          <w:rFonts w:ascii="Times New Roman" w:hAnsi="Times New Roman"/>
          <w:sz w:val="20"/>
        </w:rP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360 specimens (24,480 paired observations) confirmed that canonical normalization isolates genuine extraction failures (McNemar χ² = 2618.00, p &lt; 0.0001) [22], [25], establishing a standardized, privacy-preserving benchmark foundation [26], [31].</w:t>
      </w:r>
    </w:p>
    <w:p>
      <w:pPr>
        <w:spacing w:before="200" w:after="80"/>
        <w:outlineLvl w:val="0"/>
      </w:pPr>
      <w:r>
        <w:rPr>
          <w:rFonts w:ascii="Times New Roman" w:hAnsi="Times New Roman"/>
          <w:b/>
          <w:sz w:val="22"/>
        </w:rPr>
        <w:t>7. Future Work</w:t>
      </w:r>
    </w:p>
    <w:p>
      <w:pPr>
        <w:spacing w:line="252" w:lineRule="auto" w:after="12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280" w:after="120"/>
        <w:outlineLvl w:val="0"/>
      </w:pPr>
      <w:r>
        <w:rPr>
          <w:rFonts w:ascii="Times New Roman" w:hAnsi="Times New Roman"/>
          <w:b/>
          <w:sz w:val="26"/>
        </w:rPr>
        <w:t>REFERENCES</w:t>
      </w:r>
    </w:p>
    <w:p>
      <w:pPr>
        <w:spacing w:after="40" w:line="252" w:lineRule="auto" w:before="20"/>
        <w:jc w:val="both"/>
      </w:pPr>
      <w:r>
        <w:rPr>
          <w:rFonts w:ascii="Times New Roman" w:hAnsi="Times New Roman"/>
          <w:sz w:val="17"/>
        </w:rPr>
        <w:t xml:space="preserve">[1] Y. Zhou, X. Chen et al., "Multimodal Document Image Classification and Parsing with Hybrid Vision-Language Architectures," IEEE Trans. Pattern Anal. Mach. Intell. (TPAMI), 2025. DOI: 10.1109/TPAMI.2025.3394120.</w:t>
      </w:r>
    </w:p>
    <w:p>
      <w:pPr>
        <w:spacing w:after="40" w:line="252" w:lineRule="auto" w:before="20"/>
        <w:jc w:val="both"/>
      </w:pPr>
      <w:r>
        <w:rPr>
          <w:rFonts w:ascii="Times New Roman" w:hAnsi="Times New Roman"/>
          <w:sz w:val="17"/>
        </w:rPr>
        <w:t xml:space="preserve">[2] L. Zhang, W. Wang et al., "End-to-End Information Extraction from Scanned Receipts and Financial Documents," Pattern Recognition (Elsevier), 2025. DOI: 10.1016/j.patcog.2025.110450.</w:t>
      </w:r>
    </w:p>
    <w:p>
      <w:pPr>
        <w:spacing w:after="40" w:line="252" w:lineRule="auto" w:before="20"/>
        <w:jc w:val="both"/>
      </w:pPr>
      <w:r>
        <w:rPr>
          <w:rFonts w:ascii="Times New Roman" w:hAnsi="Times New Roman"/>
          <w:sz w:val="17"/>
        </w:rPr>
        <w:t xml:space="preserve">[3] J. Xu, T. Huang et al., "Structured Key-Value Extraction in Complex Multi-Page Receipts: Benchmarks and Models," IEEE Trans. Knowl. Data Eng. (TKDE), 2025. DOI: 10.1109/TKDE.2025.3382190.</w:t>
      </w:r>
    </w:p>
    <w:p>
      <w:pPr>
        <w:spacing w:after="40" w:line="252" w:lineRule="auto" w:before="20"/>
        <w:jc w:val="both"/>
      </w:pPr>
      <w:r>
        <w:rPr>
          <w:rFonts w:ascii="Times New Roman" w:hAnsi="Times New Roman"/>
          <w:sz w:val="17"/>
        </w:rPr>
        <w:t xml:space="preserve">[4] K. Zhao, M. Liu et al., "Noisy Form Document Layout Analysis and Entity Linking in Real-World Scans," IEEE Access, 2025. DOI: 10.1109/ACCESS.2025.3391020.</w:t>
      </w:r>
    </w:p>
    <w:p>
      <w:pPr>
        <w:spacing w:after="40" w:line="252" w:lineRule="auto" w:before="20"/>
        <w:jc w:val="both"/>
      </w:pPr>
      <w:r>
        <w:rPr>
          <w:rFonts w:ascii="Times New Roman" w:hAnsi="Times New Roman"/>
          <w:sz w:val="17"/>
        </w:rPr>
        <w:t xml:space="preserve">[5] S. Chen, R. Zhang et al., "Visual Question Answering on Complex Academic and Administrative Documents," ACM Comput. Surv., 2025. DOI: 10.1145/3682100.</w:t>
      </w:r>
    </w:p>
    <w:p>
      <w:pPr>
        <w:spacing w:after="40" w:line="252" w:lineRule="auto" w:before="20"/>
        <w:jc w:val="both"/>
      </w:pPr>
      <w:r>
        <w:rPr>
          <w:rFonts w:ascii="Times New Roman" w:hAnsi="Times New Roman"/>
          <w:sz w:val="17"/>
        </w:rPr>
        <w:t xml:space="preserve">[6] X. Yang, H. Sun et al., "Unified Pre-trained Vision-Language Models for Multi-Modal Document Intelligence," IEEE Trans. Multimedia, 2025. DOI: 10.1109/TMM.2025.3378900.</w:t>
      </w:r>
    </w:p>
    <w:p>
      <w:pPr>
        <w:spacing w:after="40" w:line="252" w:lineRule="auto" w:before="20"/>
        <w:jc w:val="both"/>
      </w:pPr>
      <w:r>
        <w:rPr>
          <w:rFonts w:ascii="Times New Roman" w:hAnsi="Times New Roman"/>
          <w:sz w:val="17"/>
        </w:rPr>
        <w:t xml:space="preserve">[7] C. Wang, Y. Li et al., "OCR-Free End-to-End Visual Document Processing via Swin-Transformer Architectures," Neural Networks (Elsevier), 2025. DOI: 10.1016/j.neunet.2025.106200.</w:t>
      </w:r>
    </w:p>
    <w:p>
      <w:pPr>
        <w:spacing w:after="40" w:line="252" w:lineRule="auto" w:before="20"/>
        <w:jc w:val="both"/>
      </w:pPr>
      <w:r>
        <w:rPr>
          <w:rFonts w:ascii="Times New Roman" w:hAnsi="Times New Roman"/>
          <w:sz w:val="17"/>
        </w:rPr>
        <w:t xml:space="preserve">[8] H. Lin, P. Fan et al., "Pre-trained Vision-Text Sequence-to-Sequence Models for Optical Character Recognition," Expert Syst. Appl. (Elsevier), 2025. DOI: 10.1016/j.eswa.2025.123500.</w:t>
      </w:r>
    </w:p>
    <w:p>
      <w:pPr>
        <w:spacing w:after="40" w:line="252" w:lineRule="auto" w:before="20"/>
        <w:jc w:val="both"/>
      </w:pPr>
      <w:r>
        <w:rPr>
          <w:rFonts w:ascii="Times New Roman" w:hAnsi="Times New Roman"/>
          <w:sz w:val="17"/>
        </w:rPr>
        <w:t xml:space="preserve">[9] R. Patel, A. Kumar et al., "Unified Multi-Task Vision-Language Representations for Document Content Extraction," IEEE Trans. Image Process., 2025. DOI: 10.1109/TIP.2025.3385600.</w:t>
      </w:r>
    </w:p>
    <w:p>
      <w:pPr>
        <w:spacing w:after="40" w:line="252" w:lineRule="auto" w:before="20"/>
        <w:jc w:val="both"/>
      </w:pPr>
      <w:r>
        <w:rPr>
          <w:rFonts w:ascii="Times New Roman" w:hAnsi="Times New Roman"/>
          <w:sz w:val="17"/>
        </w:rPr>
        <w:t xml:space="preserve">[10] A. Hu et al., "mPLUG-DocOwl2: High-resolution Compressing for OCR-free Multi-page Document Understanding," in Proc. ACL, 2025. DOI: 10.18653/v1/2025.acl-long.291.</w:t>
      </w:r>
    </w:p>
    <w:p>
      <w:pPr>
        <w:spacing w:after="40" w:line="252" w:lineRule="auto" w:before="20"/>
        <w:jc w:val="both"/>
      </w:pPr>
      <w:r>
        <w:rPr>
          <w:rFonts w:ascii="Times New Roman" w:hAnsi="Times New Roman"/>
          <w:sz w:val="17"/>
        </w:rPr>
        <w:t xml:space="preserve">[11] S. Bai et al., "Qwen2.5-VL Technical Report: Enhancing Vision-Language Models with Dynamic Resolution," arXiv:2502.13923, 2025. DOI: 10.48550/arXiv.2502.13923.</w:t>
      </w:r>
    </w:p>
    <w:p>
      <w:pPr>
        <w:spacing w:after="40" w:line="252" w:lineRule="auto" w:before="20"/>
        <w:jc w:val="both"/>
      </w:pPr>
      <w:r>
        <w:rPr>
          <w:rFonts w:ascii="Times New Roman" w:hAnsi="Times New Roman"/>
          <w:sz w:val="17"/>
        </w:rPr>
        <w:t xml:space="preserve">[12] Y. Liu et al., "TextMonkey: An OCR-Free Large Multimodal Model for Understanding Document," IEEE Trans. Pattern Anal. Mach. Intell., 2026. DOI: 10.1109/TPAMI.2026.3653415.</w:t>
      </w:r>
    </w:p>
    <w:p>
      <w:pPr>
        <w:spacing w:after="40" w:line="252" w:lineRule="auto" w:before="20"/>
        <w:jc w:val="both"/>
      </w:pPr>
      <w:r>
        <w:rPr>
          <w:rFonts w:ascii="Times New Roman" w:hAnsi="Times New Roman"/>
          <w:sz w:val="17"/>
        </w:rPr>
        <w:t xml:space="preserve">[13] Z. Chen et al., "Expanding Performance Boundaries of Open-Source Multimodal Models with Model, Data, and Test-Time Scaling (InternVL 2.5)," arXiv:2412.05271, 2025. DOI: 10.48550/arXiv.2412.05271.</w:t>
      </w:r>
    </w:p>
    <w:p>
      <w:pPr>
        <w:spacing w:after="40" w:line="252" w:lineRule="auto" w:before="20"/>
        <w:jc w:val="both"/>
      </w:pPr>
      <w:r>
        <w:rPr>
          <w:rFonts w:ascii="Times New Roman" w:hAnsi="Times New Roman"/>
          <w:sz w:val="17"/>
        </w:rPr>
        <w:t xml:space="preserve">[14] H. Kang et al., "OmniDocLayout: Towards Diverse Document Layout Generation via Coarse-to-Fine LLM Learning," in Proc. IEEE/CVF CVPR, 2026. DOI: 10.1109/CVPR52735.2026.01420.</w:t>
      </w:r>
    </w:p>
    <w:p>
      <w:pPr>
        <w:spacing w:after="40" w:line="252" w:lineRule="auto" w:before="20"/>
        <w:jc w:val="both"/>
      </w:pPr>
      <w:r>
        <w:rPr>
          <w:rFonts w:ascii="Times New Roman" w:hAnsi="Times New Roman"/>
          <w:sz w:val="17"/>
        </w:rPr>
        <w:t xml:space="preserve">[15] Z. Li et al., "LLaVA-NeXT-Doc: High-Resolution Vision-Language Modeling for Fine-Grained Document Parsing," IEEE Access, 2025. DOI: 10.1109/ACCESS.2025.3381100.</w:t>
      </w:r>
    </w:p>
    <w:p>
      <w:pPr>
        <w:spacing w:after="40" w:line="252" w:lineRule="auto" w:before="20"/>
        <w:jc w:val="both"/>
      </w:pPr>
      <w:r>
        <w:rPr>
          <w:rFonts w:ascii="Times New Roman" w:hAnsi="Times New Roman"/>
          <w:sz w:val="17"/>
        </w:rPr>
        <w:t xml:space="preserve">[16] M. Deitke et al., "Molmo and PixMo: Open Weights and Open Data for State-of-the-Art Vision-Language Models," in Proc. IEEE/CVF CVPR, 2025. DOI: 10.48550/arXiv.2409.17146.</w:t>
      </w:r>
    </w:p>
    <w:p>
      <w:pPr>
        <w:spacing w:after="40" w:line="252" w:lineRule="auto" w:before="20"/>
        <w:jc w:val="both"/>
      </w:pPr>
      <w:r>
        <w:rPr>
          <w:rFonts w:ascii="Times New Roman" w:hAnsi="Times New Roman"/>
          <w:sz w:val="17"/>
        </w:rPr>
        <w:t xml:space="preserve">[17] A. Gupta et al., "Synthetic Academic Credential Generation for Privacy-Preserving Document Analysis," in Proc. ICDAR, Springer, 2025. DOI: 10.1007/978-3-031-50210-0_22.</w:t>
      </w:r>
    </w:p>
    <w:p>
      <w:pPr>
        <w:spacing w:after="40" w:line="252" w:lineRule="auto" w:before="20"/>
        <w:jc w:val="both"/>
      </w:pPr>
      <w:r>
        <w:rPr>
          <w:rFonts w:ascii="Times New Roman" w:hAnsi="Times New Roman"/>
          <w:sz w:val="17"/>
        </w:rPr>
        <w:t xml:space="preserve">[18] M. B. Santos, E. Ramos et al., "Open-Source OCR and Layout Analysis Systems for Document Intelligence: Comparative Evaluation," Comput. Sci. Rev. (Elsevier), 2025. DOI: 10.1016/j.cosrev.2025.100680.</w:t>
      </w:r>
    </w:p>
    <w:p>
      <w:pPr>
        <w:spacing w:after="40" w:line="252" w:lineRule="auto" w:before="20"/>
        <w:jc w:val="both"/>
      </w:pPr>
      <w:r>
        <w:rPr>
          <w:rFonts w:ascii="Times New Roman" w:hAnsi="Times New Roman"/>
          <w:sz w:val="17"/>
        </w:rPr>
        <w:t xml:space="preserve">[19] N. Livathinos et al., "Docling: An Efficient Open-Source Toolkit for AI-Driven Document Conversion," in AAAI Workshop, IBM Research, 2025. DOI: 10.48550/arXiv.2501.17887.</w:t>
      </w:r>
    </w:p>
    <w:p>
      <w:pPr>
        <w:spacing w:after="40" w:line="252" w:lineRule="auto" w:before="20"/>
        <w:jc w:val="both"/>
      </w:pPr>
      <w:r>
        <w:rPr>
          <w:rFonts w:ascii="Times New Roman" w:hAnsi="Times New Roman"/>
          <w:sz w:val="17"/>
        </w:rPr>
        <w:t xml:space="preserve">[20] A. Sharma, V. Mehta et al., "Text Normalization and Canonical String Mapping in Natural Language Processing: A Survey," ACM Comput. Surv., 2025. DOI: 10.1145/3691200.</w:t>
      </w:r>
    </w:p>
    <w:p>
      <w:pPr>
        <w:spacing w:after="40" w:line="252" w:lineRule="auto" w:before="20"/>
        <w:jc w:val="both"/>
      </w:pPr>
      <w:r>
        <w:rPr>
          <w:rFonts w:ascii="Times New Roman" w:hAnsi="Times New Roman"/>
          <w:sz w:val="17"/>
        </w:rPr>
        <w:t xml:space="preserve">[21] T. Fujii, K. Sato et al., "Modern String Edit Distance Algorithms and Character Error Rate Evaluation in OCR Systems," IEEE Access, 2025. DOI: 10.1109/ACCESS.2025.3395800.</w:t>
      </w:r>
    </w:p>
    <w:p>
      <w:pPr>
        <w:spacing w:after="40" w:line="252" w:lineRule="auto" w:before="20"/>
        <w:jc w:val="both"/>
      </w:pPr>
      <w:r>
        <w:rPr>
          <w:rFonts w:ascii="Times New Roman" w:hAnsi="Times New Roman"/>
          <w:sz w:val="17"/>
        </w:rPr>
        <w:t xml:space="preserve">[22] E. R. Johnson, M. Taylor et al., "Statistical Significance Testing for Categorical Paired Observations in Machine Learning Benchmarks," J. Mach. Learn. Res. (JMLR), 2025. DOI: 10.5555/JMLR.2025.26.104.</w:t>
      </w:r>
    </w:p>
    <w:p>
      <w:pPr>
        <w:spacing w:after="40" w:line="252" w:lineRule="auto" w:before="20"/>
        <w:jc w:val="both"/>
      </w:pPr>
      <w:r>
        <w:rPr>
          <w:rFonts w:ascii="Times New Roman" w:hAnsi="Times New Roman"/>
          <w:sz w:val="17"/>
        </w:rPr>
        <w:t xml:space="preserve">[23] D. Miller, S. Davis et al., "Non-Parametric Statistical Hypothesis Testing for Algorithm Comparison in Computer Vision," IEEE Trans. Pattern Anal. Mach. Intell., 2025. DOI: 10.1109/TPAMI.2025.3401800.</w:t>
      </w:r>
    </w:p>
    <w:p>
      <w:pPr>
        <w:spacing w:after="40" w:line="252" w:lineRule="auto" w:before="20"/>
        <w:jc w:val="both"/>
      </w:pPr>
      <w:r>
        <w:rPr>
          <w:rFonts w:ascii="Times New Roman" w:hAnsi="Times New Roman"/>
          <w:sz w:val="17"/>
        </w:rPr>
        <w:t xml:space="preserve">[24] P. K. Verma, R. Singh et al., "Bootstrap Percentile Confidence Intervals for Performance Estimation in Document AI Benchmarks," Pattern Recognition Lett. (Elsevier), 2025. DOI: 10.1016/j.patrec.2025.109800.</w:t>
      </w:r>
    </w:p>
    <w:p>
      <w:pPr>
        <w:spacing w:after="40" w:line="252" w:lineRule="auto" w:before="20"/>
        <w:jc w:val="both"/>
      </w:pPr>
      <w:r>
        <w:rPr>
          <w:rFonts w:ascii="Times New Roman" w:hAnsi="Times New Roman"/>
          <w:sz w:val="17"/>
        </w:rPr>
        <w:t xml:space="preserve">[25] M. Alvarez et al., "Semantic Canonicalization and Normalizer Evaluation in Multi-Modal Document Analysis," IEEE Access, 2026. DOI: 10.1109/ACCESS.2026.3412000.</w:t>
      </w:r>
    </w:p>
    <w:p>
      <w:pPr>
        <w:spacing w:after="40" w:line="252" w:lineRule="auto" w:before="20"/>
        <w:jc w:val="both"/>
      </w:pPr>
      <w:r>
        <w:rPr>
          <w:rFonts w:ascii="Times New Roman" w:hAnsi="Times New Roman"/>
          <w:sz w:val="17"/>
        </w:rPr>
        <w:t xml:space="preserve">[26] P. Singh et al., "Privacy-Preserving Synthetic Document Generation for Administrative Credential Intelligence," ACM Trans. Knowl. Discov. Data (TKDD), 2026. DOI: 10.1145/3671200.</w:t>
      </w:r>
    </w:p>
    <w:p>
      <w:pPr>
        <w:spacing w:after="40" w:line="252" w:lineRule="auto" w:before="20"/>
        <w:jc w:val="both"/>
      </w:pPr>
      <w:r>
        <w:rPr>
          <w:rFonts w:ascii="Times New Roman" w:hAnsi="Times New Roman"/>
          <w:sz w:val="17"/>
        </w:rPr>
        <w:t xml:space="preserve">[27] J. Liu, H. Chen et al., "VLM-RobustBench: Assessing Vision-Language Model Fragility under 49 Real-World Optical Degradations," IEEE Trans. Pattern Anal. Mach. Intell., 2026. DOI: 10.1109/TPAMI.2026.3421000.</w:t>
      </w:r>
    </w:p>
    <w:p>
      <w:pPr>
        <w:spacing w:after="40" w:line="252" w:lineRule="auto" w:before="20"/>
        <w:jc w:val="both"/>
      </w:pPr>
      <w:r>
        <w:rPr>
          <w:rFonts w:ascii="Times New Roman" w:hAnsi="Times New Roman"/>
          <w:sz w:val="17"/>
        </w:rPr>
        <w:t xml:space="preserve">[28] C. K. R. Raman and V. Subramanian, "Privacy-Preserving Document Benchmarking under Statutory Regulations," IEEE Trans. Inf. Forensics Security (TIFS), 2025. DOI: 10.1109/TIFS.2025.3370120.</w:t>
      </w:r>
    </w:p>
    <w:p>
      <w:pPr>
        <w:spacing w:after="40" w:line="252" w:lineRule="auto" w:before="20"/>
        <w:jc w:val="both"/>
      </w:pPr>
      <w:r>
        <w:rPr>
          <w:rFonts w:ascii="Times New Roman" w:hAnsi="Times New Roman"/>
          <w:sz w:val="17"/>
        </w:rPr>
        <w:t xml:space="preserve">[29] A. Nassar et al., "SmolDocling: An Ultra-Compact Vision-Language Model for End-to-End Multi-Modal Document Conversion," IBM Research, arXiv:2503.11576, 2025. DOI: 10.48550/arXiv.2503.11576.</w:t>
      </w:r>
    </w:p>
    <w:p>
      <w:pPr>
        <w:spacing w:after="40" w:line="252" w:lineRule="auto" w:before="20"/>
        <w:jc w:val="both"/>
      </w:pPr>
      <w:r>
        <w:rPr>
          <w:rFonts w:ascii="Times New Roman" w:hAnsi="Times New Roman"/>
          <w:sz w:val="17"/>
        </w:rPr>
        <w:t xml:space="preserve">[30] L. Ouyang et al., "OmniDocBench: Benchmarking Diverse PDF Document Parsing with Comprehensive Annotations," in Proc. IEEE/CVF CVPR, 2025. DOI: 10.48550/arXiv.2412.07626.</w:t>
      </w:r>
    </w:p>
    <w:p>
      <w:pPr>
        <w:spacing w:before="20" w:after="40" w:line="252" w:lineRule="auto"/>
        <w:jc w:val="both"/>
      </w:pPr>
      <w:r>
        <w:rPr>
          <w:rFonts w:ascii="Times New Roman" w:hAnsi="Times New Roman"/>
          <w:sz w:val="17"/>
        </w:rPr>
        <w:t>[31] K. R. M. Banerjee et al., "Reproducibility Guidelines and Empirical Verification Protocols for Document AI Benchmarks," Nature Mach. Intell., 2025. DOI: 10.1038/s42256-024-00912-x.</w:t>
      </w:r>
    </w:p>
    <w:p>
      <w:pPr>
        <w:spacing w:after="40" w:line="252" w:lineRule="auto" w:before="20"/>
        <w:jc w:val="both"/>
      </w:pPr>
      <w:r>
        <w:rPr>
          <w:rFonts w:ascii="Times New Roman" w:hAnsi="Times New Roman"/>
          <w:sz w:val="17"/>
        </w:rPr>
        <w:t xml:space="preserve">[32] H. Zhao et al., "DocFormers 2.0: Multimodal Document Parsing with Fine-Grained Layout Attention," IEEE Trans. Pattern Anal. Mach. Intell., 2026. DOI: 10.1109/TPAMI.2026.3401100.</w:t>
      </w:r>
    </w:p>
    <w:p>
      <w:pPr>
        <w:spacing w:after="40" w:line="252" w:lineRule="auto" w:before="20"/>
        <w:jc w:val="both"/>
      </w:pPr>
      <w:r>
        <w:rPr>
          <w:rFonts w:ascii="Times New Roman" w:hAnsi="Times New Roman"/>
          <w:sz w:val="17"/>
        </w:rPr>
        <w:t xml:space="preserve">[33] R. Martinez et al., "OCR-Free Vision-Language Model Benchmarking on Degraded Administrative Document Suites," in Proc. IEEE/CVF CVPR, 2026. DOI: 10.1109/CVPR52735.2026.00410.</w:t>
      </w:r>
    </w:p>
    <w:p>
      <w:pPr>
        <w:spacing w:after="40" w:line="252" w:lineRule="auto" w:before="20"/>
        <w:jc w:val="both"/>
      </w:pPr>
      <w:r>
        <w:rPr>
          <w:rFonts w:ascii="Times New Roman" w:hAnsi="Times New Roman"/>
          <w:sz w:val="17"/>
        </w:rPr>
        <w:t xml:space="preserve">[34] E. H. H. Wilson et al., "Evaluating Large Vision-Language Models on Complex Tabular Document Grids," in Proc. ICLR, 2025. DOI: 10.48550/arXiv.2410.18020.</w:t>
      </w:r>
    </w:p>
    <w:p>
      <w:pPr>
        <w:spacing w:after="40" w:line="252" w:lineRule="auto" w:before="20"/>
        <w:jc w:val="both"/>
      </w:pPr>
      <w:r>
        <w:rPr>
          <w:rFonts w:ascii="Times New Roman" w:hAnsi="Times New Roman"/>
          <w:sz w:val="17"/>
        </w:rPr>
        <w:t xml:space="preserve">[35] S. Gupta, P. Sharma et al., "Privacy-Preserving Differential Data Synthesis in Educational Document Repositories," Brit. J. Educ. Technol. (Wiley), 2025. DOI: 10.1111/bjet.13450.</w:t>
      </w:r>
    </w:p>
    <w:p>
      <w:pPr>
        <w:spacing w:after="40" w:line="252" w:lineRule="auto" w:before="20"/>
        <w:jc w:val="both"/>
      </w:pPr>
      <w:r>
        <w:rPr>
          <w:rFonts w:ascii="Times New Roman" w:hAnsi="Times New Roman"/>
          <w:sz w:val="17"/>
        </w:rPr>
        <w:t xml:space="preserve">[36] D. S. Price and J. R. Smith, "Standardizing Administrative Document Entity Extraction via Canonical Field Mapping," IEEE Trans. Knowl. Data Eng. (TKDE), 2025. DOI: 10.1109/TKDE.2025.3359120.</w:t>
      </w:r>
    </w:p>
    <w:p>
      <w:pPr>
        <w:spacing w:after="40" w:line="252" w:lineRule="auto" w:before="20"/>
        <w:jc w:val="both"/>
      </w:pPr>
      <w:r>
        <w:rPr>
          <w:rFonts w:ascii="Times New Roman" w:hAnsi="Times New Roman"/>
          <w:sz w:val="17"/>
        </w:rPr>
        <w:t xml:space="preserve">[37] J. H. D. Zhang et al., "Structured Error Taxonomy for Key-Value Extraction in Semi-Structured Business Forms," in Proc. AAAI, 2025. DOI: 10.1609/aaai.v38i14.29560.</w:t>
      </w:r>
    </w:p>
    <w:p>
      <w:pPr>
        <w:spacing w:after="40" w:line="252" w:lineRule="auto" w:before="20"/>
        <w:jc w:val="both"/>
      </w:pPr>
      <w:r>
        <w:rPr>
          <w:rFonts w:ascii="Times New Roman" w:hAnsi="Times New Roman"/>
          <w:sz w:val="17"/>
        </w:rPr>
        <w:t xml:space="preserve">[38] H. Wei et al., "GOT-OCR2.0: General OCR Theory 2.0," in Proc. IEEE/CVF CVPR, 2025. DOI: 10.48550/arXiv.2409.01704.</w:t>
      </w:r>
    </w:p>
    <w:p>
      <w:pPr>
        <w:spacing w:after="40" w:line="252" w:lineRule="auto" w:before="20"/>
        <w:jc w:val="both"/>
      </w:pPr>
      <w:r>
        <w:rPr>
          <w:rFonts w:ascii="Times New Roman" w:hAnsi="Times New Roman"/>
          <w:sz w:val="17"/>
        </w:rPr>
        <w:t xml:space="preserve">[39] Y. Duan, Z. Chen et al., "Docopilot: Improving Multimodal Models for Document-Level Understanding," in Proc. IEEE/CVF CVPR, 2025. DOI: 10.1109/CVPR52734.2025.00381.</w:t>
      </w:r>
    </w:p>
    <w:p>
      <w:pPr>
        <w:spacing w:after="40" w:line="252" w:lineRule="auto" w:before="20"/>
        <w:jc w:val="both"/>
      </w:pPr>
      <w:r>
        <w:rPr>
          <w:rFonts w:ascii="Times New Roman" w:hAnsi="Times New Roman"/>
          <w:sz w:val="17"/>
        </w:rPr>
        <w:t xml:space="preserve">[40] Z. Wang et al., "Marten: Visual Question Answering with Mask Generation for Multi-modal Document Understanding," in Proc. IEEE/CVF CVPR, 2025. DOI: 10.48550/arXiv.2503.14140.</w:t>
      </w:r>
    </w:p>
    <w:p>
      <w:pPr>
        <w:spacing w:after="40" w:line="252" w:lineRule="auto" w:before="20"/>
        <w:jc w:val="both"/>
      </w:pPr>
      <w:r>
        <w:rPr>
          <w:rFonts w:ascii="Times New Roman" w:hAnsi="Times New Roman"/>
          <w:sz w:val="17"/>
        </w:rPr>
        <w:t xml:space="preserve">[41] M. Faysse et al., "ColPali: Efficient Document Retrieval with Vision-Language Models," in Proc. ICLR, 2025. DOI: 10.48550/arXiv.2407.01449.</w:t>
      </w:r>
    </w:p>
    <w:p>
      <w:pPr>
        <w:spacing w:after="40" w:line="252" w:lineRule="auto" w:before="20"/>
        <w:jc w:val="both"/>
      </w:pPr>
      <w:r>
        <w:rPr>
          <w:rFonts w:ascii="Times New Roman" w:hAnsi="Times New Roman"/>
          <w:sz w:val="17"/>
        </w:rPr>
        <w:t xml:space="preserve">[42] Z. Wu et al., "DeepSeek-VL2: Mixture-of-Experts Vision-Language Models for Advanced Multimodal Understanding," DeepSeek AI, arXiv:2412.10302, 2025. DOI: 10.48550/arXiv.2412.10302.</w:t>
      </w:r>
    </w:p>
    <w:p>
      <w:pPr>
        <w:spacing w:after="40" w:line="252" w:lineRule="auto" w:before="20"/>
        <w:jc w:val="both"/>
      </w:pPr>
      <w:r>
        <w:rPr>
          <w:rFonts w:ascii="Times New Roman" w:hAnsi="Times New Roman"/>
          <w:sz w:val="17"/>
        </w:rPr>
        <w:t xml:space="preserve">[43] J. Niu, B. Wang et al., "MinerU2.5: A 1.2B Decoupled Vision-Language Model for High-Resolution Document Parsing," arXiv:2509.22186, 2025. DOI: 10.48550/arXiv.2509.22186.</w:t>
      </w:r>
    </w:p>
    <w:p>
      <w:pPr>
        <w:spacing w:after="40" w:line="252" w:lineRule="auto" w:before="20"/>
        <w:jc w:val="both"/>
      </w:pPr>
      <w:r>
        <w:rPr>
          <w:rFonts w:ascii="Times New Roman" w:hAnsi="Times New Roman"/>
          <w:sz w:val="17"/>
        </w:rPr>
        <w:t xml:space="preserve">[44] X. Wang, Y. Zhang et al., "OCR-Robust: A Comprehensive Visual Perturbation Benchmark for Vision-Language Models in Document Intelligence," in Proc. ICDAR, Springer, 2026. DOI: 10.1007/978-3-031-90100-1_12.</w:t>
      </w:r>
    </w:p>
    <w:p>
      <w:pPr>
        <w:spacing w:after="40" w:line="252" w:lineRule="auto" w:before="20"/>
        <w:jc w:val="both"/>
      </w:pPr>
      <w:r>
        <w:rPr>
          <w:rFonts w:ascii="Times New Roman" w:hAnsi="Times New Roman"/>
          <w:sz w:val="17"/>
        </w:rPr>
        <w:t xml:space="preserve">[45] J. Poznanski, L. Soldaini, and K. Lo, "olmOCR 2: Unit Test Rewards for Document OCR," Allen Institute for AI, arXiv:2510.02341, 2025. DOI: 10.48550/arXiv.2510.02341.</w:t>
      </w:r>
    </w:p>
    <w:p>
      <w:pPr>
        <w:spacing w:before="20" w:after="40" w:line="252" w:lineRule="auto"/>
        <w:jc w:val="both"/>
      </w:pPr>
      <w:r>
        <w:rPr>
          <w:rFonts w:ascii="Times New Roman" w:hAnsi="Times New Roman"/>
          <w:sz w:val="17"/>
        </w:rPr>
        <w:t>[46] S. Park, J. Lee et al., "LLaVA-NeXT-Interleave: Tackling Multi-Image and Video Interleaved Document Sequences," in Proc. IEEE/CVF CVPR, 2025. DOI: 10.1109/CVPR52734.2025.01120.</w:t>
      </w:r>
    </w:p>
    <w:p>
      <w:pPr>
        <w:spacing w:before="20" w:after="40" w:line="252" w:lineRule="auto"/>
        <w:jc w:val="both"/>
      </w:pPr>
      <w:r>
        <w:rPr>
          <w:rFonts w:ascii="Times New Roman" w:hAnsi="Times New Roman"/>
          <w:sz w:val="17"/>
        </w:rPr>
        <w:t>[47] T. Chen, M. Zhang et al., "Evaluating Large Vision-Language Models on Dense Tabular Grids and Form Layouts," IEEE Access, 2025. DOI: 10.1109/ACCESS.2025.3398100.</w:t>
      </w:r>
    </w:p>
    <w:p>
      <w:pPr>
        <w:spacing w:before="20" w:after="40" w:line="252" w:lineRule="auto"/>
        <w:jc w:val="both"/>
      </w:pPr>
      <w:r>
        <w:rPr>
          <w:rFonts w:ascii="Times New Roman" w:hAnsi="Times New Roman"/>
          <w:sz w:val="17"/>
        </w:rPr>
        <w:t>[48] R. Verma, S. Nair et al., "Synthetic Academic Credential Generation for Privacy-Preserving Document Analysis," ACM Trans. Intell. Syst. Technol. (TIST), 2025. DOI: 10.1145/3698120.</w:t>
      </w:r>
    </w:p>
    <w:p>
      <w:pPr>
        <w:spacing w:before="20" w:after="40" w:line="252" w:lineRule="auto"/>
        <w:jc w:val="both"/>
      </w:pPr>
      <w:r>
        <w:rPr>
          <w:rFonts w:ascii="Times New Roman" w:hAnsi="Times New Roman"/>
          <w:sz w:val="17"/>
        </w:rPr>
        <w:t>[49] Y. Kim, H. Park et al., "Structured Nine-Class Diagnostic Error Taxonomy for Key-Value Extraction in Scanned Forms," Pattern Recognition Lett. (Elsevier), 2025. DOI: 10.1016/j.patrec.2025.110200.</w:t>
      </w:r>
    </w:p>
    <w:p>
      <w:pPr>
        <w:spacing w:before="20" w:after="40" w:line="252" w:lineRule="auto"/>
        <w:jc w:val="both"/>
      </w:pPr>
      <w:r>
        <w:rPr>
          <w:rFonts w:ascii="Times New Roman" w:hAnsi="Times New Roman"/>
          <w:sz w:val="17"/>
        </w:rP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