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19"/>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Conclusion</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Future Work</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22</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used to extract information from certificates, marksheets, transcripts, and student identification documents, but evaluating such systems is challenging because real academic records contain sensitive student information and cannot be freely distributed for benchmarking. We develop a Smart Academic Document Intelligence System with a synthetic benchmark generation and normalization pipeline for automated academic document extraction and evaluation. The system generates 360 synthetic document specimens across certificate, marksheet, and student identification categories with controlled optical degradation and complete ground-truth annotations, while semantic normalization reduces the effect of superficial formatting and representation differences during evaluation. In the canonical live evaluation using MiniCPM-V (7.6B, Q4_0) through the local Ollama runtime, the system achieved 75.23% field-level F1, 74.60% raw exact match, 82.18% normalized exact match, and 8.21% character error rate across 24,480 field observations, while document-category classification achieved 100.00% accuracy. These results demonstrate that the proposed system can provide a privacy-preserving and structured approach for evaluating automated academic document extraction without requiring real student records. By combining deterministic synthetic document generation, ground-truth annotations, semantic normalization, and structured error analysis, the system provides a practical foundation for assessing and improving academic document intelligence systems.</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outlines the research gap. Section 3 details the proposed methodology, including the decoupled system architecture and complete end-to-end data flow. Section 4 specifies the experimental setup, dataset composition, evaluation protocol, and mathematical formulations of metrics. Section 5 presents and discusses the empirical results, statistical analyses, ablation findings, error-taxonomy analysis, classification benchmark, scientific interpretation, and threats to validity. Section 6 concludes the paper, and Section 7 outlines future work.</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synthetic formatting discrepancy correction capability of the Six-Stage Semantic Canonical Normalizer independently from visual perception errors, a two-pass rule ablation study was conducted across all 24,480 field observations. As summarized in Table IX and visualized in Fig. 4 and Fig. 5, canonical normalization resolved superficial syntax variations, increasing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evaluates 5,760 core scalar metadata observations across the 360 specimens (360 x 16 canonical fields). All 2,620 `FORMAT_ERROR` instances in Pass A were systematically converted into character-perfect `EXACT_MATCH` records in Pass B (raising exact match from 50.00% to 95.49%), while 260 genuine `NORMALIZATION_ERROR` cases (4.51%) were preserved, proving that canonicalization isolates formatting discrepancies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7"/>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pPr>
        <w:spacing w:before="240" w:after="80"/>
        <w:outlineLvl w:val="0"/>
      </w:pPr>
      <w:r>
        <w:rPr>
          <w:rFonts w:ascii="Times New Roman" w:hAnsi="Times New Roman"/>
          <w:b/>
          <w:sz w:val="22"/>
        </w:rPr>
        <w:t>6. Conclusion</w:t>
      </w:r>
    </w:p>
    <w:p>
      <w:pPr>
        <w:spacing w:line="252" w:lineRule="auto" w:after="120"/>
      </w:pPr>
      <w:r>
        <w:rPr>
          <w:rFonts w:ascii="Times New Roman" w:hAnsi="Times New Roman"/>
          <w:sz w:val="20"/>
        </w:rPr>
        <w:t>Benchmarking document intelligence systems on academic credentials remains bottlenecked by statutory privacy regulations such as FERPA and GDPR, alongside rigid string evaluation metrics that artificially penalize benign formatting variances [25], [28], [35]. To resolve these limitations, this paper presented a reproducible synthetic evaluation methodology (ADBG v1.0 and AU DIC Framework v1.0) [26], [31]. The framework integrates seed-deterministic credential compilation, a six-stage semantic canonical normalizer, an automated nine-class OCR error taxonomy [37], and a four-profile optical degradation matrix [30]. Live empirical evaluation across 360 specimens (24,480 paired observations) confirmed that canonical normalization isolates genuine extraction failures (McNemar χ² = 2618.00, p &lt; 0.0001) [22], [25], establishing a standardized, privacy-preserving benchmark foundation [26], [31].</w:t>
      </w:r>
    </w:p>
    <w:p>
      <w:pPr>
        <w:spacing w:before="240" w:after="80"/>
        <w:outlineLvl w:val="0"/>
      </w:pPr>
      <w:r>
        <w:rPr>
          <w:rFonts w:ascii="Times New Roman" w:hAnsi="Times New Roman"/>
          <w:b/>
          <w:sz w:val="22"/>
        </w:rPr>
        <w:t>7. Future Work</w:t>
      </w:r>
    </w:p>
    <w:p>
      <w:pPr>
        <w:spacing w:line="252" w:lineRule="auto" w:after="120"/>
      </w:pPr>
      <w:r>
        <w:rPr>
          <w:rFonts w:ascii="Times New Roman" w:hAnsi="Times New Roman"/>
          <w:sz w:val="20"/>
        </w:rPr>
        <w:t>Promising avenues for future research encompass three primary dimensions to further expand the benchmark capability. First, ADBG v2.0 will introduce multi-lingual credential synthesis supporting Indic scripts (Hindi, Tamil, Devanagari) and multi-lingual institutional degree layouts [26]. Second, we will expand Option A image-based benchmarking across leading vision-language foundation models (Donut [7], Florence-2 [9], GOT-OCR2.0 [38], LLaVA-NeXT-Doc [15], DocFormers 2.0 [32]) and specialized OCR systems (Tesseract [19], MinerU [43]) to measure extraction robustness under severe optical distortions [30]. Third, multi-model comparative benchmarking will incorporate instruction-tuned multimodal architectures (such as LayoutLMv2 [46] and DocFormers 2.0 [32]) to deliver comprehensive model rankings and cross-domain diagnostic evaluations across diverse higher education administrative workflows [31].</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sectPr>
      <w:footerReference r:id="rId5" w:type="default"/>
      <w:pgSz w:w="12240" w:h="15840"/>
      <w:pgMar w:top="1440" w:right="1440" w:bottom="1440" w:left="1440" w:header="720" w:footer="720" w:gutter="0"/>
      <w:cols w:space="720" w:num="1"/>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