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dataset comprises 360 synthetic specimens across certificates, marksheets, and student identity cards evaluated across four optical quality profiles (clean, scanner copy, mobile capture, and 90° rotation). In canonical live evaluation using MiniCPM-V (7.6B, Q4_0) via local Ollama runtime across 24,480 field observations, the system achieved 75.23% field F1, 74.60% raw exact match, 82.18% normalized exact match, 8.21% character error rate, and 100.00% category classification accuracy. Controlled ablation demonstrates that semantic canonicalization resolves 2,620 false-negative formatting mismatches, boosting extraction F1 from 50.00% to 95.49% (+45.49% gain) and reducing CER from 38.13% to 3.65% with high statistical significance (McNemar χ² = 2618.00, p &lt; 0.0001). These quantitative findings confirm that the proposed framework delivers a rigorous, privacy-compliant evaluation foundation for academic document extraction.</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1: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1984468" cy="530352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1984468" cy="530352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1829330" cy="530352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1829330" cy="530352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120" w:after="60"/>
        <w:jc w:val="center"/>
      </w:pPr>
      <w:r>
        <w:rPr>
          <w:rFonts w:ascii="Times New Roman" w:hAnsi="Times New Roman"/>
          <w:b/>
          <w:sz w:val="18"/>
        </w:rPr>
        <w:t>TABLE 2: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3 summarizes the benchmark dataset composition, and Table 4 details the 4 optical quality profiles.</w:t>
      </w:r>
    </w:p>
    <w:p>
      <w:pPr>
        <w:spacing w:before="120" w:after="60"/>
        <w:jc w:val="center"/>
      </w:pPr>
      <w:r>
        <w:rPr>
          <w:rFonts w:ascii="Times New Roman" w:hAnsi="Times New Roman"/>
          <w:b/>
          <w:sz w:val="18"/>
        </w:rPr>
        <w:t>TABLE 3: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4: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120" w:after="60"/>
        <w:jc w:val="center"/>
      </w:pPr>
      <w:r>
        <w:rPr>
          <w:rFonts w:ascii="Times New Roman" w:hAnsi="Times New Roman"/>
          <w:b/>
          <w:sz w:val="18"/>
        </w:rPr>
        <w:t>TABLE 5: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6 provides the consolidated mathematical formulations and scientific purposes for all reported evaluation metrics.</w:t>
      </w:r>
    </w:p>
    <w:p>
      <w:pPr>
        <w:spacing w:before="120" w:after="60"/>
        <w:jc w:val="center"/>
      </w:pPr>
      <w:r>
        <w:rPr>
          <w:rFonts w:ascii="Times New Roman" w:hAnsi="Times New Roman"/>
          <w:b/>
          <w:sz w:val="18"/>
        </w:rPr>
        <w:t>TABLE 6: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7: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8,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8: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9 and visualized in Fig. 4 and Fig. 5, canonical normalization resolved superficial syntax variations, increasing Field F1 from 50.00% to 95.49% (+45.49% net gain) while reducing Character Error Rate from 38.13% to 3.65% (a 90.42% relative error reduction).</w:t>
      </w:r>
    </w:p>
    <w:p>
      <w:pPr>
        <w:spacing w:before="120" w:after="60"/>
        <w:jc w:val="center"/>
      </w:pPr>
      <w:r>
        <w:rPr>
          <w:rFonts w:ascii="Times New Roman" w:hAnsi="Times New Roman"/>
          <w:b/>
          <w:sz w:val="18"/>
        </w:rPr>
        <w:t>TABLE 9: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10.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10: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120" w:after="60"/>
        <w:jc w:val="center"/>
      </w:pPr>
      <w:r>
        <w:rPr>
          <w:rFonts w:ascii="Times New Roman" w:hAnsi="Times New Roman"/>
          <w:b/>
          <w:sz w:val="18"/>
        </w:rPr>
        <w:t>TABLE 11: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12: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13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60"/>
        <w:jc w:val="center"/>
      </w:pPr>
      <w:r>
        <w:rPr>
          <w:rFonts w:ascii="Times New Roman" w:hAnsi="Times New Roman"/>
          <w:b/>
          <w:sz w:val="18"/>
        </w:rPr>
        <w:t>TABLE 13: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14,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14: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0"/>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1"/>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80" w:after="120"/>
        <w:outlineLvl w:val="0"/>
      </w:pPr>
      <w:r>
        <w:rPr>
          <w:rFonts w:ascii="Times New Roman" w:hAnsi="Times New Roman"/>
          <w:b/>
          <w:sz w:val="26"/>
        </w:rPr>
        <w:t>REFERENCES</w:t>
      </w:r>
    </w:p>
    <w:p>
      <w:pPr>
        <w:spacing w:after="40" w:line="252" w:lineRule="auto" w:before="2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40" w:line="252" w:lineRule="auto" w:before="2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40" w:line="252" w:lineRule="auto" w:before="2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40" w:line="252" w:lineRule="auto" w:before="2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40" w:line="252" w:lineRule="auto" w:before="2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40" w:line="252" w:lineRule="auto" w:before="2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40" w:line="252" w:lineRule="auto" w:before="2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40" w:line="252" w:lineRule="auto" w:before="2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40" w:line="252" w:lineRule="auto" w:before="2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40" w:line="252" w:lineRule="auto" w:before="2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40" w:line="252" w:lineRule="auto" w:before="2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40" w:line="252" w:lineRule="auto" w:before="2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40" w:line="252" w:lineRule="auto" w:before="2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40" w:line="252" w:lineRule="auto" w:before="2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40" w:line="252" w:lineRule="auto" w:before="2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40" w:line="252" w:lineRule="auto" w:before="2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40" w:line="252" w:lineRule="auto" w:before="2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40" w:line="252" w:lineRule="auto" w:before="2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40" w:line="252" w:lineRule="auto" w:before="2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40" w:line="252" w:lineRule="auto" w:before="2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40" w:line="252" w:lineRule="auto" w:before="2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40" w:line="252" w:lineRule="auto" w:before="2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40" w:line="252" w:lineRule="auto" w:before="2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40" w:line="252" w:lineRule="auto" w:before="2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40" w:line="252" w:lineRule="auto" w:before="2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40" w:line="252" w:lineRule="auto" w:before="2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40" w:line="252" w:lineRule="auto" w:before="2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40" w:line="252" w:lineRule="auto" w:before="2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40" w:line="252" w:lineRule="auto" w:before="2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40" w:line="252" w:lineRule="auto" w:before="2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20" w:after="4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40" w:line="252" w:lineRule="auto" w:before="2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40" w:line="252" w:lineRule="auto" w:before="2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40" w:line="252" w:lineRule="auto" w:before="2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40" w:line="252" w:lineRule="auto" w:before="2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40" w:line="252" w:lineRule="auto" w:before="2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40" w:line="252" w:lineRule="auto" w:before="2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40" w:line="252" w:lineRule="auto" w:before="20"/>
        <w:jc w:val="both"/>
      </w:pPr>
      <w:r>
        <w:rPr>
          <w:rFonts w:ascii="Times New Roman" w:hAnsi="Times New Roman"/>
          <w:sz w:val="17"/>
        </w:rPr>
        <w:t xml:space="preserve">[38] H. Wei et al., "GOT-OCR2.0: General OCR Theory 2.0," in Proc. IEEE/CVF CVPR, 2025. DOI: 10.48550/arXiv.2409.01704.</w:t>
      </w:r>
    </w:p>
    <w:p>
      <w:pPr>
        <w:spacing w:after="40" w:line="252" w:lineRule="auto" w:before="2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40" w:line="252" w:lineRule="auto" w:before="2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40" w:line="252" w:lineRule="auto" w:before="20"/>
        <w:jc w:val="both"/>
      </w:pPr>
      <w:r>
        <w:rPr>
          <w:rFonts w:ascii="Times New Roman" w:hAnsi="Times New Roman"/>
          <w:sz w:val="17"/>
        </w:rPr>
        <w:t xml:space="preserve">[41] M. Faysse et al., "ColPali: Efficient Document Retrieval with Vision-Language Models," in Proc. ICLR, 2025. DOI: 10.48550/arXiv.2407.01449.</w:t>
      </w:r>
    </w:p>
    <w:p>
      <w:pPr>
        <w:spacing w:after="40" w:line="252" w:lineRule="auto" w:before="2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40" w:line="252" w:lineRule="auto" w:before="2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40" w:line="252" w:lineRule="auto" w:before="2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40" w:line="252" w:lineRule="auto" w:before="2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20" w:after="4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20" w:after="4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20" w:after="4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20" w:after="4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20" w:after="4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