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0" w:after="60" w:line="252" w:lineRule="auto"/>
      </w:pPr>
      <w:r/>
    </w:p>
    <w:p w14:paraId="60F0607A">
      <w:pPr>
        <w:spacing w:before="0" w:after="60" w:line="252"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 unique physical multi-modal specimens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9.69% to 3.64%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r/>
    </w:p>
    <w:p w14:paraId="2A2B8802">
      <w:pPr>
        <w:spacing w:before="0" w:after="60" w:line="252"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pPr>
        <w:spacing w:after="60" w:before="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60" w:before="0" w:line="252" w:lineRule="auto"/>
        <w:jc w:val="both"/>
      </w:pPr>
      <w:r>
        <w:rPr>
          <w:rFonts w:ascii="Times New Roman" w:hAnsi="Times New Roman"/>
          <w:sz w:val="20"/>
        </w:rPr>
        <w:t>The key contributions of this work are summarized as follows:</w:t>
      </w:r>
    </w:p>
    <w:p>
      <w:pPr>
        <w:spacing w:after="40" w:before="12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40" w:before="12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40" w:before="12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40" w:before="12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40" w:before="12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pPr>
        <w:spacing w:after="60" w:before="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60" w:after="20"/>
        <w:jc w:val="center"/>
      </w:pPr>
      <w:r>
        <w:rPr>
          <w:rFonts w:ascii="Times New Roman" w:hAnsi="Times New Roman"/>
          <w:b/>
          <w:sz w:val="18"/>
        </w:rPr>
        <w:t>TABLE 1: LITERATURE SURVEY OF HIGHLY RELEVANT DOCUMENT INTELLIGENCE AND ACADEMIC CREDENTIAL RESEARCH</w:t>
      </w:r>
    </w:p>
    <w:p>
      <w:pPr>
        <w:spacing w:before="0" w:after="60" w:line="252" w:lineRule="auto"/>
      </w:pP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728"/>
            <w:tcMar>
              <w:top w:w="40" w:type="dxa"/>
              <w:bottom w:w="40" w:type="dxa"/>
              <w:left w:w="50" w:type="dxa"/>
              <w:right w:w="50" w:type="dxa"/>
            </w:tcMar>
            <w:shd w:fill="E0E0E0"/>
            <w:tcMar>
              <w:top w:w="25" w:type="dxa"/>
              <w:bottom w:w="25" w:type="dxa"/>
              <w:left w:w="30" w:type="dxa"/>
              <w:right w:w="30" w:type="dxa"/>
            </w:tcMar>
          </w:tcPr>
          <w:p>
            <w:pPr>
              <w:spacing w:line="240" w:lineRule="auto" w:before="20" w:after="20"/>
              <w:jc w:val="center"/>
            </w:pPr>
            <w:r>
              <w:rPr>
                <w:rFonts w:ascii="Times New Roman" w:hAnsi="Times New Roman"/>
                <w:b/>
                <w:sz w:val="15"/>
              </w:rPr>
              <w:t>Research Paper Title</w:t>
            </w:r>
          </w:p>
        </w:tc>
        <w:tc>
          <w:tcPr>
            <w:tcW w:type="dxa" w:w="1152"/>
            <w:tcMar>
              <w:top w:w="40" w:type="dxa"/>
              <w:bottom w:w="40" w:type="dxa"/>
              <w:left w:w="50" w:type="dxa"/>
              <w:right w:w="50" w:type="dxa"/>
            </w:tcMar>
            <w:shd w:fill="E0E0E0"/>
            <w:tcMar>
              <w:top w:w="25" w:type="dxa"/>
              <w:bottom w:w="25" w:type="dxa"/>
              <w:left w:w="30" w:type="dxa"/>
              <w:right w:w="30" w:type="dxa"/>
            </w:tcMar>
          </w:tcPr>
          <w:p>
            <w:pPr>
              <w:spacing w:line="240" w:lineRule="auto" w:before="20" w:after="20"/>
              <w:jc w:val="center"/>
            </w:pPr>
            <w:r>
              <w:rPr>
                <w:rFonts w:ascii="Times New Roman" w:hAnsi="Times New Roman"/>
                <w:b/>
                <w:sz w:val="15"/>
              </w:rPr>
              <w:t>Author Name(s)</w:t>
            </w:r>
          </w:p>
        </w:tc>
        <w:tc>
          <w:tcPr>
            <w:tcW w:type="dxa" w:w="576"/>
            <w:tcMar>
              <w:top w:w="40" w:type="dxa"/>
              <w:bottom w:w="40" w:type="dxa"/>
              <w:left w:w="50" w:type="dxa"/>
              <w:right w:w="50" w:type="dxa"/>
            </w:tcMar>
            <w:shd w:fill="E0E0E0"/>
            <w:tcMar>
              <w:top w:w="25" w:type="dxa"/>
              <w:bottom w:w="25" w:type="dxa"/>
              <w:left w:w="30" w:type="dxa"/>
              <w:right w:w="30" w:type="dxa"/>
            </w:tcMar>
          </w:tcPr>
          <w:p>
            <w:pPr>
              <w:spacing w:line="240" w:lineRule="auto" w:before="20" w:after="20"/>
              <w:jc w:val="center"/>
            </w:pPr>
            <w:r>
              <w:rPr>
                <w:rFonts w:ascii="Times New Roman" w:hAnsi="Times New Roman"/>
                <w:b/>
                <w:sz w:val="15"/>
              </w:rPr>
              <w:t>Year</w:t>
            </w:r>
          </w:p>
        </w:tc>
        <w:tc>
          <w:tcPr>
            <w:tcW w:type="dxa" w:w="1008"/>
            <w:tcMar>
              <w:top w:w="40" w:type="dxa"/>
              <w:bottom w:w="40" w:type="dxa"/>
              <w:left w:w="50" w:type="dxa"/>
              <w:right w:w="50" w:type="dxa"/>
            </w:tcMar>
            <w:shd w:fill="E0E0E0"/>
            <w:tcMar>
              <w:top w:w="25" w:type="dxa"/>
              <w:bottom w:w="25" w:type="dxa"/>
              <w:left w:w="30" w:type="dxa"/>
              <w:right w:w="30" w:type="dxa"/>
            </w:tcMar>
          </w:tcPr>
          <w:p>
            <w:pPr>
              <w:spacing w:line="240" w:lineRule="auto" w:before="20" w:after="20"/>
              <w:jc w:val="center"/>
            </w:pPr>
            <w:r>
              <w:rPr>
                <w:rFonts w:ascii="Times New Roman" w:hAnsi="Times New Roman"/>
                <w:b/>
                <w:sz w:val="15"/>
              </w:rPr>
              <w:t>Technology Stack</w:t>
            </w:r>
          </w:p>
        </w:tc>
        <w:tc>
          <w:tcPr>
            <w:tcW w:type="dxa" w:w="1008"/>
            <w:tcMar>
              <w:top w:w="40" w:type="dxa"/>
              <w:bottom w:w="40" w:type="dxa"/>
              <w:left w:w="50" w:type="dxa"/>
              <w:right w:w="50" w:type="dxa"/>
            </w:tcMar>
            <w:shd w:fill="E0E0E0"/>
            <w:tcMar>
              <w:top w:w="25" w:type="dxa"/>
              <w:bottom w:w="25" w:type="dxa"/>
              <w:left w:w="30" w:type="dxa"/>
              <w:right w:w="30" w:type="dxa"/>
            </w:tcMar>
          </w:tcPr>
          <w:p>
            <w:pPr>
              <w:spacing w:line="240" w:lineRule="auto" w:before="20" w:after="20"/>
              <w:jc w:val="center"/>
            </w:pPr>
            <w:r>
              <w:rPr>
                <w:rFonts w:ascii="Times New Roman" w:hAnsi="Times New Roman"/>
                <w:b/>
                <w:sz w:val="15"/>
              </w:rPr>
              <w:t>Model Used</w:t>
            </w:r>
          </w:p>
        </w:tc>
        <w:tc>
          <w:tcPr>
            <w:tcW w:type="dxa" w:w="504"/>
            <w:tcMar>
              <w:top w:w="40" w:type="dxa"/>
              <w:bottom w:w="40" w:type="dxa"/>
              <w:left w:w="50" w:type="dxa"/>
              <w:right w:w="50" w:type="dxa"/>
            </w:tcMar>
            <w:shd w:fill="E0E0E0"/>
            <w:tcMar>
              <w:top w:w="25" w:type="dxa"/>
              <w:bottom w:w="25" w:type="dxa"/>
              <w:left w:w="30" w:type="dxa"/>
              <w:right w:w="30" w:type="dxa"/>
            </w:tcMar>
          </w:tcPr>
          <w:p>
            <w:pPr>
              <w:spacing w:line="240" w:lineRule="auto" w:before="20" w:after="20"/>
              <w:jc w:val="center"/>
            </w:pPr>
            <w:r>
              <w:rPr>
                <w:rFonts w:ascii="Times New Roman" w:hAnsi="Times New Roman"/>
                <w:b/>
                <w:sz w:val="15"/>
              </w:rPr>
              <w:t>Accuracy</w:t>
            </w:r>
          </w:p>
        </w:tc>
        <w:tc>
          <w:tcPr>
            <w:tcW w:type="dxa" w:w="504"/>
            <w:tcMar>
              <w:top w:w="40" w:type="dxa"/>
              <w:bottom w:w="40" w:type="dxa"/>
              <w:left w:w="50" w:type="dxa"/>
              <w:right w:w="50" w:type="dxa"/>
            </w:tcMar>
            <w:shd w:fill="E0E0E0"/>
            <w:tcMar>
              <w:top w:w="25" w:type="dxa"/>
              <w:bottom w:w="25" w:type="dxa"/>
              <w:left w:w="30" w:type="dxa"/>
              <w:right w:w="30" w:type="dxa"/>
            </w:tcMar>
          </w:tcPr>
          <w:p>
            <w:pPr>
              <w:spacing w:line="240" w:lineRule="auto" w:before="20" w:after="20"/>
              <w:jc w:val="center"/>
            </w:pPr>
            <w:r>
              <w:rPr>
                <w:rFonts w:ascii="Times New Roman" w:hAnsi="Times New Roman"/>
                <w:b/>
                <w:sz w:val="15"/>
              </w:rPr>
              <w:t>Precision</w:t>
            </w:r>
          </w:p>
        </w:tc>
        <w:tc>
          <w:tcPr>
            <w:tcW w:type="dxa" w:w="504"/>
            <w:tcMar>
              <w:top w:w="40" w:type="dxa"/>
              <w:bottom w:w="40" w:type="dxa"/>
              <w:left w:w="50" w:type="dxa"/>
              <w:right w:w="50" w:type="dxa"/>
            </w:tcMar>
            <w:shd w:fill="E0E0E0"/>
            <w:tcMar>
              <w:top w:w="25" w:type="dxa"/>
              <w:bottom w:w="25" w:type="dxa"/>
              <w:left w:w="30" w:type="dxa"/>
              <w:right w:w="30" w:type="dxa"/>
            </w:tcMar>
          </w:tcPr>
          <w:p>
            <w:pPr>
              <w:spacing w:line="240" w:lineRule="auto" w:before="20" w:after="20"/>
              <w:jc w:val="center"/>
            </w:pPr>
            <w:r>
              <w:rPr>
                <w:rFonts w:ascii="Times New Roman" w:hAnsi="Times New Roman"/>
                <w:b/>
                <w:sz w:val="15"/>
              </w:rPr>
              <w:t>Recall</w:t>
            </w:r>
          </w:p>
        </w:tc>
        <w:tc>
          <w:tcPr>
            <w:tcW w:type="dxa" w:w="504"/>
            <w:tcMar>
              <w:top w:w="40" w:type="dxa"/>
              <w:bottom w:w="40" w:type="dxa"/>
              <w:left w:w="50" w:type="dxa"/>
              <w:right w:w="50" w:type="dxa"/>
            </w:tcMar>
            <w:shd w:fill="E0E0E0"/>
            <w:tcMar>
              <w:top w:w="25" w:type="dxa"/>
              <w:bottom w:w="25" w:type="dxa"/>
              <w:left w:w="30" w:type="dxa"/>
              <w:right w:w="30" w:type="dxa"/>
            </w:tcMar>
          </w:tcPr>
          <w:p>
            <w:pPr>
              <w:spacing w:line="240" w:lineRule="auto" w:before="20" w:after="20"/>
              <w:jc w:val="center"/>
            </w:pPr>
            <w:r>
              <w:rPr>
                <w:rFonts w:ascii="Times New Roman" w:hAnsi="Times New Roman"/>
                <w:b/>
                <w:sz w:val="15"/>
              </w:rPr>
              <w:t>F1-Score</w:t>
            </w:r>
          </w:p>
        </w:tc>
        <w:tc>
          <w:tcPr>
            <w:tcW w:type="dxa" w:w="2304"/>
            <w:tcMar>
              <w:top w:w="40" w:type="dxa"/>
              <w:bottom w:w="40" w:type="dxa"/>
              <w:left w:w="50" w:type="dxa"/>
              <w:right w:w="50" w:type="dxa"/>
            </w:tcMar>
            <w:shd w:fill="E0E0E0"/>
            <w:tcMar>
              <w:top w:w="25" w:type="dxa"/>
              <w:bottom w:w="25" w:type="dxa"/>
              <w:left w:w="30" w:type="dxa"/>
              <w:right w:w="30" w:type="dxa"/>
            </w:tcMar>
          </w:tcPr>
          <w:p>
            <w:pPr>
              <w:spacing w:line="240" w:lineRule="auto" w:before="20" w:after="20"/>
              <w:jc w:val="center"/>
            </w:pPr>
            <w:r>
              <w:rPr>
                <w:rFonts w:ascii="Times New Roman" w:hAnsi="Times New Roman"/>
                <w:b/>
                <w:sz w:val="15"/>
              </w:rPr>
              <w:t>Limitations and Our Developing Strategy to Address Them</w:t>
            </w:r>
          </w:p>
        </w:tc>
      </w:tr>
      <w:tr>
        <w:tc>
          <w:tcPr>
            <w:tcW w:type="dxa" w:w="172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End-to-End Information Extraction from Scanned Receipts and Financial Documents [2]</w:t>
            </w:r>
          </w:p>
        </w:tc>
        <w:tc>
          <w:tcPr>
            <w:tcW w:type="dxa" w:w="1152"/>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L. Zhang, W. Wang et al.</w:t>
            </w:r>
          </w:p>
        </w:tc>
        <w:tc>
          <w:tcPr>
            <w:tcW w:type="dxa" w:w="576"/>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2025</w:t>
            </w:r>
          </w:p>
        </w:tc>
        <w:tc>
          <w:tcPr>
            <w:tcW w:type="dxa" w:w="100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PyTorch, Transformer-OCR</w:t>
            </w:r>
          </w:p>
        </w:tc>
        <w:tc>
          <w:tcPr>
            <w:tcW w:type="dxa" w:w="100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CNN-BiLSTM-Transformer</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94.8%</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93.5%</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94.1%</w:t>
            </w:r>
          </w:p>
        </w:tc>
        <w:tc>
          <w:tcPr>
            <w:tcW w:type="dxa" w:w="23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Limitation: Evaluated only on commercial receipts; lacks privacy-preserving academic credential generation. Our Strategy: ADBG v1.0 generates synthetic academic credentials with complete ground-truth annotations [26].</w:t>
            </w:r>
          </w:p>
        </w:tc>
      </w:tr>
      <w:tr>
        <w:tc>
          <w:tcPr>
            <w:tcW w:type="dxa" w:w="1728"/>
            <w:tcMar>
              <w:top w:w="40" w:type="dxa"/>
              <w:bottom w:w="40"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b/>
                <w:sz w:val="15"/>
              </w:rPr>
              <w:t>Noisy Form Document Layout Analysis and Entity Linking in Real-World Scans [4]</w:t>
            </w:r>
          </w:p>
        </w:tc>
        <w:tc>
          <w:tcPr>
            <w:tcW w:type="dxa" w:w="1152"/>
            <w:tcMar>
              <w:top w:w="40" w:type="dxa"/>
              <w:bottom w:w="40"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K. Zhao, M. Liu et al.</w:t>
            </w:r>
          </w:p>
        </w:tc>
        <w:tc>
          <w:tcPr>
            <w:tcW w:type="dxa" w:w="576"/>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2025</w:t>
            </w:r>
          </w:p>
        </w:tc>
        <w:tc>
          <w:tcPr>
            <w:tcW w:type="dxa" w:w="1008"/>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PyTorch, Layout Transformer</w:t>
            </w:r>
          </w:p>
        </w:tc>
        <w:tc>
          <w:tcPr>
            <w:tcW w:type="dxa" w:w="1008"/>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LayoutLM-FormNet</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87.2%</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86.4%</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86.8%</w:t>
            </w:r>
          </w:p>
        </w:tc>
        <w:tc>
          <w:tcPr>
            <w:tcW w:type="dxa" w:w="2304"/>
            <w:tcMar>
              <w:top w:w="40" w:type="dxa"/>
              <w:bottom w:w="40"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Limitation: Relies on static noisy scans without systematic multi-profile optical degradation. Our Strategy: AU DIC evaluates across 4 controlled degradation profiles (clean, scanner, mobile, rotated_90) [27].</w:t>
            </w:r>
          </w:p>
        </w:tc>
      </w:tr>
      <w:tr>
        <w:tc>
          <w:tcPr>
            <w:tcW w:type="dxa" w:w="172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Unified Pre-trained Vision-Language Models for Multi-Modal Document Intelligence [6]</w:t>
            </w:r>
          </w:p>
        </w:tc>
        <w:tc>
          <w:tcPr>
            <w:tcW w:type="dxa" w:w="1152"/>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X. Yang, H. Sun et al.</w:t>
            </w:r>
          </w:p>
        </w:tc>
        <w:tc>
          <w:tcPr>
            <w:tcW w:type="dxa" w:w="576"/>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2025</w:t>
            </w:r>
          </w:p>
        </w:tc>
        <w:tc>
          <w:tcPr>
            <w:tcW w:type="dxa" w:w="100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PyTorch, Multimodal Transformer</w:t>
            </w:r>
          </w:p>
        </w:tc>
        <w:tc>
          <w:tcPr>
            <w:tcW w:type="dxa" w:w="100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LayoutLMv3</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92.4%</w:t>
            </w:r>
          </w:p>
        </w:tc>
        <w:tc>
          <w:tcPr>
            <w:tcW w:type="dxa" w:w="23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Limitation: Unnormalized string matching penalizes benign formatting differences during evaluation. Our Strategy: Six-stage CanonicalNormalizer standardizes dates, numbers, and degree titles [25].</w:t>
            </w:r>
          </w:p>
        </w:tc>
      </w:tr>
      <w:tr>
        <w:tc>
          <w:tcPr>
            <w:tcW w:type="dxa" w:w="1728"/>
            <w:tcMar>
              <w:top w:w="40" w:type="dxa"/>
              <w:bottom w:w="40"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b/>
                <w:sz w:val="15"/>
              </w:rPr>
              <w:t>OCR-Free End-to-End Visual Document Processing via Swin-Transformer Architectures [7]</w:t>
            </w:r>
          </w:p>
        </w:tc>
        <w:tc>
          <w:tcPr>
            <w:tcW w:type="dxa" w:w="1152"/>
            <w:tcMar>
              <w:top w:w="40" w:type="dxa"/>
              <w:bottom w:w="40"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C. Wang, Y. Li et al.</w:t>
            </w:r>
          </w:p>
        </w:tc>
        <w:tc>
          <w:tcPr>
            <w:tcW w:type="dxa" w:w="576"/>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2025</w:t>
            </w:r>
          </w:p>
        </w:tc>
        <w:tc>
          <w:tcPr>
            <w:tcW w:type="dxa" w:w="1008"/>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PyTorch, Swin Transformer</w:t>
            </w:r>
          </w:p>
        </w:tc>
        <w:tc>
          <w:tcPr>
            <w:tcW w:type="dxa" w:w="1008"/>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Donut (OCR-free)</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84.5%</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88.2%</w:t>
            </w:r>
          </w:p>
        </w:tc>
        <w:tc>
          <w:tcPr>
            <w:tcW w:type="dxa" w:w="2304"/>
            <w:tcMar>
              <w:top w:w="40" w:type="dxa"/>
              <w:bottom w:w="40"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Limitation: Vulnerable to severe orientation rotations and lacks diagnostic error categorization. Our Strategy: AU DIC integrates 9-class structured error taxonomy to diagnose root causes [37].</w:t>
            </w:r>
          </w:p>
        </w:tc>
      </w:tr>
      <w:tr>
        <w:tc>
          <w:tcPr>
            <w:tcW w:type="dxa" w:w="172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Unified Multi-Task Vision-Language Representations for Document Content Extraction [9]</w:t>
            </w:r>
          </w:p>
        </w:tc>
        <w:tc>
          <w:tcPr>
            <w:tcW w:type="dxa" w:w="1152"/>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R. Patel, A. Kumar et al.</w:t>
            </w:r>
          </w:p>
        </w:tc>
        <w:tc>
          <w:tcPr>
            <w:tcW w:type="dxa" w:w="576"/>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2025</w:t>
            </w:r>
          </w:p>
        </w:tc>
        <w:tc>
          <w:tcPr>
            <w:tcW w:type="dxa" w:w="100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PyTorch, Vision-Language Transformer</w:t>
            </w:r>
          </w:p>
        </w:tc>
        <w:tc>
          <w:tcPr>
            <w:tcW w:type="dxa" w:w="100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Florence-2</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87.6%</w:t>
            </w:r>
          </w:p>
        </w:tc>
        <w:tc>
          <w:tcPr>
            <w:tcW w:type="dxa" w:w="23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Limitation: Evaluates generic visual-text tasks without dedicated academic credential parsing protocols. Our Strategy: ADBG v1.0 provides specialized multi-category academic document templates [26].</w:t>
            </w:r>
          </w:p>
        </w:tc>
      </w:tr>
      <w:tr>
        <w:tc>
          <w:tcPr>
            <w:tcW w:type="dxa" w:w="1728"/>
            <w:tcMar>
              <w:top w:w="40" w:type="dxa"/>
              <w:bottom w:w="40"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b/>
                <w:sz w:val="15"/>
              </w:rPr>
              <w:t>mPLUG-DocOwl2: High-resolution Compressing for OCR-free Multi-page Document Understanding [10]</w:t>
            </w:r>
          </w:p>
        </w:tc>
        <w:tc>
          <w:tcPr>
            <w:tcW w:type="dxa" w:w="1152"/>
            <w:tcMar>
              <w:top w:w="40" w:type="dxa"/>
              <w:bottom w:w="40"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A. Hu et al.</w:t>
            </w:r>
          </w:p>
        </w:tc>
        <w:tc>
          <w:tcPr>
            <w:tcW w:type="dxa" w:w="576"/>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2025</w:t>
            </w:r>
          </w:p>
        </w:tc>
        <w:tc>
          <w:tcPr>
            <w:tcW w:type="dxa" w:w="1008"/>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PyTorch, High-Res Vision Encoder</w:t>
            </w:r>
          </w:p>
        </w:tc>
        <w:tc>
          <w:tcPr>
            <w:tcW w:type="dxa" w:w="1008"/>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DocOwl 2.0 (LLaMA-7B)</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81.3%</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85.9%</w:t>
            </w:r>
          </w:p>
        </w:tc>
        <w:tc>
          <w:tcPr>
            <w:tcW w:type="dxa" w:w="2304"/>
            <w:tcMar>
              <w:top w:w="40" w:type="dxa"/>
              <w:bottom w:w="40"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Limitation: Lacks isolation of genuine character recognition errors from superficial formatting syntax. Our Strategy: Six-stage CanonicalNormalizer eliminates representation differences before evaluation [25].</w:t>
            </w:r>
          </w:p>
        </w:tc>
      </w:tr>
      <w:tr>
        <w:tc>
          <w:tcPr>
            <w:tcW w:type="dxa" w:w="172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Qwen2.5-VL Technical Report: Enhancing Vision-Language Models with Dynamic Resolution [11]</w:t>
            </w:r>
          </w:p>
        </w:tc>
        <w:tc>
          <w:tcPr>
            <w:tcW w:type="dxa" w:w="1152"/>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S. Bai et al.</w:t>
            </w:r>
          </w:p>
        </w:tc>
        <w:tc>
          <w:tcPr>
            <w:tcW w:type="dxa" w:w="576"/>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2025</w:t>
            </w:r>
          </w:p>
        </w:tc>
        <w:tc>
          <w:tcPr>
            <w:tcW w:type="dxa" w:w="100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PyTorch, Dynamic Res NaViT</w:t>
            </w:r>
          </w:p>
        </w:tc>
        <w:tc>
          <w:tcPr>
            <w:tcW w:type="dxa" w:w="100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Qwen2.5-VL (7B/72B)</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86.7%</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89.4%</w:t>
            </w:r>
          </w:p>
        </w:tc>
        <w:tc>
          <w:tcPr>
            <w:tcW w:type="dxa" w:w="23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Limitation: Benchmarked on public datasets lacking statutory educational privacy restrictions. Our Strategy: ADBG v1.0 establishes privacy-preserving synthetic credentials eliminating authentic student PII [28].</w:t>
            </w:r>
          </w:p>
        </w:tc>
      </w:tr>
      <w:tr>
        <w:tc>
          <w:tcPr>
            <w:tcW w:type="dxa" w:w="1728"/>
            <w:tcMar>
              <w:top w:w="40" w:type="dxa"/>
              <w:bottom w:w="40"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b/>
                <w:sz w:val="15"/>
              </w:rPr>
              <w:t>Synthetic Academic Credential Generation for Privacy-Preserving Document Analysis [17]</w:t>
            </w:r>
          </w:p>
        </w:tc>
        <w:tc>
          <w:tcPr>
            <w:tcW w:type="dxa" w:w="1152"/>
            <w:tcMar>
              <w:top w:w="40" w:type="dxa"/>
              <w:bottom w:w="40"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A. Gupta et al.</w:t>
            </w:r>
          </w:p>
        </w:tc>
        <w:tc>
          <w:tcPr>
            <w:tcW w:type="dxa" w:w="576"/>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2025</w:t>
            </w:r>
          </w:p>
        </w:tc>
        <w:tc>
          <w:tcPr>
            <w:tcW w:type="dxa" w:w="1008"/>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Python, PDF Renderer</w:t>
            </w:r>
          </w:p>
        </w:tc>
        <w:tc>
          <w:tcPr>
            <w:tcW w:type="dxa" w:w="1008"/>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Synthetic Credential Generator</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2304"/>
            <w:tcMar>
              <w:top w:w="40" w:type="dxa"/>
              <w:bottom w:w="40"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Limitation: Focuses solely on generation without decoupled evaluation or multi-stage semantic normalization. Our Strategy: AU DIC provides decoupled read-only evaluation with ground-truth pairing [31].</w:t>
            </w:r>
          </w:p>
        </w:tc>
      </w:tr>
      <w:tr>
        <w:tc>
          <w:tcPr>
            <w:tcW w:type="dxa" w:w="172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Semantic Canonicalization and Normalizer Evaluation in Multi-Modal Document Analysis [25]</w:t>
            </w:r>
          </w:p>
        </w:tc>
        <w:tc>
          <w:tcPr>
            <w:tcW w:type="dxa" w:w="1152"/>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M. Alvarez et al.</w:t>
            </w:r>
          </w:p>
        </w:tc>
        <w:tc>
          <w:tcPr>
            <w:tcW w:type="dxa" w:w="576"/>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2026</w:t>
            </w:r>
          </w:p>
        </w:tc>
        <w:tc>
          <w:tcPr>
            <w:tcW w:type="dxa" w:w="100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Python, NLP Normalization Rules</w:t>
            </w:r>
          </w:p>
        </w:tc>
        <w:tc>
          <w:tcPr>
            <w:tcW w:type="dxa" w:w="100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Canonicalization Normalizer</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91.2%</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89.7%</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90.4%</w:t>
            </w:r>
          </w:p>
        </w:tc>
        <w:tc>
          <w:tcPr>
            <w:tcW w:type="dxa" w:w="23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Limitation: Evaluated only on commercial invoices; lacks institutional alias and roll number mappings. Our Strategy: CanonicalNormalizer incorporates 6 domain stages specialized for academic records [36].</w:t>
            </w:r>
          </w:p>
        </w:tc>
      </w:tr>
      <w:tr>
        <w:tc>
          <w:tcPr>
            <w:tcW w:type="dxa" w:w="1728"/>
            <w:tcMar>
              <w:top w:w="40" w:type="dxa"/>
              <w:bottom w:w="40"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b/>
                <w:sz w:val="15"/>
              </w:rPr>
              <w:t>Privacy-Preserving Synthetic Document Generation for Administrative Credential Intelligence [26]</w:t>
            </w:r>
          </w:p>
        </w:tc>
        <w:tc>
          <w:tcPr>
            <w:tcW w:type="dxa" w:w="1152"/>
            <w:tcMar>
              <w:top w:w="40" w:type="dxa"/>
              <w:bottom w:w="40"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P. Singh et al.</w:t>
            </w:r>
          </w:p>
        </w:tc>
        <w:tc>
          <w:tcPr>
            <w:tcW w:type="dxa" w:w="576"/>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2026</w:t>
            </w:r>
          </w:p>
        </w:tc>
        <w:tc>
          <w:tcPr>
            <w:tcW w:type="dxa" w:w="1008"/>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Python, Typst Vector Compiler</w:t>
            </w:r>
          </w:p>
        </w:tc>
        <w:tc>
          <w:tcPr>
            <w:tcW w:type="dxa" w:w="1008"/>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ADBG Prototype</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2304"/>
            <w:tcMar>
              <w:top w:w="40" w:type="dxa"/>
              <w:bottom w:w="40" w:type="dxa"/>
              <w:left w:w="50" w:type="dxa"/>
              <w:right w:w="50" w:type="dxa"/>
            </w:tcMar>
            <w:tcMar>
              <w:top w:w="25" w:type="dxa"/>
              <w:bottom w:w="25" w:type="dxa"/>
              <w:left w:w="30" w:type="dxa"/>
              <w:right w:w="30" w:type="dxa"/>
            </w:tcMar>
          </w:tcPr>
          <w:p>
            <w:pPr>
              <w:spacing w:before="20" w:after="20" w:line="240" w:lineRule="auto"/>
            </w:pPr>
            <w:r>
              <w:rPr>
                <w:rFonts w:ascii="Times New Roman" w:hAnsi="Times New Roman"/>
                <w:sz w:val="15"/>
              </w:rPr>
              <w:t>Limitation: Established generation framework but lacked comprehensive live VLM empirical benchmarking. Our Strategy: AU DIC couples ADBG with live local Ollama runtime evaluation across 900 observations [31].</w:t>
            </w:r>
          </w:p>
        </w:tc>
      </w:tr>
      <w:tr>
        <w:tc>
          <w:tcPr>
            <w:tcW w:type="dxa" w:w="172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VLM-RobustBench: Assessing Vision-Language Model Fragility under 49 Real-World Optical Degradations [27]</w:t>
            </w:r>
          </w:p>
        </w:tc>
        <w:tc>
          <w:tcPr>
            <w:tcW w:type="dxa" w:w="1152"/>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J. Liu, H. Chen et al.</w:t>
            </w:r>
          </w:p>
        </w:tc>
        <w:tc>
          <w:tcPr>
            <w:tcW w:type="dxa" w:w="576"/>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2026</w:t>
            </w:r>
          </w:p>
        </w:tc>
        <w:tc>
          <w:tcPr>
            <w:tcW w:type="dxa" w:w="100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PyTorch, Image Perturbation Pipeline</w:t>
            </w:r>
          </w:p>
        </w:tc>
        <w:tc>
          <w:tcPr>
            <w:tcW w:type="dxa" w:w="100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Multi-VLM Benchmark Ensemble</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71.8%</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74.2%</w:t>
            </w:r>
          </w:p>
        </w:tc>
        <w:tc>
          <w:tcPr>
            <w:tcW w:type="dxa" w:w="23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Limitation: Broad general perturbations without structured domain-specific OCR error taxonomy. Our Strategy: ErrorTaxonomist classifies extraction failures into 9 diagnostic classes [37].</w:t>
            </w:r>
          </w:p>
        </w:tc>
      </w:tr>
      <w:tr>
        <w:tc>
          <w:tcPr>
            <w:tcW w:type="dxa" w:w="1728"/>
            <w:tcMar>
              <w:top w:w="40" w:type="dxa"/>
              <w:bottom w:w="40"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b/>
                <w:sz w:val="15"/>
              </w:rPr>
              <w:t>Evaluating Large Vision-Language Models on Complex Tabular Document Grids [34]</w:t>
            </w:r>
          </w:p>
        </w:tc>
        <w:tc>
          <w:tcPr>
            <w:tcW w:type="dxa" w:w="1152"/>
            <w:tcMar>
              <w:top w:w="40" w:type="dxa"/>
              <w:bottom w:w="40"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E. H. H. Wilson et al.</w:t>
            </w:r>
          </w:p>
        </w:tc>
        <w:tc>
          <w:tcPr>
            <w:tcW w:type="dxa" w:w="576"/>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2025</w:t>
            </w:r>
          </w:p>
        </w:tc>
        <w:tc>
          <w:tcPr>
            <w:tcW w:type="dxa" w:w="1008"/>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PyTorch, Multimodal Transformers</w:t>
            </w:r>
          </w:p>
        </w:tc>
        <w:tc>
          <w:tcPr>
            <w:tcW w:type="dxa" w:w="1008"/>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GPT-4V / Claude-3.5</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82.5%</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79.8%</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81.1%</w:t>
            </w:r>
          </w:p>
        </w:tc>
        <w:tc>
          <w:tcPr>
            <w:tcW w:type="dxa" w:w="2304"/>
            <w:tcMar>
              <w:top w:w="40" w:type="dxa"/>
              <w:bottom w:w="40"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Limitation: Lacks canonical normalization for semester grade arrays and credit systems. Our Strategy: ADBG v1.0 standardizes tabular semester marksheets with canonical evaluation [29].</w:t>
            </w:r>
          </w:p>
        </w:tc>
      </w:tr>
      <w:tr>
        <w:tc>
          <w:tcPr>
            <w:tcW w:type="dxa" w:w="172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Privacy-Preserving Differential Data Synthesis in Educational Document Repositories [35]</w:t>
            </w:r>
          </w:p>
        </w:tc>
        <w:tc>
          <w:tcPr>
            <w:tcW w:type="dxa" w:w="1152"/>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S. Gupta, P. Sharma et al.</w:t>
            </w:r>
          </w:p>
        </w:tc>
        <w:tc>
          <w:tcPr>
            <w:tcW w:type="dxa" w:w="576"/>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2025</w:t>
            </w:r>
          </w:p>
        </w:tc>
        <w:tc>
          <w:tcPr>
            <w:tcW w:type="dxa" w:w="100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Differential Privacy, Python</w:t>
            </w:r>
          </w:p>
        </w:tc>
        <w:tc>
          <w:tcPr>
            <w:tcW w:type="dxa" w:w="100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Privacy-Preserving Synthesizer</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23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Limitation: Focuses on statistical privacy guarantees without optical image degradation suites. Our Strategy: ADBG v1.0 couples synthetic generation with 14 physical degradation operators [27].</w:t>
            </w:r>
          </w:p>
        </w:tc>
      </w:tr>
      <w:tr>
        <w:tc>
          <w:tcPr>
            <w:tcW w:type="dxa" w:w="1728"/>
            <w:tcMar>
              <w:top w:w="40" w:type="dxa"/>
              <w:bottom w:w="40"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b/>
                <w:sz w:val="15"/>
              </w:rPr>
              <w:t>GOT-OCR2.0: General OCR Theory 2.0 [38]</w:t>
            </w:r>
          </w:p>
        </w:tc>
        <w:tc>
          <w:tcPr>
            <w:tcW w:type="dxa" w:w="1152"/>
            <w:tcMar>
              <w:top w:w="40" w:type="dxa"/>
              <w:bottom w:w="40"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H. Wei et al.</w:t>
            </w:r>
          </w:p>
        </w:tc>
        <w:tc>
          <w:tcPr>
            <w:tcW w:type="dxa" w:w="576"/>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2025</w:t>
            </w:r>
          </w:p>
        </w:tc>
        <w:tc>
          <w:tcPr>
            <w:tcW w:type="dxa" w:w="1008"/>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PyTorch, Vision-Language OCR</w:t>
            </w:r>
          </w:p>
        </w:tc>
        <w:tc>
          <w:tcPr>
            <w:tcW w:type="dxa" w:w="1008"/>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GOT-OCR 2.0 (580M)</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88.9%</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tcMar>
              <w:top w:w="25" w:type="dxa"/>
              <w:bottom w:w="25" w:type="dxa"/>
              <w:left w:w="30" w:type="dxa"/>
              <w:right w:w="30" w:type="dxa"/>
            </w:tcMar>
          </w:tcPr>
          <w:p>
            <w:pPr>
              <w:spacing w:line="240" w:lineRule="auto" w:before="20" w:after="20"/>
              <w:jc w:val="center"/>
            </w:pPr>
            <w:r>
              <w:rPr>
                <w:rFonts w:ascii="Times New Roman" w:hAnsi="Times New Roman"/>
                <w:sz w:val="15"/>
              </w:rPr>
              <w:t>91.3%</w:t>
            </w:r>
          </w:p>
        </w:tc>
        <w:tc>
          <w:tcPr>
            <w:tcW w:type="dxa" w:w="2304"/>
            <w:tcMar>
              <w:top w:w="40" w:type="dxa"/>
              <w:bottom w:w="40"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Limitation: Evaluates generic OCR without isolating formatting discrepancies in structured records. Our Strategy: Six-stage CanonicalNormalizer decouples recognition errors from formatting syntax [25].</w:t>
            </w:r>
          </w:p>
        </w:tc>
      </w:tr>
      <w:tr>
        <w:tc>
          <w:tcPr>
            <w:tcW w:type="dxa" w:w="172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Structured Nine-Class Diagnostic Error Taxonomy for Key-Value Extraction in Scanned Forms [49]</w:t>
            </w:r>
          </w:p>
        </w:tc>
        <w:tc>
          <w:tcPr>
            <w:tcW w:type="dxa" w:w="1152"/>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Y. Kim, H. Park et al.</w:t>
            </w:r>
          </w:p>
        </w:tc>
        <w:tc>
          <w:tcPr>
            <w:tcW w:type="dxa" w:w="576"/>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2025</w:t>
            </w:r>
          </w:p>
        </w:tc>
        <w:tc>
          <w:tcPr>
            <w:tcW w:type="dxa" w:w="100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Python, Rule-Based Classifier</w:t>
            </w:r>
          </w:p>
        </w:tc>
        <w:tc>
          <w:tcPr>
            <w:tcW w:type="dxa" w:w="1008"/>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Error Diagnostic Classifier</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5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NR</w:t>
            </w:r>
          </w:p>
        </w:tc>
        <w:tc>
          <w:tcPr>
            <w:tcW w:type="dxa" w:w="2304"/>
            <w:tcMar>
              <w:top w:w="40" w:type="dxa"/>
              <w:bottom w:w="40"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Limitation: Evaluated on commercial forms without integration into an automated end-to-end benchmark. Our Strategy: AU DIC embeds automated 9-class error categorization into live benchmark execution [31].</w:t>
            </w:r>
          </w:p>
        </w:tc>
      </w:tr>
    </w:tbl>
    <w:p w14:paraId="5DED24D5">
      <w:pPr>
        <w:keepNext/>
        <w:spacing w:before="120" w:after="40"/>
        <w:jc w:val="both"/>
        <w:outlineLvl w:val="0"/>
      </w:pPr>
      <w:r>
        <w:rPr>
          <w:rFonts w:ascii="Times New Roman" w:hAnsi="Times New Roman"/>
          <w:b/>
          <w:sz w:val="24"/>
        </w:rPr>
        <w:t>3. Methodology</w:t>
      </w:r>
    </w:p>
    <w:p>
      <w:pPr>
        <w:spacing w:after="60" w:before="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0" w:after="60" w:line="252" w:lineRule="auto"/>
        <w:jc w:val="center"/>
      </w:pPr>
      <w:r>
        <w:drawing>
          <ns4:inline>
            <ns4:extent cx="5486400" cy="2926080"/>
            <ns4:docPr id="8" name="Picture 8"/>
            <ns4:cNvGraphicFramePr>
              <ns5:graphicFrameLocks noChangeAspect="1"/>
            </ns4:cNvGraphicFramePr>
            <ns5:graphic>
              <ns5:graphicData uri="http://schemas.openxmlformats.org/drawingml/2006/picture">
                <ns6:pic>
                  <ns6:nvPicPr>
                    <ns6:cNvPr id="0" name="figure1_system_architecture_mermaid.png"/>
                    <ns6:cNvPicPr/>
                  </ns6:nvPicPr>
                  <ns6:blipFill>
                    <ns5:blip r:embed="rId18"/>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1. System Architecture of the Proposed Academic Document Intelligence and Benchmark Evaluation Framework.</w:t>
      </w:r>
    </w:p>
    <w:p>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0" w:after="60" w:line="252" w:lineRule="auto"/>
        <w:jc w:val="center"/>
      </w:pPr>
      <w:r>
        <w:drawing>
          <ns4:inline>
            <ns4:extent cx="5486400" cy="2926080"/>
            <ns4:docPr id="9" name="Picture 9"/>
            <ns4:cNvGraphicFramePr>
              <ns5:graphicFrameLocks noChangeAspect="1"/>
            </ns4:cNvGraphicFramePr>
            <ns5:graphic>
              <ns5:graphicData uri="http://schemas.openxmlformats.org/drawingml/2006/picture">
                <ns6:pic>
                  <ns6:nvPicPr>
                    <ns6:cNvPr id="0" name="figure2_data_flow_mermaid.png"/>
                    <ns6:cNvPicPr/>
                  </ns6:nvPicPr>
                  <ns6:blipFill>
                    <ns5:blip r:embed="rId19"/>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2. Data Flow Diagram of the Proposed Academic Document Intelligence Evaluation System.</w:t>
      </w:r>
    </w:p>
    <w:p>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pPr>
        <w:spacing w:before="0" w:after="60" w:line="252" w:lineRule="auto"/>
        <w:outlineLvl w:val="1"/>
      </w:pPr>
      <w:r>
        <w:rPr>
          <w:rFonts w:ascii="Times New Roman" w:hAnsi="Times New Roman"/>
          <w:b/>
          <w:sz w:val="21"/>
        </w:rPr>
        <w:t>4.1 Experimental Environment</w:t>
      </w:r>
    </w:p>
    <w:p>
      <w:pPr>
        <w:spacing w:after="60" w:before="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60" w:after="20"/>
        <w:jc w:val="center"/>
      </w:pPr>
      <w:r>
        <w:rPr>
          <w:rFonts w:ascii="Times New Roman" w:hAnsi="Times New Roman"/>
          <w:b/>
          <w:sz w:val="18"/>
        </w:rPr>
        <w:t>TABLE 2: EXPERIMENTAL COMPUTING ENVIRONMENT</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Mar>
              <w:top w:w="25" w:type="dxa"/>
              <w:bottom w:w="25" w:type="dxa"/>
              <w:left w:w="30" w:type="dxa"/>
              <w:right w:w="30" w:type="dxa"/>
            </w:tcMar>
          </w:tcPr>
          <w:p>
            <w:pPr>
              <w:spacing w:line="240" w:lineRule="auto" w:before="20" w:after="20"/>
              <w:jc w:val="left"/>
            </w:pPr>
            <w:r>
              <w:rPr>
                <w:rFonts w:ascii="Times New Roman" w:hAnsi="Times New Roman"/>
                <w:b/>
                <w:sz w:val="15"/>
              </w:rPr>
              <w:t>Parameter</w:t>
            </w:r>
          </w:p>
        </w:tc>
        <w:tc>
          <w:tcPr>
            <w:tcW w:type="dxa" w:w="6192"/>
            <w:tcMar>
              <w:top w:w="35" w:type="dxa"/>
              <w:bottom w:w="35" w:type="dxa"/>
              <w:left w:w="50" w:type="dxa"/>
              <w:right w:w="50" w:type="dxa"/>
            </w:tcMar>
            <w:shd w:fill="E0E0E0"/>
            <w:tcMar>
              <w:top w:w="25" w:type="dxa"/>
              <w:bottom w:w="25" w:type="dxa"/>
              <w:left w:w="30" w:type="dxa"/>
              <w:right w:w="30" w:type="dxa"/>
            </w:tcMar>
          </w:tcPr>
          <w:p>
            <w:pPr>
              <w:spacing w:line="240" w:lineRule="auto" w:before="20" w:after="20"/>
              <w:jc w:val="left"/>
            </w:pPr>
            <w:r>
              <w:rPr>
                <w:rFonts w:ascii="Times New Roman" w:hAnsi="Times New Roman"/>
                <w:b/>
                <w:sz w:val="15"/>
              </w:rPr>
              <w:t>Verified Configuration / Value</w:t>
            </w:r>
          </w:p>
        </w:tc>
      </w:tr>
      <w:tr>
        <w:tc>
          <w:tcPr>
            <w:tcW w:type="dxa" w:w="3168"/>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Operating System</w:t>
            </w:r>
          </w:p>
        </w:tc>
        <w:tc>
          <w:tcPr>
            <w:tcW w:type="dxa" w:w="6192"/>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Microsoft Windows 11 Professional (64-bit, x86_64 Architecture)</w:t>
            </w:r>
          </w:p>
        </w:tc>
      </w:tr>
      <w:tr>
        <w:tc>
          <w:tcPr>
            <w:tcW w:type="dxa" w:w="3168"/>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b/>
                <w:sz w:val="15"/>
              </w:rPr>
              <w:t>Compute Hardware</w:t>
            </w:r>
          </w:p>
        </w:tc>
        <w:tc>
          <w:tcPr>
            <w:tcW w:type="dxa" w:w="6192"/>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HP EliteBook 840 G8 Workstation</w:t>
            </w:r>
          </w:p>
        </w:tc>
      </w:tr>
      <w:tr>
        <w:tc>
          <w:tcPr>
            <w:tcW w:type="dxa" w:w="3168"/>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Processor (CPU)</w:t>
            </w:r>
          </w:p>
        </w:tc>
        <w:tc>
          <w:tcPr>
            <w:tcW w:type="dxa" w:w="6192"/>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Intel Core i7 Processor</w:t>
            </w:r>
          </w:p>
        </w:tc>
      </w:tr>
      <w:tr>
        <w:tc>
          <w:tcPr>
            <w:tcW w:type="dxa" w:w="3168"/>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b/>
                <w:sz w:val="15"/>
              </w:rPr>
              <w:t>System Memory (RAM)</w:t>
            </w:r>
          </w:p>
        </w:tc>
        <w:tc>
          <w:tcPr>
            <w:tcW w:type="dxa" w:w="6192"/>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16 GB DDR4 System RAM</w:t>
            </w:r>
          </w:p>
        </w:tc>
      </w:tr>
      <w:tr>
        <w:tc>
          <w:tcPr>
            <w:tcW w:type="dxa" w:w="3168"/>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Hardware Acceleration</w:t>
            </w:r>
          </w:p>
        </w:tc>
        <w:tc>
          <w:tcPr>
            <w:tcW w:type="dxa" w:w="6192"/>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None (CPU-Only Model Inference Execution)</w:t>
            </w:r>
          </w:p>
        </w:tc>
      </w:tr>
      <w:tr>
        <w:tc>
          <w:tcPr>
            <w:tcW w:type="dxa" w:w="3168"/>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b/>
                <w:sz w:val="15"/>
              </w:rPr>
              <w:t>Inference Serving Engine</w:t>
            </w:r>
          </w:p>
        </w:tc>
        <w:tc>
          <w:tcPr>
            <w:tcW w:type="dxa" w:w="6192"/>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Ollama Local Runtime (v0.32.14, Local Host)</w:t>
            </w:r>
          </w:p>
        </w:tc>
      </w:tr>
      <w:tr>
        <w:tc>
          <w:tcPr>
            <w:tcW w:type="dxa" w:w="3168"/>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Evaluated Neural Engine</w:t>
            </w:r>
          </w:p>
        </w:tc>
        <w:tc>
          <w:tcPr>
            <w:tcW w:type="dxa" w:w="6192"/>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MiniCPM-V (minicpm-v:latest, ~7.6B Parameters, Q4_0 GGUF)</w:t>
            </w:r>
          </w:p>
        </w:tc>
      </w:tr>
      <w:tr>
        <w:tc>
          <w:tcPr>
            <w:tcW w:type="dxa" w:w="3168"/>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b/>
                <w:sz w:val="15"/>
              </w:rPr>
              <w:t>Software Environments</w:t>
            </w:r>
          </w:p>
        </w:tc>
        <w:tc>
          <w:tcPr>
            <w:tcW w:type="dxa" w:w="6192"/>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Python 3.14.x, Node.js v18.x, npm v9.x</w:t>
            </w:r>
          </w:p>
        </w:tc>
      </w:tr>
      <w:tr>
        <w:tc>
          <w:tcPr>
            <w:tcW w:type="dxa" w:w="3168"/>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Scientific &amp; Statistical Stack</w:t>
            </w:r>
          </w:p>
        </w:tc>
        <w:tc>
          <w:tcPr>
            <w:tcW w:type="dxa" w:w="6192"/>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scipy &gt;= 1.11, pandas &gt;= 2.0, numpy &gt;= 1.24, scikit-learn &gt;= 1.3</w:t>
            </w:r>
          </w:p>
        </w:tc>
      </w:tr>
      <w:tr>
        <w:tc>
          <w:tcPr>
            <w:tcW w:type="dxa" w:w="3168"/>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b/>
                <w:sz w:val="15"/>
              </w:rPr>
              <w:t>Framework Execution Mode</w:t>
            </w:r>
          </w:p>
        </w:tc>
        <w:tc>
          <w:tcPr>
            <w:tcW w:type="dxa" w:w="6192"/>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Headless Read-Only Execution (isReadOnly: true, 0 Database Writes)</w:t>
            </w:r>
          </w:p>
        </w:tc>
      </w:tr>
      <w:tr>
        <w:tc>
          <w:tcPr>
            <w:tcW w:type="dxa" w:w="3168"/>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Master Deterministic Seed</w:t>
            </w:r>
          </w:p>
        </w:tc>
        <w:tc>
          <w:tcPr>
            <w:tcW w:type="dxa" w:w="6192"/>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SeedManager.masterSeed = 42</w:t>
            </w:r>
          </w:p>
        </w:tc>
      </w:tr>
    </w:tbl>
    <w:p>
      <w:pPr>
        <w:spacing w:before="0" w:after="60" w:line="252" w:lineRule="auto"/>
        <w:outlineLvl w:val="1"/>
      </w:pPr>
      <w:r>
        <w:rPr>
          <w:rFonts w:ascii="Times New Roman" w:hAnsi="Times New Roman"/>
          <w:b/>
          <w:sz w:val="21"/>
        </w:rPr>
        <w:t>4.2 Dataset and Benchmark Composition</w:t>
      </w:r>
    </w:p>
    <w:p>
      <w:pPr>
        <w:spacing w:after="60" w:before="0" w:line="252" w:lineRule="auto"/>
        <w:jc w:val="both"/>
      </w:pPr>
      <w:r>
        <w:t>The evaluation benchmark suite (AU_DIC_Benchmark_v1.0) comprises 45 unique physical multi-modal academic credential specimens evaluated across three core higher education document categories: Academic Certificates, Semester Marksheets, and Student Identity Cards. The benchmark dataset integrates three complementary document representations: Vector PDFs (5 specimens rendered directly from vector layout streams), Lossless PNG Scans (20 specimens across clean, flatbed scan, mobile capture, and 90° rotation), and Compressed JPEGs (20 specimens across clean, flatbed scan, mobile capture, and 90° rotation), totaling 900 evaluated ground-truth field observations (20 atomic fields per specimen). Table 3 details the multi-modal dataset composition, while Table 4 summarizes the physical and optical degradation parameters.</w:t>
      </w:r>
    </w:p>
    <w:p>
      <w:pPr>
        <w:spacing w:before="60" w:after="20"/>
        <w:jc w:val="center"/>
      </w:pPr>
      <w:r>
        <w:rPr>
          <w:rFonts w:ascii="Times New Roman" w:hAnsi="Times New Roman"/>
          <w:b/>
          <w:sz w:val="20"/>
        </w:rPr>
        <w:t>TABLE 3: MULTI-MODAL DATASET AND BENCHMARK COMPOSITION (AU_DIC_BENCHMARK_V1.0)</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shd w:fill="E0E0E0"/>
            <w:tcMar>
              <w:top w:w="40" w:type="dxa"/>
              <w:bottom w:w="40" w:type="dxa"/>
              <w:left w:w="50" w:type="dxa"/>
              <w:right w:w="50" w:type="dxa"/>
            </w:tcMar>
            <w:tcMar>
              <w:top w:w="25" w:type="dxa"/>
              <w:bottom w:w="25" w:type="dxa"/>
              <w:left w:w="30" w:type="dxa"/>
              <w:right w:w="30" w:type="dxa"/>
            </w:tcMar>
          </w:tcPr>
          <w:p>
            <w:pPr>
              <w:spacing w:before="20" w:after="20" w:line="240" w:lineRule="auto"/>
              <w:jc w:val="left"/>
            </w:pPr>
            <w:r>
              <w:rPr>
                <w:rFonts w:ascii="Times New Roman" w:hAnsi="Times New Roman"/>
                <w:b/>
                <w:sz w:val="15"/>
              </w:rPr>
              <w:t>Document Category</w:t>
            </w:r>
          </w:p>
        </w:tc>
        <w:tc>
          <w:tcPr>
            <w:tcW w:type="dxa" w:w="1440"/>
            <w:tcMar>
              <w:top w:w="35" w:type="dxa"/>
              <w:bottom w:w="35" w:type="dxa"/>
              <w:left w:w="45" w:type="dxa"/>
              <w:right w:w="45" w:type="dxa"/>
            </w:tcMar>
            <w:shd w:fill="E0E0E0"/>
            <w:shd w:fill="E0E0E0"/>
            <w:tcMar>
              <w:top w:w="40" w:type="dxa"/>
              <w:bottom w:w="40" w:type="dxa"/>
              <w:left w:w="50" w:type="dxa"/>
              <w:right w:w="50" w:type="dxa"/>
            </w:tcMar>
            <w:tcMar>
              <w:top w:w="25" w:type="dxa"/>
              <w:bottom w:w="25" w:type="dxa"/>
              <w:left w:w="30" w:type="dxa"/>
              <w:right w:w="30" w:type="dxa"/>
            </w:tcMar>
          </w:tcPr>
          <w:p>
            <w:pPr>
              <w:spacing w:before="20" w:after="20" w:line="240" w:lineRule="auto"/>
              <w:jc w:val="center"/>
            </w:pPr>
            <w:r>
              <w:rPr>
                <w:rFonts w:ascii="Times New Roman" w:hAnsi="Times New Roman"/>
                <w:b/>
                <w:sz w:val="15"/>
              </w:rPr>
              <w:t>Vector PDFs (Clean)</w:t>
            </w:r>
          </w:p>
        </w:tc>
        <w:tc>
          <w:tcPr>
            <w:tcW w:type="dxa" w:w="1584"/>
            <w:tcMar>
              <w:top w:w="35" w:type="dxa"/>
              <w:bottom w:w="35" w:type="dxa"/>
              <w:left w:w="45" w:type="dxa"/>
              <w:right w:w="45" w:type="dxa"/>
            </w:tcMar>
            <w:shd w:fill="E0E0E0"/>
            <w:shd w:fill="E0E0E0"/>
            <w:tcMar>
              <w:top w:w="40" w:type="dxa"/>
              <w:bottom w:w="40" w:type="dxa"/>
              <w:left w:w="50" w:type="dxa"/>
              <w:right w:w="50" w:type="dxa"/>
            </w:tcMar>
            <w:tcMar>
              <w:top w:w="25" w:type="dxa"/>
              <w:bottom w:w="25" w:type="dxa"/>
              <w:left w:w="30" w:type="dxa"/>
              <w:right w:w="30" w:type="dxa"/>
            </w:tcMar>
          </w:tcPr>
          <w:p>
            <w:pPr>
              <w:spacing w:before="20" w:after="20" w:line="240" w:lineRule="auto"/>
              <w:jc w:val="center"/>
            </w:pPr>
            <w:r>
              <w:rPr>
                <w:rFonts w:ascii="Times New Roman" w:hAnsi="Times New Roman"/>
                <w:b/>
                <w:sz w:val="15"/>
              </w:rPr>
              <w:t>Lossless PNGs (4 Profiles)</w:t>
            </w:r>
          </w:p>
        </w:tc>
        <w:tc>
          <w:tcPr>
            <w:tcW w:type="dxa" w:w="2304"/>
            <w:tcMar>
              <w:top w:w="35" w:type="dxa"/>
              <w:bottom w:w="35" w:type="dxa"/>
              <w:left w:w="45" w:type="dxa"/>
              <w:right w:w="45" w:type="dxa"/>
            </w:tcMar>
            <w:shd w:fill="E0E0E0"/>
            <w:shd w:fill="E0E0E0"/>
            <w:tcMar>
              <w:top w:w="40" w:type="dxa"/>
              <w:bottom w:w="40" w:type="dxa"/>
              <w:left w:w="50" w:type="dxa"/>
              <w:right w:w="50" w:type="dxa"/>
            </w:tcMar>
            <w:tcMar>
              <w:top w:w="25" w:type="dxa"/>
              <w:bottom w:w="25" w:type="dxa"/>
              <w:left w:w="30" w:type="dxa"/>
              <w:right w:w="30" w:type="dxa"/>
            </w:tcMar>
          </w:tcPr>
          <w:p>
            <w:pPr>
              <w:spacing w:before="20" w:after="20" w:line="240" w:lineRule="auto"/>
              <w:jc w:val="center"/>
            </w:pPr>
            <w:r>
              <w:rPr>
                <w:rFonts w:ascii="Times New Roman" w:hAnsi="Times New Roman"/>
                <w:b/>
                <w:sz w:val="15"/>
              </w:rPr>
              <w:t>Compressed JPEGs (4 Profiles)</w:t>
            </w:r>
          </w:p>
        </w:tc>
        <w:tc>
          <w:tcPr>
            <w:tcW w:type="dxa" w:w="1872"/>
            <w:tcMar>
              <w:top w:w="35" w:type="dxa"/>
              <w:bottom w:w="35" w:type="dxa"/>
              <w:left w:w="45" w:type="dxa"/>
              <w:right w:w="45" w:type="dxa"/>
            </w:tcMar>
            <w:shd w:fill="E0E0E0"/>
            <w:shd w:fill="E0E0E0"/>
            <w:tcMar>
              <w:top w:w="40" w:type="dxa"/>
              <w:bottom w:w="40" w:type="dxa"/>
              <w:left w:w="50" w:type="dxa"/>
              <w:right w:w="50" w:type="dxa"/>
            </w:tcMar>
            <w:tcMar>
              <w:top w:w="25" w:type="dxa"/>
              <w:bottom w:w="25" w:type="dxa"/>
              <w:left w:w="30" w:type="dxa"/>
              <w:right w:w="30" w:type="dxa"/>
            </w:tcMar>
          </w:tcPr>
          <w:p>
            <w:pPr>
              <w:spacing w:before="20" w:after="20" w:line="240" w:lineRule="auto"/>
              <w:jc w:val="center"/>
            </w:pPr>
            <w:r>
              <w:rPr>
                <w:rFonts w:ascii="Times New Roman" w:hAnsi="Times New Roman"/>
                <w:b/>
                <w:sz w:val="15"/>
              </w:rPr>
              <w:t>Total Evaluated Specimens</w:t>
            </w:r>
          </w:p>
        </w:tc>
      </w:tr>
      <w:tr>
        <w:tc>
          <w:tcPr>
            <w:tcW w:type="dxa" w:w="2160"/>
            <w:tcMar>
              <w:top w:w="35" w:type="dxa"/>
              <w:bottom w:w="35" w:type="dxa"/>
              <w:left w:w="45" w:type="dxa"/>
              <w:right w:w="45" w:type="dxa"/>
            </w:tcMar>
            <w:shd w:fill="F8F9FA"/>
            <w:tcMar>
              <w:top w:w="40" w:type="dxa"/>
              <w:bottom w:w="40" w:type="dxa"/>
              <w:left w:w="50" w:type="dxa"/>
              <w:right w:w="50" w:type="dxa"/>
            </w:tcMar>
            <w:tcMar>
              <w:top w:w="25" w:type="dxa"/>
              <w:bottom w:w="25" w:type="dxa"/>
              <w:left w:w="30" w:type="dxa"/>
              <w:right w:w="30" w:type="dxa"/>
            </w:tcMar>
          </w:tcPr>
          <w:p>
            <w:pPr>
              <w:spacing w:before="20" w:after="20" w:line="240" w:lineRule="auto"/>
              <w:jc w:val="left"/>
            </w:pPr>
            <w:r>
              <w:rPr>
                <w:rFonts w:ascii="Times New Roman" w:hAnsi="Times New Roman"/>
                <w:b/>
                <w:sz w:val="15"/>
              </w:rPr>
              <w:t>Academic Certificate</w:t>
            </w:r>
          </w:p>
        </w:tc>
        <w:tc>
          <w:tcPr>
            <w:tcW w:type="dxa" w:w="1440"/>
            <w:tcMar>
              <w:top w:w="35" w:type="dxa"/>
              <w:bottom w:w="35" w:type="dxa"/>
              <w:left w:w="45" w:type="dxa"/>
              <w:right w:w="45" w:type="dxa"/>
            </w:tcMar>
            <w:shd w:fill="F8F9FA"/>
            <w:tcMar>
              <w:top w:w="40" w:type="dxa"/>
              <w:bottom w:w="40" w:type="dxa"/>
              <w:left w:w="50" w:type="dxa"/>
              <w:right w:w="50" w:type="dxa"/>
            </w:tcMar>
            <w:tcMar>
              <w:top w:w="25" w:type="dxa"/>
              <w:bottom w:w="25" w:type="dxa"/>
              <w:left w:w="30" w:type="dxa"/>
              <w:right w:w="30" w:type="dxa"/>
            </w:tcMar>
          </w:tcPr>
          <w:p>
            <w:pPr>
              <w:spacing w:before="20" w:after="20" w:line="240" w:lineRule="auto"/>
              <w:jc w:val="center"/>
            </w:pPr>
            <w:r>
              <w:rPr>
                <w:rFonts w:ascii="Times New Roman" w:hAnsi="Times New Roman"/>
                <w:sz w:val="15"/>
              </w:rPr>
              <w:t>2 PDFs</w:t>
            </w:r>
          </w:p>
        </w:tc>
        <w:tc>
          <w:tcPr>
            <w:tcW w:type="dxa" w:w="1584"/>
            <w:tcMar>
              <w:top w:w="35" w:type="dxa"/>
              <w:bottom w:w="35" w:type="dxa"/>
              <w:left w:w="45" w:type="dxa"/>
              <w:right w:w="45" w:type="dxa"/>
            </w:tcMar>
            <w:shd w:fill="F8F9FA"/>
            <w:tcMar>
              <w:top w:w="40" w:type="dxa"/>
              <w:bottom w:w="40" w:type="dxa"/>
              <w:left w:w="50" w:type="dxa"/>
              <w:right w:w="50" w:type="dxa"/>
            </w:tcMar>
            <w:tcMar>
              <w:top w:w="25" w:type="dxa"/>
              <w:bottom w:w="25" w:type="dxa"/>
              <w:left w:w="30" w:type="dxa"/>
              <w:right w:w="30" w:type="dxa"/>
            </w:tcMar>
          </w:tcPr>
          <w:p>
            <w:pPr>
              <w:spacing w:before="20" w:after="20" w:line="240" w:lineRule="auto"/>
              <w:jc w:val="center"/>
            </w:pPr>
            <w:r>
              <w:rPr>
                <w:rFonts w:ascii="Times New Roman" w:hAnsi="Times New Roman"/>
                <w:sz w:val="15"/>
              </w:rPr>
              <w:t>7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5" w:type="dxa"/>
              <w:bottom w:w="25" w:type="dxa"/>
              <w:left w:w="30" w:type="dxa"/>
              <w:right w:w="30" w:type="dxa"/>
            </w:tcMar>
          </w:tcPr>
          <w:p>
            <w:pPr>
              <w:spacing w:before="20" w:after="20" w:line="240" w:lineRule="auto"/>
              <w:jc w:val="center"/>
            </w:pPr>
            <w:r>
              <w:rPr>
                <w:rFonts w:ascii="Times New Roman" w:hAnsi="Times New Roman"/>
                <w:sz w:val="15"/>
              </w:rPr>
              <w:t>7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5" w:type="dxa"/>
              <w:bottom w:w="25" w:type="dxa"/>
              <w:left w:w="30" w:type="dxa"/>
              <w:right w:w="30" w:type="dxa"/>
            </w:tcMar>
          </w:tcPr>
          <w:p>
            <w:pPr>
              <w:spacing w:before="20" w:after="20" w:line="240" w:lineRule="auto"/>
              <w:jc w:val="center"/>
            </w:pPr>
            <w:r>
              <w:rPr>
                <w:rFonts w:ascii="Times New Roman" w:hAnsi="Times New Roman"/>
                <w:sz w:val="15"/>
              </w:rPr>
              <w:t>16 Specimens (1,088 Fields)</w:t>
            </w:r>
          </w:p>
        </w:tc>
      </w:tr>
      <w:tr>
        <w:tc>
          <w:tcPr>
            <w:tcW w:type="dxa" w:w="2160"/>
            <w:tcMar>
              <w:top w:w="35" w:type="dxa"/>
              <w:bottom w:w="35" w:type="dxa"/>
              <w:left w:w="45" w:type="dxa"/>
              <w:right w:w="45" w:type="dxa"/>
            </w:tcMar>
            <w:tcMar>
              <w:top w:w="40" w:type="dxa"/>
              <w:bottom w:w="40" w:type="dxa"/>
              <w:left w:w="50" w:type="dxa"/>
              <w:right w:w="50" w:type="dxa"/>
            </w:tcMar>
            <w:tcMar>
              <w:top w:w="25" w:type="dxa"/>
              <w:bottom w:w="25" w:type="dxa"/>
              <w:left w:w="30" w:type="dxa"/>
              <w:right w:w="30" w:type="dxa"/>
            </w:tcMar>
          </w:tcPr>
          <w:p>
            <w:pPr>
              <w:spacing w:before="20" w:after="20" w:line="240" w:lineRule="auto"/>
              <w:jc w:val="left"/>
            </w:pPr>
            <w:r>
              <w:rPr>
                <w:rFonts w:ascii="Times New Roman" w:hAnsi="Times New Roman"/>
                <w:b/>
                <w:sz w:val="15"/>
              </w:rPr>
              <w:t>Semester Marksheet</w:t>
            </w:r>
          </w:p>
        </w:tc>
        <w:tc>
          <w:tcPr>
            <w:tcW w:type="dxa" w:w="1440"/>
            <w:tcMar>
              <w:top w:w="35" w:type="dxa"/>
              <w:bottom w:w="35" w:type="dxa"/>
              <w:left w:w="45" w:type="dxa"/>
              <w:right w:w="45" w:type="dxa"/>
            </w:tcMar>
            <w:tcMar>
              <w:top w:w="40" w:type="dxa"/>
              <w:bottom w:w="40" w:type="dxa"/>
              <w:left w:w="50" w:type="dxa"/>
              <w:right w:w="50" w:type="dxa"/>
            </w:tcMar>
            <w:tcMar>
              <w:top w:w="25" w:type="dxa"/>
              <w:bottom w:w="25" w:type="dxa"/>
              <w:left w:w="30" w:type="dxa"/>
              <w:right w:w="30" w:type="dxa"/>
            </w:tcMar>
          </w:tcPr>
          <w:p>
            <w:pPr>
              <w:spacing w:before="20" w:after="20" w:line="240" w:lineRule="auto"/>
              <w:jc w:val="center"/>
            </w:pPr>
            <w:r>
              <w:rPr>
                <w:rFonts w:ascii="Times New Roman" w:hAnsi="Times New Roman"/>
                <w:sz w:val="15"/>
              </w:rPr>
              <w:t>2 PDFs</w:t>
            </w:r>
          </w:p>
        </w:tc>
        <w:tc>
          <w:tcPr>
            <w:tcW w:type="dxa" w:w="1584"/>
            <w:tcMar>
              <w:top w:w="35" w:type="dxa"/>
              <w:bottom w:w="35" w:type="dxa"/>
              <w:left w:w="45" w:type="dxa"/>
              <w:right w:w="45" w:type="dxa"/>
            </w:tcMar>
            <w:tcMar>
              <w:top w:w="40" w:type="dxa"/>
              <w:bottom w:w="40" w:type="dxa"/>
              <w:left w:w="50" w:type="dxa"/>
              <w:right w:w="50" w:type="dxa"/>
            </w:tcMar>
            <w:tcMar>
              <w:top w:w="25" w:type="dxa"/>
              <w:bottom w:w="25" w:type="dxa"/>
              <w:left w:w="30" w:type="dxa"/>
              <w:right w:w="30" w:type="dxa"/>
            </w:tcMar>
          </w:tcPr>
          <w:p>
            <w:pPr>
              <w:spacing w:before="20" w:after="20" w:line="240" w:lineRule="auto"/>
              <w:jc w:val="center"/>
            </w:pPr>
            <w:r>
              <w:rPr>
                <w:rFonts w:ascii="Times New Roman" w:hAnsi="Times New Roman"/>
                <w:sz w:val="15"/>
              </w:rPr>
              <w:t>7 PNGs (Clean/Scan/Mob/Rot)</w:t>
            </w:r>
          </w:p>
        </w:tc>
        <w:tc>
          <w:tcPr>
            <w:tcW w:type="dxa" w:w="2304"/>
            <w:tcMar>
              <w:top w:w="35" w:type="dxa"/>
              <w:bottom w:w="35" w:type="dxa"/>
              <w:left w:w="45" w:type="dxa"/>
              <w:right w:w="45" w:type="dxa"/>
            </w:tcMar>
            <w:tcMar>
              <w:top w:w="40" w:type="dxa"/>
              <w:bottom w:w="40" w:type="dxa"/>
              <w:left w:w="50" w:type="dxa"/>
              <w:right w:w="50" w:type="dxa"/>
            </w:tcMar>
            <w:tcMar>
              <w:top w:w="25" w:type="dxa"/>
              <w:bottom w:w="25" w:type="dxa"/>
              <w:left w:w="30" w:type="dxa"/>
              <w:right w:w="30" w:type="dxa"/>
            </w:tcMar>
          </w:tcPr>
          <w:p>
            <w:pPr>
              <w:spacing w:before="20" w:after="20" w:line="240" w:lineRule="auto"/>
              <w:jc w:val="center"/>
            </w:pPr>
            <w:r>
              <w:rPr>
                <w:rFonts w:ascii="Times New Roman" w:hAnsi="Times New Roman"/>
                <w:sz w:val="15"/>
              </w:rPr>
              <w:t>7 JPEGs (Clean/Scan/Mob/Rot)</w:t>
            </w:r>
          </w:p>
        </w:tc>
        <w:tc>
          <w:tcPr>
            <w:tcW w:type="dxa" w:w="1872"/>
            <w:tcMar>
              <w:top w:w="35" w:type="dxa"/>
              <w:bottom w:w="35" w:type="dxa"/>
              <w:left w:w="45" w:type="dxa"/>
              <w:right w:w="45" w:type="dxa"/>
            </w:tcMar>
            <w:tcMar>
              <w:top w:w="40" w:type="dxa"/>
              <w:bottom w:w="40" w:type="dxa"/>
              <w:left w:w="50" w:type="dxa"/>
              <w:right w:w="50" w:type="dxa"/>
            </w:tcMar>
            <w:tcMar>
              <w:top w:w="25" w:type="dxa"/>
              <w:bottom w:w="25" w:type="dxa"/>
              <w:left w:w="30" w:type="dxa"/>
              <w:right w:w="30" w:type="dxa"/>
            </w:tcMar>
          </w:tcPr>
          <w:p>
            <w:pPr>
              <w:spacing w:before="20" w:after="20" w:line="240" w:lineRule="auto"/>
              <w:jc w:val="center"/>
            </w:pPr>
            <w:r>
              <w:rPr>
                <w:rFonts w:ascii="Times New Roman" w:hAnsi="Times New Roman"/>
                <w:sz w:val="15"/>
              </w:rPr>
              <w:t>16 Specimens (4,554 Fields)</w:t>
            </w:r>
          </w:p>
        </w:tc>
      </w:tr>
      <w:tr>
        <w:tc>
          <w:tcPr>
            <w:tcW w:type="dxa" w:w="2160"/>
            <w:tcMar>
              <w:top w:w="35" w:type="dxa"/>
              <w:bottom w:w="35" w:type="dxa"/>
              <w:left w:w="45" w:type="dxa"/>
              <w:right w:w="45" w:type="dxa"/>
            </w:tcMar>
            <w:shd w:fill="F8F9FA"/>
            <w:tcMar>
              <w:top w:w="40" w:type="dxa"/>
              <w:bottom w:w="40" w:type="dxa"/>
              <w:left w:w="50" w:type="dxa"/>
              <w:right w:w="50" w:type="dxa"/>
            </w:tcMar>
            <w:tcMar>
              <w:top w:w="25" w:type="dxa"/>
              <w:bottom w:w="25" w:type="dxa"/>
              <w:left w:w="30" w:type="dxa"/>
              <w:right w:w="30" w:type="dxa"/>
            </w:tcMar>
          </w:tcPr>
          <w:p>
            <w:pPr>
              <w:spacing w:before="20" w:after="20" w:line="240" w:lineRule="auto"/>
              <w:jc w:val="left"/>
            </w:pPr>
            <w:r>
              <w:rPr>
                <w:rFonts w:ascii="Times New Roman" w:hAnsi="Times New Roman"/>
                <w:b/>
                <w:sz w:val="15"/>
              </w:rPr>
              <w:t>Student ID Card</w:t>
            </w:r>
          </w:p>
        </w:tc>
        <w:tc>
          <w:tcPr>
            <w:tcW w:type="dxa" w:w="1440"/>
            <w:tcMar>
              <w:top w:w="35" w:type="dxa"/>
              <w:bottom w:w="35" w:type="dxa"/>
              <w:left w:w="45" w:type="dxa"/>
              <w:right w:w="45" w:type="dxa"/>
            </w:tcMar>
            <w:shd w:fill="F8F9FA"/>
            <w:tcMar>
              <w:top w:w="40" w:type="dxa"/>
              <w:bottom w:w="40" w:type="dxa"/>
              <w:left w:w="50" w:type="dxa"/>
              <w:right w:w="50" w:type="dxa"/>
            </w:tcMar>
            <w:tcMar>
              <w:top w:w="25" w:type="dxa"/>
              <w:bottom w:w="25" w:type="dxa"/>
              <w:left w:w="30" w:type="dxa"/>
              <w:right w:w="30" w:type="dxa"/>
            </w:tcMar>
          </w:tcPr>
          <w:p>
            <w:pPr>
              <w:spacing w:before="20" w:after="20" w:line="240" w:lineRule="auto"/>
              <w:jc w:val="center"/>
            </w:pPr>
            <w:r>
              <w:rPr>
                <w:rFonts w:ascii="Times New Roman" w:hAnsi="Times New Roman"/>
                <w:sz w:val="15"/>
              </w:rPr>
              <w:t>1 PDF</w:t>
            </w:r>
          </w:p>
        </w:tc>
        <w:tc>
          <w:tcPr>
            <w:tcW w:type="dxa" w:w="1584"/>
            <w:tcMar>
              <w:top w:w="35" w:type="dxa"/>
              <w:bottom w:w="35" w:type="dxa"/>
              <w:left w:w="45" w:type="dxa"/>
              <w:right w:w="45" w:type="dxa"/>
            </w:tcMar>
            <w:shd w:fill="F8F9FA"/>
            <w:tcMar>
              <w:top w:w="40" w:type="dxa"/>
              <w:bottom w:w="40" w:type="dxa"/>
              <w:left w:w="50" w:type="dxa"/>
              <w:right w:w="50" w:type="dxa"/>
            </w:tcMar>
            <w:tcMar>
              <w:top w:w="25" w:type="dxa"/>
              <w:bottom w:w="25" w:type="dxa"/>
              <w:left w:w="30" w:type="dxa"/>
              <w:right w:w="30" w:type="dxa"/>
            </w:tcMar>
          </w:tcPr>
          <w:p>
            <w:pPr>
              <w:spacing w:before="20" w:after="20" w:line="240" w:lineRule="auto"/>
              <w:jc w:val="center"/>
            </w:pPr>
            <w:r>
              <w:rPr>
                <w:rFonts w:ascii="Times New Roman" w:hAnsi="Times New Roman"/>
                <w:sz w:val="15"/>
              </w:rPr>
              <w:t>6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5" w:type="dxa"/>
              <w:bottom w:w="25" w:type="dxa"/>
              <w:left w:w="30" w:type="dxa"/>
              <w:right w:w="30" w:type="dxa"/>
            </w:tcMar>
          </w:tcPr>
          <w:p>
            <w:pPr>
              <w:spacing w:before="20" w:after="20" w:line="240" w:lineRule="auto"/>
              <w:jc w:val="center"/>
            </w:pPr>
            <w:r>
              <w:rPr>
                <w:rFonts w:ascii="Times New Roman" w:hAnsi="Times New Roman"/>
                <w:sz w:val="15"/>
              </w:rPr>
              <w:t>6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5" w:type="dxa"/>
              <w:bottom w:w="25" w:type="dxa"/>
              <w:left w:w="30" w:type="dxa"/>
              <w:right w:w="30" w:type="dxa"/>
            </w:tcMar>
          </w:tcPr>
          <w:p>
            <w:pPr>
              <w:spacing w:before="20" w:after="20" w:line="240" w:lineRule="auto"/>
              <w:jc w:val="center"/>
            </w:pPr>
            <w:r>
              <w:rPr>
                <w:rFonts w:ascii="Times New Roman" w:hAnsi="Times New Roman"/>
                <w:sz w:val="15"/>
              </w:rPr>
              <w:t>13 Specimens (884 Fields)</w:t>
            </w:r>
          </w:p>
        </w:tc>
      </w:tr>
      <w:tr>
        <w:tc>
          <w:tcPr>
            <w:tcW w:type="dxa" w:w="2160"/>
            <w:tcMar>
              <w:top w:w="35" w:type="dxa"/>
              <w:bottom w:w="35" w:type="dxa"/>
              <w:left w:w="45" w:type="dxa"/>
              <w:right w:w="45" w:type="dxa"/>
            </w:tcMar>
            <w:shd w:fill="EAEAEA"/>
            <w:shd w:fill="F2F2F2"/>
            <w:tcMar>
              <w:top w:w="40" w:type="dxa"/>
              <w:bottom w:w="40" w:type="dxa"/>
              <w:left w:w="50" w:type="dxa"/>
              <w:right w:w="50" w:type="dxa"/>
            </w:tcMar>
            <w:tcMar>
              <w:top w:w="25" w:type="dxa"/>
              <w:bottom w:w="25" w:type="dxa"/>
              <w:left w:w="30" w:type="dxa"/>
              <w:right w:w="30" w:type="dxa"/>
            </w:tcMar>
          </w:tcPr>
          <w:p>
            <w:pPr>
              <w:spacing w:before="20" w:after="20" w:line="240" w:lineRule="auto"/>
              <w:jc w:val="left"/>
            </w:pPr>
            <w:r>
              <w:rPr>
                <w:rFonts w:ascii="Times New Roman" w:hAnsi="Times New Roman"/>
                <w:b/>
                <w:sz w:val="15"/>
              </w:rPr>
              <w:t>Total Multi-Modal Suite</w:t>
            </w:r>
          </w:p>
        </w:tc>
        <w:tc>
          <w:tcPr>
            <w:tcW w:type="dxa" w:w="1440"/>
            <w:tcMar>
              <w:top w:w="35" w:type="dxa"/>
              <w:bottom w:w="35" w:type="dxa"/>
              <w:left w:w="45" w:type="dxa"/>
              <w:right w:w="45" w:type="dxa"/>
            </w:tcMar>
            <w:shd w:fill="EAEAEA"/>
            <w:shd w:fill="F2F2F2"/>
            <w:tcMar>
              <w:top w:w="40" w:type="dxa"/>
              <w:bottom w:w="40" w:type="dxa"/>
              <w:left w:w="50" w:type="dxa"/>
              <w:right w:w="50" w:type="dxa"/>
            </w:tcMar>
            <w:tcMar>
              <w:top w:w="25" w:type="dxa"/>
              <w:bottom w:w="25" w:type="dxa"/>
              <w:left w:w="30" w:type="dxa"/>
              <w:right w:w="30" w:type="dxa"/>
            </w:tcMar>
          </w:tcPr>
          <w:p>
            <w:pPr>
              <w:spacing w:before="20" w:after="20" w:line="240" w:lineRule="auto"/>
              <w:jc w:val="center"/>
            </w:pPr>
            <w:r>
              <w:rPr>
                <w:rFonts w:ascii="Times New Roman" w:hAnsi="Times New Roman"/>
                <w:b/>
                <w:sz w:val="15"/>
              </w:rPr>
              <w:t>5 Vector PDFs</w:t>
            </w:r>
          </w:p>
        </w:tc>
        <w:tc>
          <w:tcPr>
            <w:tcW w:type="dxa" w:w="1584"/>
            <w:tcMar>
              <w:top w:w="35" w:type="dxa"/>
              <w:bottom w:w="35" w:type="dxa"/>
              <w:left w:w="45" w:type="dxa"/>
              <w:right w:w="45" w:type="dxa"/>
            </w:tcMar>
            <w:shd w:fill="EAEAEA"/>
            <w:shd w:fill="F2F2F2"/>
            <w:tcMar>
              <w:top w:w="40" w:type="dxa"/>
              <w:bottom w:w="40" w:type="dxa"/>
              <w:left w:w="50" w:type="dxa"/>
              <w:right w:w="50" w:type="dxa"/>
            </w:tcMar>
            <w:tcMar>
              <w:top w:w="25" w:type="dxa"/>
              <w:bottom w:w="25" w:type="dxa"/>
              <w:left w:w="30" w:type="dxa"/>
              <w:right w:w="30" w:type="dxa"/>
            </w:tcMar>
          </w:tcPr>
          <w:p>
            <w:pPr>
              <w:spacing w:before="20" w:after="20" w:line="240" w:lineRule="auto"/>
              <w:jc w:val="center"/>
            </w:pPr>
            <w:r>
              <w:rPr>
                <w:rFonts w:ascii="Times New Roman" w:hAnsi="Times New Roman"/>
                <w:b/>
                <w:sz w:val="15"/>
              </w:rPr>
              <w:t>20 Lossless PNGs</w:t>
            </w:r>
          </w:p>
        </w:tc>
        <w:tc>
          <w:tcPr>
            <w:tcW w:type="dxa" w:w="2304"/>
            <w:tcMar>
              <w:top w:w="35" w:type="dxa"/>
              <w:bottom w:w="35" w:type="dxa"/>
              <w:left w:w="45" w:type="dxa"/>
              <w:right w:w="45" w:type="dxa"/>
            </w:tcMar>
            <w:shd w:fill="EAEAEA"/>
            <w:shd w:fill="F2F2F2"/>
            <w:tcMar>
              <w:top w:w="40" w:type="dxa"/>
              <w:bottom w:w="40" w:type="dxa"/>
              <w:left w:w="50" w:type="dxa"/>
              <w:right w:w="50" w:type="dxa"/>
            </w:tcMar>
            <w:tcMar>
              <w:top w:w="25" w:type="dxa"/>
              <w:bottom w:w="25" w:type="dxa"/>
              <w:left w:w="30" w:type="dxa"/>
              <w:right w:w="30" w:type="dxa"/>
            </w:tcMar>
          </w:tcPr>
          <w:p>
            <w:pPr>
              <w:spacing w:before="20" w:after="20" w:line="240" w:lineRule="auto"/>
              <w:jc w:val="center"/>
            </w:pPr>
            <w:r>
              <w:rPr>
                <w:rFonts w:ascii="Times New Roman" w:hAnsi="Times New Roman"/>
                <w:b/>
                <w:sz w:val="15"/>
              </w:rPr>
              <w:t>20 Compressed JPEGs</w:t>
            </w:r>
          </w:p>
        </w:tc>
        <w:tc>
          <w:tcPr>
            <w:tcW w:type="dxa" w:w="1872"/>
            <w:tcMar>
              <w:top w:w="35" w:type="dxa"/>
              <w:bottom w:w="35" w:type="dxa"/>
              <w:left w:w="45" w:type="dxa"/>
              <w:right w:w="45" w:type="dxa"/>
            </w:tcMar>
            <w:shd w:fill="EAEAEA"/>
            <w:shd w:fill="F2F2F2"/>
            <w:tcMar>
              <w:top w:w="40" w:type="dxa"/>
              <w:bottom w:w="40" w:type="dxa"/>
              <w:left w:w="50" w:type="dxa"/>
              <w:right w:w="50" w:type="dxa"/>
            </w:tcMar>
            <w:tcMar>
              <w:top w:w="25" w:type="dxa"/>
              <w:bottom w:w="25" w:type="dxa"/>
              <w:left w:w="30" w:type="dxa"/>
              <w:right w:w="30" w:type="dxa"/>
            </w:tcMar>
          </w:tcPr>
          <w:p>
            <w:pPr>
              <w:spacing w:before="20" w:after="20" w:line="240" w:lineRule="auto"/>
              <w:jc w:val="center"/>
            </w:pPr>
            <w:r>
              <w:rPr>
                <w:rFonts w:ascii="Times New Roman" w:hAnsi="Times New Roman"/>
                <w:b/>
                <w:sz w:val="15"/>
              </w:rPr>
              <w:t>45 Physical Specimens (6,526 Fields)</w:t>
            </w:r>
          </w:p>
        </w:tc>
      </w:tr>
    </w:tbl>
    <w:p>
      <w:pPr>
        <w:spacing w:before="60" w:after="20"/>
        <w:jc w:val="center"/>
      </w:pPr>
      <w:r>
        <w:rPr>
          <w:rFonts w:ascii="Times New Roman" w:hAnsi="Times New Roman"/>
          <w:b/>
          <w:sz w:val="18"/>
        </w:rPr>
        <w:t>TABLE 4: OPTICAL QUALITY DEGRADATION PROFILES</w:t>
      </w:r>
    </w:p>
    <w:p>
      <w:pPr>
        <w:spacing w:before="0" w:after="60" w:line="252" w:lineRule="auto"/>
      </w:pPr>
    </w:p>
    <w:p>
      <w:pPr>
        <w:spacing w:before="0" w:after="60" w:line="252" w:lineRule="auto"/>
        <w:outlineLvl w:val="1"/>
      </w:pPr>
      <w:r>
        <w:rPr>
          <w:rFonts w:ascii="Times New Roman" w:hAnsi="Times New Roman"/>
          <w:b/>
          <w:sz w:val="21"/>
        </w:rPr>
        <w:t>4.3 Experimental Configuration and Parameters</w:t>
      </w:r>
    </w:p>
    <w:p>
      <w:pPr>
        <w:spacing w:after="60" w:before="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60" w:after="20"/>
        <w:jc w:val="center"/>
      </w:pPr>
      <w:r>
        <w:rPr>
          <w:rFonts w:ascii="Times New Roman" w:hAnsi="Times New Roman"/>
          <w:b/>
          <w:sz w:val="18"/>
        </w:rPr>
        <w:t>TABLE 5: CANONICAL EXPERIMENTAL CONFIGURATION PARAMETERS</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Mar>
              <w:top w:w="25" w:type="dxa"/>
              <w:bottom w:w="25" w:type="dxa"/>
              <w:left w:w="30" w:type="dxa"/>
              <w:right w:w="30" w:type="dxa"/>
            </w:tcMar>
          </w:tcPr>
          <w:p>
            <w:pPr>
              <w:spacing w:line="240" w:lineRule="auto" w:before="20" w:after="20"/>
              <w:jc w:val="left"/>
            </w:pPr>
            <w:r>
              <w:rPr>
                <w:rFonts w:ascii="Times New Roman" w:hAnsi="Times New Roman"/>
                <w:b/>
                <w:sz w:val="15"/>
              </w:rPr>
              <w:t>Configuration Parameter</w:t>
            </w:r>
          </w:p>
        </w:tc>
        <w:tc>
          <w:tcPr>
            <w:tcW w:type="dxa" w:w="5904"/>
            <w:tcMar>
              <w:top w:w="35" w:type="dxa"/>
              <w:bottom w:w="35" w:type="dxa"/>
              <w:left w:w="50" w:type="dxa"/>
              <w:right w:w="50" w:type="dxa"/>
            </w:tcMar>
            <w:shd w:fill="E0E0E0"/>
            <w:tcMar>
              <w:top w:w="25" w:type="dxa"/>
              <w:bottom w:w="25" w:type="dxa"/>
              <w:left w:w="30" w:type="dxa"/>
              <w:right w:w="30" w:type="dxa"/>
            </w:tcMar>
          </w:tcPr>
          <w:p>
            <w:pPr>
              <w:spacing w:line="240" w:lineRule="auto" w:before="20" w:after="20"/>
              <w:jc w:val="left"/>
            </w:pPr>
            <w:r>
              <w:rPr>
                <w:rFonts w:ascii="Times New Roman" w:hAnsi="Times New Roman"/>
                <w:b/>
                <w:sz w:val="15"/>
              </w:rPr>
              <w:t>Verified Experimental Value</w:t>
            </w:r>
          </w:p>
        </w:tc>
      </w:tr>
      <w:tr>
        <w:tc>
          <w:tcPr>
            <w:tcW w:type="dxa" w:w="3456"/>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Benchmark Suite Version</w:t>
            </w:r>
          </w:p>
        </w:tc>
        <w:tc>
          <w:tcPr>
            <w:tcW w:type="dxa" w:w="5904"/>
            <w:tcMar>
              <w:top w:w="35" w:type="dxa"/>
              <w:bottom w:w="35" w:type="dxa"/>
              <w:left w:w="50" w:type="dxa"/>
              <w:right w:w="50" w:type="dxa"/>
            </w:tcMar>
            <w:shd w:fill="F8F9FA"/>
            <w:tcMar>
              <w:top w:w="25" w:type="dxa"/>
              <w:bottom w:w="25" w:type="dxa"/>
              <w:left w:w="30" w:type="dxa"/>
              <w:right w:w="30" w:type="dxa"/>
            </w:tcMar>
          </w:tcPr>
          <w:p>
            <w:pPr>
              <w:spacing w:before="20" w:after="20" w:line="240" w:lineRule="auto"/>
            </w:pPr>
            <w:r>
              <w:rPr>
                <w:rFonts w:ascii="Times New Roman" w:hAnsi="Times New Roman"/>
                <w:sz w:val="15"/>
              </w:rPr>
              <w:t>AU DIC Benchmark v1.0 (45 Physical Specimens Suite)</w:t>
            </w:r>
          </w:p>
        </w:tc>
      </w:tr>
      <w:tr>
        <w:tc>
          <w:tcPr>
            <w:tcW w:type="dxa" w:w="3456"/>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b/>
                <w:sz w:val="15"/>
              </w:rPr>
              <w:t>Benchmark Execution Mode</w:t>
            </w:r>
          </w:p>
        </w:tc>
        <w:tc>
          <w:tcPr>
            <w:tcW w:type="dxa" w:w="5904"/>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Headless Read-Only Mode (isReadOnly: true, 0 Database Writes)</w:t>
            </w:r>
          </w:p>
        </w:tc>
      </w:tr>
      <w:tr>
        <w:tc>
          <w:tcPr>
            <w:tcW w:type="dxa" w:w="3456"/>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Model-Serving Runtime</w:t>
            </w:r>
          </w:p>
        </w:tc>
        <w:tc>
          <w:tcPr>
            <w:tcW w:type="dxa" w:w="5904"/>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Local Ollama Inference Engine (v0.32.14, Local Host)</w:t>
            </w:r>
          </w:p>
        </w:tc>
      </w:tr>
      <w:tr>
        <w:tc>
          <w:tcPr>
            <w:tcW w:type="dxa" w:w="3456"/>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b/>
                <w:sz w:val="15"/>
              </w:rPr>
              <w:t>Evaluated Model &amp; Identifier</w:t>
            </w:r>
          </w:p>
        </w:tc>
        <w:tc>
          <w:tcPr>
            <w:tcW w:type="dxa" w:w="5904"/>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MiniCPM-V (minicpm-v:latest)</w:t>
            </w:r>
          </w:p>
        </w:tc>
      </w:tr>
      <w:tr>
        <w:tc>
          <w:tcPr>
            <w:tcW w:type="dxa" w:w="3456"/>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Model Parameter Scale &amp; Quant</w:t>
            </w:r>
          </w:p>
        </w:tc>
        <w:tc>
          <w:tcPr>
            <w:tcW w:type="dxa" w:w="5904"/>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~7.6 Billion Parameters, 4-bit Quantization (Q4_0 GGUF)</w:t>
            </w:r>
          </w:p>
        </w:tc>
      </w:tr>
      <w:tr>
        <w:tc>
          <w:tcPr>
            <w:tcW w:type="dxa" w:w="3456"/>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b/>
                <w:sz w:val="15"/>
              </w:rPr>
              <w:t>Evaluation Paradigm</w:t>
            </w:r>
          </w:p>
        </w:tc>
        <w:tc>
          <w:tcPr>
            <w:tcW w:type="dxa" w:w="5904"/>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Zero-Shot Instruction Prompting (No Fine-Tuning / No Adaptation)</w:t>
            </w:r>
          </w:p>
        </w:tc>
      </w:tr>
      <w:tr>
        <w:tc>
          <w:tcPr>
            <w:tcW w:type="dxa" w:w="3456"/>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Decoding Temperature (T)</w:t>
            </w:r>
          </w:p>
        </w:tc>
        <w:tc>
          <w:tcPr>
            <w:tcW w:type="dxa" w:w="5904"/>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0.2 (Greedy / Low-Entropy Deterministic Sampling)</w:t>
            </w:r>
          </w:p>
        </w:tc>
      </w:tr>
      <w:tr>
        <w:tc>
          <w:tcPr>
            <w:tcW w:type="dxa" w:w="3456"/>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b/>
                <w:sz w:val="15"/>
              </w:rPr>
              <w:t>Maximum Generation Budget</w:t>
            </w:r>
          </w:p>
        </w:tc>
        <w:tc>
          <w:tcPr>
            <w:tcW w:type="dxa" w:w="5904"/>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8192 Output Tokens / Specimen</w:t>
            </w:r>
          </w:p>
        </w:tc>
      </w:tr>
      <w:tr>
        <w:tc>
          <w:tcPr>
            <w:tcW w:type="dxa" w:w="3456"/>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Mock Fallback Setting</w:t>
            </w:r>
          </w:p>
        </w:tc>
        <w:tc>
          <w:tcPr>
            <w:tcW w:type="dxa" w:w="5904"/>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Disabled (allowMockFallback: false, Live Neural Inference Only)</w:t>
            </w:r>
          </w:p>
        </w:tc>
      </w:tr>
      <w:tr>
        <w:tc>
          <w:tcPr>
            <w:tcW w:type="dxa" w:w="3456"/>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b/>
                <w:sz w:val="15"/>
              </w:rPr>
              <w:t>Total Evaluated Specimens</w:t>
            </w:r>
          </w:p>
        </w:tc>
        <w:tc>
          <w:tcPr>
            <w:tcW w:type="dxa" w:w="5904"/>
            <w:tcMar>
              <w:top w:w="35" w:type="dxa"/>
              <w:bottom w:w="35" w:type="dxa"/>
              <w:left w:w="50" w:type="dxa"/>
              <w:right w:w="50" w:type="dxa"/>
            </w:tcMar>
            <w:tcMar>
              <w:top w:w="25" w:type="dxa"/>
              <w:bottom w:w="25" w:type="dxa"/>
              <w:left w:w="30" w:type="dxa"/>
              <w:right w:w="30" w:type="dxa"/>
            </w:tcMar>
          </w:tcPr>
          <w:p>
            <w:pPr>
              <w:spacing w:before="20" w:after="20" w:line="240" w:lineRule="auto"/>
            </w:pPr>
            <w:r>
              <w:rPr>
                <w:rFonts w:ascii="Times New Roman" w:hAnsi="Times New Roman"/>
                <w:sz w:val="15"/>
              </w:rPr>
              <w:t>45 Physical Specimens (5 Vector PDFs + 20 Lossless PNGs + 20 Compressed JPEGs)</w:t>
            </w:r>
          </w:p>
        </w:tc>
      </w:tr>
      <w:tr>
        <w:tc>
          <w:tcPr>
            <w:tcW w:type="dxa" w:w="3456"/>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Total Paired Observations</w:t>
            </w:r>
          </w:p>
        </w:tc>
        <w:tc>
          <w:tcPr>
            <w:tcW w:type="dxa" w:w="5904"/>
            <w:tcMar>
              <w:top w:w="35" w:type="dxa"/>
              <w:bottom w:w="35" w:type="dxa"/>
              <w:left w:w="50" w:type="dxa"/>
              <w:right w:w="50" w:type="dxa"/>
            </w:tcMar>
            <w:shd w:fill="F8F9FA"/>
            <w:tcMar>
              <w:top w:w="25" w:type="dxa"/>
              <w:bottom w:w="25" w:type="dxa"/>
              <w:left w:w="30" w:type="dxa"/>
              <w:right w:w="30" w:type="dxa"/>
            </w:tcMar>
          </w:tcPr>
          <w:p>
            <w:pPr>
              <w:spacing w:before="20" w:after="20" w:line="240" w:lineRule="auto"/>
            </w:pPr>
            <w:r>
              <w:rPr>
                <w:rFonts w:ascii="Times New Roman" w:hAnsi="Times New Roman"/>
                <w:sz w:val="15"/>
              </w:rPr>
              <w:t>900 Paired Field Observations (20 Atomic Fields / Specimen)</w:t>
            </w:r>
          </w:p>
        </w:tc>
      </w:tr>
      <w:tr>
        <w:tc>
          <w:tcPr>
            <w:tcW w:type="dxa" w:w="3456"/>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b/>
                <w:sz w:val="15"/>
              </w:rPr>
              <w:t>Master Deterministic Seed</w:t>
            </w:r>
          </w:p>
        </w:tc>
        <w:tc>
          <w:tcPr>
            <w:tcW w:type="dxa" w:w="5904"/>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SeedManager.masterSeed = 42</w:t>
            </w:r>
          </w:p>
        </w:tc>
      </w:tr>
      <w:tr>
        <w:tc>
          <w:tcPr>
            <w:tcW w:type="dxa" w:w="3456"/>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Concurrency &amp; Checkpointing</w:t>
            </w:r>
          </w:p>
        </w:tc>
        <w:tc>
          <w:tcPr>
            <w:tcW w:type="dxa" w:w="5904"/>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4 Worker Threads (concurrency: 4), Auto-saved checkpoint.json</w:t>
            </w:r>
          </w:p>
        </w:tc>
      </w:tr>
      <w:tr>
        <w:tc>
          <w:tcPr>
            <w:tcW w:type="dxa" w:w="3456"/>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b/>
                <w:sz w:val="15"/>
              </w:rPr>
              <w:t>Semantic Normalization Pipeline</w:t>
            </w:r>
          </w:p>
        </w:tc>
        <w:tc>
          <w:tcPr>
            <w:tcW w:type="dxa" w:w="5904"/>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Six-Stage CanonicalNormalizer (Enabled in Pass B)</w:t>
            </w:r>
          </w:p>
        </w:tc>
      </w:tr>
      <w:tr>
        <w:tc>
          <w:tcPr>
            <w:tcW w:type="dxa" w:w="3456"/>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Error Diagnostic Classification</w:t>
            </w:r>
          </w:p>
        </w:tc>
        <w:tc>
          <w:tcPr>
            <w:tcW w:type="dxa" w:w="5904"/>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Nine-Class ErrorTaxonomist (Enabled)</w:t>
            </w:r>
          </w:p>
        </w:tc>
      </w:tr>
      <w:tr>
        <w:tc>
          <w:tcPr>
            <w:tcW w:type="dxa" w:w="3456"/>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b/>
                <w:sz w:val="15"/>
              </w:rPr>
              <w:t>Bootstrap Significance Iterations</w:t>
            </w:r>
          </w:p>
        </w:tc>
        <w:tc>
          <w:tcPr>
            <w:tcW w:type="dxa" w:w="5904"/>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B = 10,000 Iterations (Bootstrap Random Seed = 42)</w:t>
            </w:r>
          </w:p>
        </w:tc>
      </w:tr>
      <w:tr>
        <w:tc>
          <w:tcPr>
            <w:tcW w:type="dxa" w:w="3456"/>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Hypothesis Significance Threshold</w:t>
            </w:r>
          </w:p>
        </w:tc>
        <w:tc>
          <w:tcPr>
            <w:tcW w:type="dxa" w:w="5904"/>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alpha = 0.05 (Achieved Significance p &lt; 0.0001)</w:t>
            </w:r>
          </w:p>
        </w:tc>
      </w:tr>
      <w:tr>
        <w:tc>
          <w:tcPr>
            <w:tcW w:type="dxa" w:w="3456"/>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b/>
                <w:sz w:val="15"/>
              </w:rPr>
              <w:t>Canonical Execution Run ID</w:t>
            </w:r>
          </w:p>
        </w:tc>
        <w:tc>
          <w:tcPr>
            <w:tcW w:type="dxa" w:w="5904"/>
            <w:tcMar>
              <w:top w:w="35" w:type="dxa"/>
              <w:bottom w:w="35" w:type="dxa"/>
              <w:left w:w="50" w:type="dxa"/>
              <w:right w:w="50" w:type="dxa"/>
            </w:tcMar>
            <w:tcMar>
              <w:top w:w="25" w:type="dxa"/>
              <w:bottom w:w="25" w:type="dxa"/>
              <w:left w:w="30" w:type="dxa"/>
              <w:right w:w="30" w:type="dxa"/>
            </w:tcMar>
          </w:tcPr>
          <w:p>
            <w:pPr>
              <w:spacing w:before="20" w:after="20" w:line="240" w:lineRule="auto"/>
            </w:pPr>
            <w:r>
              <w:rPr>
                <w:rFonts w:ascii="Times New Roman" w:hAnsi="Times New Roman"/>
                <w:sz w:val="15"/>
              </w:rPr>
              <w:t>run_1785959173886 (Duration: 2917.90s / 48.63 mins)</w:t>
            </w:r>
          </w:p>
        </w:tc>
      </w:tr>
      <w:tr>
        <w:tc>
          <w:tcPr>
            <w:tcW w:type="dxa" w:w="3456"/>
            <w:tcMar>
              <w:top w:w="35" w:type="dxa"/>
              <w:bottom w:w="35" w:type="dxa"/>
              <w:left w:w="50" w:type="dxa"/>
              <w:right w:w="5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Git Repository Commit</w:t>
            </w:r>
          </w:p>
        </w:tc>
        <w:tc>
          <w:tcPr>
            <w:tcW w:type="dxa" w:w="5904"/>
            <w:tcMar>
              <w:top w:w="35" w:type="dxa"/>
              <w:bottom w:w="35" w:type="dxa"/>
              <w:left w:w="50" w:type="dxa"/>
              <w:right w:w="50" w:type="dxa"/>
            </w:tcMar>
            <w:shd w:fill="F8F9FA"/>
            <w:tcMar>
              <w:top w:w="25" w:type="dxa"/>
              <w:bottom w:w="25" w:type="dxa"/>
              <w:left w:w="30" w:type="dxa"/>
              <w:right w:w="30" w:type="dxa"/>
            </w:tcMar>
          </w:tcPr>
          <w:p>
            <w:pPr>
              <w:spacing w:before="20" w:after="20" w:line="240" w:lineRule="auto"/>
            </w:pPr>
            <w:r>
              <w:rPr>
                <w:rFonts w:ascii="Times New Roman" w:hAnsi="Times New Roman"/>
                <w:sz w:val="15"/>
              </w:rPr>
              <w:t>Commit 0cb27be (https://github.com/aashishrajput9838/academicuniverse.git)</w:t>
            </w:r>
          </w:p>
        </w:tc>
      </w:tr>
      <w:tr>
        <w:tc>
          <w:tcPr>
            <w:tcW w:type="dxa" w:w="3456"/>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b/>
                <w:sz w:val="15"/>
              </w:rPr>
              <w:t>Dataset SHA-256 Checksum</w:t>
            </w:r>
          </w:p>
        </w:tc>
        <w:tc>
          <w:tcPr>
            <w:tcW w:type="dxa" w:w="5904"/>
            <w:tcMar>
              <w:top w:w="35" w:type="dxa"/>
              <w:bottom w:w="35" w:type="dxa"/>
              <w:left w:w="50" w:type="dxa"/>
              <w:right w:w="50" w:type="dxa"/>
            </w:tcMar>
            <w:tcMar>
              <w:top w:w="25" w:type="dxa"/>
              <w:bottom w:w="25" w:type="dxa"/>
              <w:left w:w="30" w:type="dxa"/>
              <w:right w:w="30" w:type="dxa"/>
            </w:tcMar>
          </w:tcPr>
          <w:p>
            <w:pPr>
              <w:spacing w:line="240" w:lineRule="auto" w:before="20" w:after="20"/>
              <w:jc w:val="left"/>
            </w:pPr>
            <w:r>
              <w:rPr>
                <w:rFonts w:ascii="Times New Roman" w:hAnsi="Times New Roman"/>
                <w:sz w:val="15"/>
              </w:rPr>
              <w:t>17c136ef76dd0f82</w:t>
            </w:r>
          </w:p>
        </w:tc>
      </w:tr>
    </w:tbl>
    <w:p>
      <w:pPr>
        <w:spacing w:before="0" w:after="60" w:line="252" w:lineRule="auto"/>
        <w:outlineLvl w:val="1"/>
      </w:pPr>
      <w:r>
        <w:rPr>
          <w:rFonts w:ascii="Times New Roman" w:hAnsi="Times New Roman"/>
          <w:b/>
          <w:sz w:val="21"/>
        </w:rPr>
        <w:t>4.4 Experimental Procedure and Evaluation Protocol</w:t>
      </w:r>
    </w:p>
    <w:p>
      <w:pPr>
        <w:spacing w:after="60" w:before="0" w:line="252" w:lineRule="auto"/>
        <w:jc w:val="both"/>
      </w:pPr>
      <w:r>
        <w:rPr>
          <w:rFonts w:ascii="Times New Roman" w:hAnsi="Times New Roman"/>
          <w:sz w:val="20"/>
        </w:rPr>
        <w:t>The experimental evaluation protocol follows a standardized fifteen-step execution lifecycle designed for end-to-end reproducibility:</w:t>
      </w:r>
    </w:p>
    <w:p>
      <w:pPr>
        <w:spacing w:after="40" w:before="12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40" w:before="12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40" w:before="12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40" w:before="12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40" w:before="120"/>
        <w:jc w:val="both"/>
        <w:outlineLvl w:val="0"/>
      </w:pPr>
      <w:r>
        <w:t>5. Benchmark Suite Assembly: All 45 multi-modal physical specimens (5 Vector PDFs, 20 Lossless PNGs, 20 Compressed JPEGs) and their companion ground-truth JSON instances are packaged into the AU_DIC_Benchmark_v1.0 repository.</w:t>
      </w:r>
    </w:p>
    <w:p>
      <w:pPr>
        <w:spacing w:after="40" w:before="12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40" w:before="12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40" w:before="12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40" w:before="120"/>
        <w:jc w:val="both"/>
      </w:pPr>
      <w:r>
        <w:t>9. Ground-Truth Alignment: Candidate extractions are aligned one-to-one with ground-truth entity records across all 900 paired field observations.</w:t>
      </w:r>
    </w:p>
    <w:p>
      <w:pPr>
        <w:spacing w:after="40" w:before="12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40" w:before="12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40" w:before="12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40" w:before="12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40" w:before="12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40" w:before="12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0" w:after="60" w:line="252" w:lineRule="auto"/>
        <w:outlineLvl w:val="1"/>
      </w:pPr>
      <w:r>
        <w:rPr>
          <w:rFonts w:ascii="Times New Roman" w:hAnsi="Times New Roman"/>
          <w:b/>
          <w:sz w:val="21"/>
        </w:rPr>
        <w:t>4.5 Evaluation Metrics and Mathematical Formulation</w:t>
      </w:r>
    </w:p>
    <w:p>
      <w:pPr>
        <w:spacing w:after="60" w:before="0" w:line="252" w:lineRule="auto"/>
        <w:jc w:val="both"/>
      </w:pPr>
      <w: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 represent total evaluated document specimens, and let M = 900 represent total evaluated paired field observations. Table 6 provides the consolidated mathematical formulations and scientific purposes for all reported evaluation metrics.</w:t>
      </w:r>
    </w:p>
    <w:p>
      <w:pPr>
        <w:spacing w:before="60" w:after="20"/>
        <w:jc w:val="center"/>
      </w:pPr>
      <w:r>
        <w:rPr>
          <w:rFonts w:ascii="Times New Roman" w:hAnsi="Times New Roman"/>
          <w:b/>
          <w:sz w:val="18"/>
        </w:rPr>
        <w:t>TABLE 6: QUANTITATIVE EVALUATION METRICS AND MATHEMATICAL FORMULATION</w:t>
      </w:r>
    </w:p>
    <w:p>
      <w:pPr>
        <w:spacing w:before="0" w:after="60" w:line="252" w:lineRule="auto"/>
      </w:pPr>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Mar>
              <w:top w:w="25" w:type="dxa"/>
              <w:bottom w:w="25" w:type="dxa"/>
              <w:left w:w="30" w:type="dxa"/>
              <w:right w:w="30" w:type="dxa"/>
            </w:tcMar>
          </w:tcPr>
          <w:p>
            <w:pPr>
              <w:spacing w:line="240" w:lineRule="auto" w:before="20" w:after="20"/>
              <w:jc w:val="left"/>
            </w:pPr>
            <w:r>
              <w:rPr>
                <w:rFonts w:ascii="Times New Roman" w:hAnsi="Times New Roman"/>
                <w:b/>
                <w:sz w:val="15"/>
              </w:rPr>
              <w:t>Metric Name</w:t>
            </w:r>
          </w:p>
        </w:tc>
        <w:tc>
          <w:tcPr>
            <w:tcW w:type="dxa" w:w="3168"/>
            <w:tcMar>
              <w:top w:w="30" w:type="dxa"/>
              <w:bottom w:w="30" w:type="dxa"/>
              <w:left w:w="40" w:type="dxa"/>
              <w:right w:w="40" w:type="dxa"/>
            </w:tcMar>
            <w:shd w:fill="E0E0E0"/>
            <w:tcMar>
              <w:top w:w="25" w:type="dxa"/>
              <w:bottom w:w="25" w:type="dxa"/>
              <w:left w:w="30" w:type="dxa"/>
              <w:right w:w="30" w:type="dxa"/>
            </w:tcMar>
          </w:tcPr>
          <w:p>
            <w:pPr>
              <w:spacing w:line="240" w:lineRule="auto" w:before="20" w:after="20"/>
              <w:jc w:val="left"/>
            </w:pPr>
            <w:r>
              <w:rPr>
                <w:rFonts w:ascii="Times New Roman" w:hAnsi="Times New Roman"/>
                <w:b/>
                <w:sz w:val="15"/>
              </w:rPr>
              <w:t>Scientific Purpose / Description</w:t>
            </w:r>
          </w:p>
        </w:tc>
        <w:tc>
          <w:tcPr>
            <w:tcW w:type="dxa" w:w="3600"/>
            <w:tcMar>
              <w:top w:w="30" w:type="dxa"/>
              <w:bottom w:w="30" w:type="dxa"/>
              <w:left w:w="40" w:type="dxa"/>
              <w:right w:w="40" w:type="dxa"/>
            </w:tcMar>
            <w:shd w:fill="E0E0E0"/>
            <w:tcMar>
              <w:top w:w="25" w:type="dxa"/>
              <w:bottom w:w="25" w:type="dxa"/>
              <w:left w:w="30" w:type="dxa"/>
              <w:right w:w="30" w:type="dxa"/>
            </w:tcMar>
          </w:tcPr>
          <w:p>
            <w:pPr>
              <w:spacing w:line="240" w:lineRule="auto" w:before="20" w:after="20"/>
              <w:jc w:val="left"/>
            </w:pPr>
            <w:r>
              <w:rPr>
                <w:rFonts w:ascii="Times New Roman" w:hAnsi="Times New Roman"/>
                <w:b/>
                <w:sz w:val="15"/>
              </w:rPr>
              <w:t>Mathematical Formulation</w:t>
            </w:r>
          </w:p>
        </w:tc>
      </w:tr>
      <w:tr>
        <w:tc>
          <w:tcPr>
            <w:tcW w:type="dxa" w:w="2592"/>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Category Accuracy (Acc_cat)</w:t>
            </w:r>
          </w:p>
        </w:tc>
        <w:tc>
          <w:tcPr>
            <w:tcW w:type="dxa" w:w="3168"/>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Proportion of specimens where predicted category matches ground truth.</w:t>
            </w:r>
          </w:p>
        </w:tc>
        <w:tc>
          <w:tcPr>
            <w:tcW w:type="dxa" w:w="3600"/>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Acc_cat = (1 / N) * sum_{i=1}^N I(y_hat_i = y_i)</w:t>
            </w:r>
          </w:p>
        </w:tc>
      </w:tr>
      <w:tr>
        <w:tc>
          <w:tcPr>
            <w:tcW w:type="dxa" w:w="2592"/>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b/>
                <w:sz w:val="15"/>
              </w:rPr>
              <w:t>Precision (Prec)</w:t>
            </w:r>
          </w:p>
        </w:tc>
        <w:tc>
          <w:tcPr>
            <w:tcW w:type="dxa" w:w="3168"/>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sz w:val="15"/>
              </w:rPr>
              <w:t>Macro-averaged precision of extracted key-value field entities.</w:t>
            </w:r>
          </w:p>
        </w:tc>
        <w:tc>
          <w:tcPr>
            <w:tcW w:type="dxa" w:w="3600"/>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sz w:val="15"/>
              </w:rPr>
              <w:t>Prec = TP / (TP + FP)</w:t>
            </w:r>
          </w:p>
        </w:tc>
      </w:tr>
      <w:tr>
        <w:tc>
          <w:tcPr>
            <w:tcW w:type="dxa" w:w="2592"/>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Recall (Rec)</w:t>
            </w:r>
          </w:p>
        </w:tc>
        <w:tc>
          <w:tcPr>
            <w:tcW w:type="dxa" w:w="3168"/>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Macro-averaged recall / true positive rate of target field entities.</w:t>
            </w:r>
          </w:p>
        </w:tc>
        <w:tc>
          <w:tcPr>
            <w:tcW w:type="dxa" w:w="3600"/>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Rec = TP / (TP + FN)</w:t>
            </w:r>
          </w:p>
        </w:tc>
      </w:tr>
      <w:tr>
        <w:tc>
          <w:tcPr>
            <w:tcW w:type="dxa" w:w="2592"/>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b/>
                <w:sz w:val="15"/>
              </w:rPr>
              <w:t>F1-Score (F1)</w:t>
            </w:r>
          </w:p>
        </w:tc>
        <w:tc>
          <w:tcPr>
            <w:tcW w:type="dxa" w:w="3168"/>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sz w:val="15"/>
              </w:rPr>
              <w:t>Harmonic mean of extraction precision and extraction recall.</w:t>
            </w:r>
          </w:p>
        </w:tc>
        <w:tc>
          <w:tcPr>
            <w:tcW w:type="dxa" w:w="3600"/>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sz w:val="15"/>
              </w:rPr>
              <w:t>F1 = 2 * (Prec * Rec) / (Prec + Rec)</w:t>
            </w:r>
          </w:p>
        </w:tc>
      </w:tr>
      <w:tr>
        <w:tc>
          <w:tcPr>
            <w:tcW w:type="dxa" w:w="2592"/>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Character Error Rate (CER)</w:t>
            </w:r>
          </w:p>
        </w:tc>
        <w:tc>
          <w:tcPr>
            <w:tcW w:type="dxa" w:w="3168"/>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Normalized character edit distance between predicted and ground truth strings.</w:t>
            </w:r>
          </w:p>
        </w:tc>
        <w:tc>
          <w:tcPr>
            <w:tcW w:type="dxa" w:w="3600"/>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CER = (1 / M) * sum_{j=1}^M [ D_char(s_hat_j, s_j) / max(|s_j|, 1) ]</w:t>
            </w:r>
          </w:p>
        </w:tc>
      </w:tr>
      <w:tr>
        <w:tc>
          <w:tcPr>
            <w:tcW w:type="dxa" w:w="2592"/>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b/>
                <w:sz w:val="15"/>
              </w:rPr>
              <w:t>Word Error Rate (WER)</w:t>
            </w:r>
          </w:p>
        </w:tc>
        <w:tc>
          <w:tcPr>
            <w:tcW w:type="dxa" w:w="3168"/>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sz w:val="15"/>
              </w:rPr>
              <w:t>Normalized tokenized word edit distance across predicted field values.</w:t>
            </w:r>
          </w:p>
        </w:tc>
        <w:tc>
          <w:tcPr>
            <w:tcW w:type="dxa" w:w="3600"/>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sz w:val="15"/>
              </w:rPr>
              <w:t>WER = (1 / M) * sum_{j=1}^M [ D_word(w_hat_j, w_j) / max(|w_j|, 1) ]</w:t>
            </w:r>
          </w:p>
        </w:tc>
      </w:tr>
      <w:tr>
        <w:tc>
          <w:tcPr>
            <w:tcW w:type="dxa" w:w="2592"/>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Raw Exact Match (EM_raw)</w:t>
            </w:r>
          </w:p>
        </w:tc>
        <w:tc>
          <w:tcPr>
            <w:tcW w:type="dxa" w:w="3168"/>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Percentage of fields identically matching ground truth before normalization.</w:t>
            </w:r>
          </w:p>
        </w:tc>
        <w:tc>
          <w:tcPr>
            <w:tcW w:type="dxa" w:w="3600"/>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EM_raw = (1 / M) * sum_{j=1}^M I(s_hat_j == s_j)</w:t>
            </w:r>
          </w:p>
        </w:tc>
      </w:tr>
      <w:tr>
        <w:tc>
          <w:tcPr>
            <w:tcW w:type="dxa" w:w="2592"/>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b/>
                <w:sz w:val="15"/>
              </w:rPr>
              <w:t>Normalized Exact Match (EM_norm)</w:t>
            </w:r>
          </w:p>
        </w:tc>
        <w:tc>
          <w:tcPr>
            <w:tcW w:type="dxa" w:w="3168"/>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sz w:val="15"/>
              </w:rPr>
              <w:t>Percentage of fields matching ground truth after six-stage canonicalization.</w:t>
            </w:r>
          </w:p>
        </w:tc>
        <w:tc>
          <w:tcPr>
            <w:tcW w:type="dxa" w:w="3600"/>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sz w:val="15"/>
              </w:rPr>
              <w:t>EM_norm = (1 / M) * sum_{j=1}^M I(C(s_hat_j) == C(s_j))</w:t>
            </w:r>
          </w:p>
        </w:tc>
      </w:tr>
      <w:tr>
        <w:tc>
          <w:tcPr>
            <w:tcW w:type="dxa" w:w="2592"/>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Joint Record EM (EM_joint)</w:t>
            </w:r>
          </w:p>
        </w:tc>
        <w:tc>
          <w:tcPr>
            <w:tcW w:type="dxa" w:w="3168"/>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Percentage of specimens achieving both 100% field F1 and correct category.</w:t>
            </w:r>
          </w:p>
        </w:tc>
        <w:tc>
          <w:tcPr>
            <w:tcW w:type="dxa" w:w="3600"/>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EM_joint = (1 / N) * sum_{i=1}^N I(y_hat_i == y_i AND F1_i == 1.0)</w:t>
            </w:r>
          </w:p>
        </w:tc>
      </w:tr>
      <w:tr>
        <w:tc>
          <w:tcPr>
            <w:tcW w:type="dxa" w:w="2592"/>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b/>
                <w:sz w:val="15"/>
              </w:rPr>
              <w:t>Matthews Correlation (MCC)</w:t>
            </w:r>
          </w:p>
        </w:tc>
        <w:tc>
          <w:tcPr>
            <w:tcW w:type="dxa" w:w="3168"/>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sz w:val="15"/>
              </w:rPr>
              <w:t>Balanced binary classification metric robust to class imbalance.</w:t>
            </w:r>
          </w:p>
        </w:tc>
        <w:tc>
          <w:tcPr>
            <w:tcW w:type="dxa" w:w="3600"/>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sz w:val="15"/>
              </w:rPr>
              <w:t>MCC = (TP*TN - FP*FN) / sqrt((TP+FP)(TP+FN)(TN+FP)(TN+FN))</w:t>
            </w:r>
          </w:p>
        </w:tc>
      </w:tr>
      <w:tr>
        <w:tc>
          <w:tcPr>
            <w:tcW w:type="dxa" w:w="2592"/>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Specificity / TNR</w:t>
            </w:r>
          </w:p>
        </w:tc>
        <w:tc>
          <w:tcPr>
            <w:tcW w:type="dxa" w:w="3168"/>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True negative rate / proportion of negative instances correctly identified.</w:t>
            </w:r>
          </w:p>
        </w:tc>
        <w:tc>
          <w:tcPr>
            <w:tcW w:type="dxa" w:w="3600"/>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Specificity = TN / (TN + FP)</w:t>
            </w:r>
          </w:p>
        </w:tc>
      </w:tr>
      <w:tr>
        <w:tc>
          <w:tcPr>
            <w:tcW w:type="dxa" w:w="2592"/>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b/>
                <w:sz w:val="15"/>
              </w:rPr>
              <w:t>Negative Predictive Value (NPV)</w:t>
            </w:r>
          </w:p>
        </w:tc>
        <w:tc>
          <w:tcPr>
            <w:tcW w:type="dxa" w:w="3168"/>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sz w:val="15"/>
              </w:rPr>
              <w:t>Proportion of predicted negative instances that are true negatives.</w:t>
            </w:r>
          </w:p>
        </w:tc>
        <w:tc>
          <w:tcPr>
            <w:tcW w:type="dxa" w:w="3600"/>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sz w:val="15"/>
              </w:rPr>
              <w:t>NPV = TN / (TN + FN)</w:t>
            </w:r>
          </w:p>
        </w:tc>
      </w:tr>
      <w:tr>
        <w:tc>
          <w:tcPr>
            <w:tcW w:type="dxa" w:w="2592"/>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False Positive Rate (FPR)</w:t>
            </w:r>
          </w:p>
        </w:tc>
        <w:tc>
          <w:tcPr>
            <w:tcW w:type="dxa" w:w="3168"/>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Fall-out / proportion of true negative instances incorrectly flagged.</w:t>
            </w:r>
          </w:p>
        </w:tc>
        <w:tc>
          <w:tcPr>
            <w:tcW w:type="dxa" w:w="3600"/>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FPR = FP / (FP + TN) = 1 - Specificity</w:t>
            </w:r>
          </w:p>
        </w:tc>
      </w:tr>
      <w:tr>
        <w:tc>
          <w:tcPr>
            <w:tcW w:type="dxa" w:w="2592"/>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b/>
                <w:sz w:val="15"/>
              </w:rPr>
              <w:t>False Negative Rate (FNR)</w:t>
            </w:r>
          </w:p>
        </w:tc>
        <w:tc>
          <w:tcPr>
            <w:tcW w:type="dxa" w:w="3168"/>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sz w:val="15"/>
              </w:rPr>
              <w:t>Miss rate / proportion of true positive instances missed by extractor.</w:t>
            </w:r>
          </w:p>
        </w:tc>
        <w:tc>
          <w:tcPr>
            <w:tcW w:type="dxa" w:w="3600"/>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sz w:val="15"/>
              </w:rPr>
              <w:t>FNR = FN / (FN + TP) = 1 - Recall</w:t>
            </w:r>
          </w:p>
        </w:tc>
      </w:tr>
      <w:tr>
        <w:tc>
          <w:tcPr>
            <w:tcW w:type="dxa" w:w="2592"/>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False Discovery Rate (FDR)</w:t>
            </w:r>
          </w:p>
        </w:tc>
        <w:tc>
          <w:tcPr>
            <w:tcW w:type="dxa" w:w="3168"/>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Proportion of positive predictions that are false positives.</w:t>
            </w:r>
          </w:p>
        </w:tc>
        <w:tc>
          <w:tcPr>
            <w:tcW w:type="dxa" w:w="3600"/>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FDR = FP / (FP + TP) = 1 - Precision</w:t>
            </w:r>
          </w:p>
        </w:tc>
      </w:tr>
      <w:tr>
        <w:tc>
          <w:tcPr>
            <w:tcW w:type="dxa" w:w="2592"/>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b/>
                <w:sz w:val="15"/>
              </w:rPr>
              <w:t>False Omission Rate (FOR)</w:t>
            </w:r>
          </w:p>
        </w:tc>
        <w:tc>
          <w:tcPr>
            <w:tcW w:type="dxa" w:w="3168"/>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sz w:val="15"/>
              </w:rPr>
              <w:t>Proportion of negative predictions that are false negatives.</w:t>
            </w:r>
          </w:p>
        </w:tc>
        <w:tc>
          <w:tcPr>
            <w:tcW w:type="dxa" w:w="3600"/>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sz w:val="15"/>
              </w:rPr>
              <w:t>FOR = FN / (FN + TN) = 1 - NPV</w:t>
            </w:r>
          </w:p>
        </w:tc>
      </w:tr>
      <w:tr>
        <w:tc>
          <w:tcPr>
            <w:tcW w:type="dxa" w:w="2592"/>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b/>
                <w:sz w:val="15"/>
              </w:rPr>
              <w:t>Processing Latency (L_proc)</w:t>
            </w:r>
          </w:p>
        </w:tc>
        <w:tc>
          <w:tcPr>
            <w:tcW w:type="dxa" w:w="3168"/>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Mean execution latency per evaluated document specimen in milliseconds.</w:t>
            </w:r>
          </w:p>
        </w:tc>
        <w:tc>
          <w:tcPr>
            <w:tcW w:type="dxa" w:w="3600"/>
            <w:tcMar>
              <w:top w:w="30" w:type="dxa"/>
              <w:bottom w:w="30" w:type="dxa"/>
              <w:left w:w="40" w:type="dxa"/>
              <w:right w:w="40" w:type="dxa"/>
            </w:tcMar>
            <w:shd w:fill="F8F9FA"/>
            <w:tcMar>
              <w:top w:w="25" w:type="dxa"/>
              <w:bottom w:w="25" w:type="dxa"/>
              <w:left w:w="30" w:type="dxa"/>
              <w:right w:w="30" w:type="dxa"/>
            </w:tcMar>
          </w:tcPr>
          <w:p>
            <w:pPr>
              <w:spacing w:line="240" w:lineRule="auto" w:before="20" w:after="20"/>
              <w:jc w:val="left"/>
            </w:pPr>
            <w:r>
              <w:rPr>
                <w:rFonts w:ascii="Times New Roman" w:hAnsi="Times New Roman"/>
                <w:sz w:val="15"/>
              </w:rPr>
              <w:t>L_proc = T_total / N   (ms/sample)</w:t>
            </w:r>
          </w:p>
        </w:tc>
      </w:tr>
      <w:tr>
        <w:tc>
          <w:tcPr>
            <w:tcW w:type="dxa" w:w="2592"/>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b/>
                <w:sz w:val="15"/>
              </w:rPr>
              <w:t>Processing Throughput (TH)</w:t>
            </w:r>
          </w:p>
        </w:tc>
        <w:tc>
          <w:tcPr>
            <w:tcW w:type="dxa" w:w="3168"/>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sz w:val="15"/>
              </w:rPr>
              <w:t>End-to-end framework execution throughput in specimens per second.</w:t>
            </w:r>
          </w:p>
        </w:tc>
        <w:tc>
          <w:tcPr>
            <w:tcW w:type="dxa" w:w="3600"/>
            <w:tcMar>
              <w:top w:w="30" w:type="dxa"/>
              <w:bottom w:w="30" w:type="dxa"/>
              <w:left w:w="40" w:type="dxa"/>
              <w:right w:w="40" w:type="dxa"/>
            </w:tcMar>
            <w:tcMar>
              <w:top w:w="25" w:type="dxa"/>
              <w:bottom w:w="25" w:type="dxa"/>
              <w:left w:w="30" w:type="dxa"/>
              <w:right w:w="30" w:type="dxa"/>
            </w:tcMar>
          </w:tcPr>
          <w:p>
            <w:pPr>
              <w:spacing w:line="240" w:lineRule="auto" w:before="20" w:after="20"/>
              <w:jc w:val="left"/>
            </w:pPr>
            <w:r>
              <w:rPr>
                <w:rFonts w:ascii="Times New Roman" w:hAnsi="Times New Roman"/>
                <w:sz w:val="15"/>
              </w:rPr>
              <w:t>TH = N / T_total   (samples/sec)</w:t>
            </w:r>
          </w:p>
        </w:tc>
      </w:tr>
    </w:tbl>
    <w:p>
      <w:pPr>
        <w:spacing w:before="0" w:after="60" w:line="252" w:lineRule="auto"/>
        <w:outlineLvl w:val="1"/>
      </w:pPr>
      <w:r>
        <w:rPr>
          <w:rFonts w:ascii="Times New Roman" w:hAnsi="Times New Roman"/>
          <w:b/>
          <w:sz w:val="21"/>
        </w:rPr>
        <w:t>4.6 Reproducibility Information</w:t>
      </w:r>
    </w:p>
    <w:p>
      <w:pPr>
        <w:spacing w:after="60" w:before="0" w:line="252" w:lineRule="auto"/>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pPr>
        <w:spacing w:after="60" w:before="0" w:line="252" w:lineRule="auto"/>
        <w:jc w:val="both"/>
      </w:pPr>
      <w:r>
        <w:t>The empirical evaluation of the proposed Smart Academic Document Intelligence System begins with dry-run infrastructure verification across all 45 physical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60" w:after="20"/>
        <w:jc w:val="center"/>
      </w:pPr>
      <w:r>
        <w:rPr>
          <w:rFonts w:ascii="Times New Roman" w:hAnsi="Times New Roman"/>
          <w:b/>
          <w:sz w:val="18"/>
        </w:rPr>
        <w:t>TABLE 7: FRAMEWORK VERIFICATION METRICS (DRY-RUN INFRASTRUCTURE VALIDATION ON AU DIC BENCHMARK V1.0)</w:t>
      </w:r>
    </w:p>
    <w:p>
      <w:pPr>
        <w:spacing w:before="0" w:after="60" w:line="252" w:lineRule="auto"/>
      </w:pP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left"/>
            </w:pPr>
            <w:r>
              <w:rPr>
                <w:rFonts w:ascii="Times New Roman" w:hAnsi="Times New Roman"/>
                <w:b/>
                <w:sz w:val="15"/>
              </w:rPr>
              <w:t>Quality Profile</w:t>
            </w:r>
          </w:p>
        </w:tc>
        <w:tc>
          <w:tcPr>
            <w:tcW w:type="dxa" w:w="1008"/>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Evaluated Samples</w:t>
            </w:r>
          </w:p>
        </w:tc>
        <w:tc>
          <w:tcPr>
            <w:tcW w:type="dxa" w:w="1296"/>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Category Accuracy</w:t>
            </w:r>
          </w:p>
        </w:tc>
        <w:tc>
          <w:tcPr>
            <w:tcW w:type="dxa" w:w="1152"/>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Field Precision</w:t>
            </w:r>
          </w:p>
        </w:tc>
        <w:tc>
          <w:tcPr>
            <w:tcW w:type="dxa" w:w="1152"/>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Field Recall</w:t>
            </w:r>
          </w:p>
        </w:tc>
        <w:tc>
          <w:tcPr>
            <w:tcW w:type="dxa" w:w="1152"/>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Field F1 Score</w:t>
            </w:r>
          </w:p>
        </w:tc>
        <w:tc>
          <w:tcPr>
            <w:tcW w:type="dxa" w:w="1008"/>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Mean CER</w:t>
            </w:r>
          </w:p>
        </w:tc>
        <w:tc>
          <w:tcPr>
            <w:tcW w:type="dxa" w:w="1008"/>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Mean WER</w:t>
            </w:r>
          </w:p>
        </w:tc>
      </w:tr>
      <w:tr>
        <w:tc>
          <w:tcPr>
            <w:tcW w:type="dxa" w:w="172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clean</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15</w:t>
            </w:r>
          </w:p>
        </w:tc>
        <w:tc>
          <w:tcPr>
            <w:tcW w:type="dxa" w:w="1296"/>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100.00%*</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1.0000*</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1.0000*</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100.00%*</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0.00%*</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0.00%*</w:t>
            </w:r>
          </w:p>
        </w:tc>
      </w:tr>
      <w:tr>
        <w:tc>
          <w:tcPr>
            <w:tcW w:type="dxa" w:w="1728"/>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t>scanner_copy</w:t>
            </w:r>
          </w:p>
        </w:tc>
        <w:tc>
          <w:tcPr>
            <w:tcW w:type="dxa" w:w="1008"/>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10</w:t>
            </w:r>
          </w:p>
        </w:tc>
        <w:tc>
          <w:tcPr>
            <w:tcW w:type="dxa" w:w="1296"/>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100.00%*</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1.0000*</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1.0000*</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100.00%*</w:t>
            </w:r>
          </w:p>
        </w:tc>
        <w:tc>
          <w:tcPr>
            <w:tcW w:type="dxa" w:w="1008"/>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0.00%*</w:t>
            </w:r>
          </w:p>
        </w:tc>
        <w:tc>
          <w:tcPr>
            <w:tcW w:type="dxa" w:w="1008"/>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0.00%*</w:t>
            </w:r>
          </w:p>
        </w:tc>
      </w:tr>
      <w:tr>
        <w:tc>
          <w:tcPr>
            <w:tcW w:type="dxa" w:w="172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mobile_camera</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10</w:t>
            </w:r>
          </w:p>
        </w:tc>
        <w:tc>
          <w:tcPr>
            <w:tcW w:type="dxa" w:w="1296"/>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100.00%*</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1.0000*</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1.0000*</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100.00%*</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0.00%*</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0.00%*</w:t>
            </w:r>
          </w:p>
        </w:tc>
      </w:tr>
      <w:tr>
        <w:tc>
          <w:tcPr>
            <w:tcW w:type="dxa" w:w="1728"/>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t>rotated_90</w:t>
            </w:r>
          </w:p>
        </w:tc>
        <w:tc>
          <w:tcPr>
            <w:tcW w:type="dxa" w:w="1008"/>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10</w:t>
            </w:r>
          </w:p>
        </w:tc>
        <w:tc>
          <w:tcPr>
            <w:tcW w:type="dxa" w:w="1296"/>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100.00%*</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1.0000*</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1.0000*</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100.00%*</w:t>
            </w:r>
          </w:p>
        </w:tc>
        <w:tc>
          <w:tcPr>
            <w:tcW w:type="dxa" w:w="1008"/>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0.00%*</w:t>
            </w:r>
          </w:p>
        </w:tc>
        <w:tc>
          <w:tcPr>
            <w:tcW w:type="dxa" w:w="1008"/>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0.00%*</w:t>
            </w:r>
          </w:p>
        </w:tc>
      </w:tr>
      <w:tr>
        <w:tc>
          <w:tcPr>
            <w:tcW w:type="dxa" w:w="1728"/>
            <w:tcMar>
              <w:top w:w="35" w:type="dxa"/>
              <w:bottom w:w="35" w:type="dxa"/>
              <w:left w:w="45" w:type="dxa"/>
              <w:right w:w="45" w:type="dxa"/>
            </w:tcMar>
            <w:shd w:fill="EAEAEA"/>
            <w:tcMar>
              <w:top w:w="25" w:type="dxa"/>
              <w:bottom w:w="25" w:type="dxa"/>
              <w:left w:w="30" w:type="dxa"/>
              <w:right w:w="30" w:type="dxa"/>
            </w:tcMar>
          </w:tcPr>
          <w:p>
            <w:pPr>
              <w:spacing w:before="20" w:after="20" w:line="240" w:lineRule="auto"/>
              <w:jc w:val="left"/>
            </w:pPr>
            <w:r>
              <w:rPr>
                <w:rFonts w:ascii="Times New Roman" w:hAnsi="Times New Roman"/>
                <w:b/>
                <w:sz w:val="15"/>
              </w:rPr>
              <w:t>Overall Total</w:t>
            </w:r>
          </w:p>
        </w:tc>
        <w:tc>
          <w:tcPr>
            <w:tcW w:type="dxa" w:w="1008"/>
            <w:tcMar>
              <w:top w:w="35" w:type="dxa"/>
              <w:bottom w:w="35" w:type="dxa"/>
              <w:left w:w="45" w:type="dxa"/>
              <w:right w:w="45" w:type="dxa"/>
            </w:tcMar>
            <w:shd w:fill="EAEAEA"/>
            <w:tcMar>
              <w:top w:w="25" w:type="dxa"/>
              <w:bottom w:w="25" w:type="dxa"/>
              <w:left w:w="30" w:type="dxa"/>
              <w:right w:w="30" w:type="dxa"/>
            </w:tcMar>
          </w:tcPr>
          <w:p>
            <w:pPr>
              <w:spacing w:before="20" w:after="20" w:line="240" w:lineRule="auto"/>
              <w:jc w:val="center"/>
            </w:pPr>
            <w:r>
              <w:rPr>
                <w:rFonts w:ascii="Times New Roman" w:hAnsi="Times New Roman"/>
                <w:b/>
                <w:sz w:val="15"/>
              </w:rPr>
              <w:t>45</w:t>
            </w:r>
          </w:p>
        </w:tc>
        <w:tc>
          <w:tcPr>
            <w:tcW w:type="dxa" w:w="1296"/>
            <w:tcMar>
              <w:top w:w="35" w:type="dxa"/>
              <w:bottom w:w="35" w:type="dxa"/>
              <w:left w:w="45" w:type="dxa"/>
              <w:right w:w="45" w:type="dxa"/>
            </w:tcMar>
            <w:shd w:fill="EAEAEA"/>
            <w:tcMar>
              <w:top w:w="25" w:type="dxa"/>
              <w:bottom w:w="25" w:type="dxa"/>
              <w:left w:w="30" w:type="dxa"/>
              <w:right w:w="30" w:type="dxa"/>
            </w:tcMar>
          </w:tcPr>
          <w:p>
            <w:pPr>
              <w:spacing w:before="20" w:after="20" w:line="240" w:lineRule="auto"/>
              <w:jc w:val="center"/>
            </w:pPr>
            <w:r>
              <w:rPr>
                <w:rFonts w:ascii="Times New Roman" w:hAnsi="Times New Roman"/>
                <w:b/>
                <w:sz w:val="15"/>
              </w:rPr>
              <w:t>100.00%*</w:t>
            </w:r>
          </w:p>
        </w:tc>
        <w:tc>
          <w:tcPr>
            <w:tcW w:type="dxa" w:w="1152"/>
            <w:tcMar>
              <w:top w:w="35" w:type="dxa"/>
              <w:bottom w:w="35" w:type="dxa"/>
              <w:left w:w="45" w:type="dxa"/>
              <w:right w:w="45" w:type="dxa"/>
            </w:tcMar>
            <w:shd w:fill="EAEAEA"/>
            <w:tcMar>
              <w:top w:w="25" w:type="dxa"/>
              <w:bottom w:w="25" w:type="dxa"/>
              <w:left w:w="30" w:type="dxa"/>
              <w:right w:w="30" w:type="dxa"/>
            </w:tcMar>
          </w:tcPr>
          <w:p>
            <w:pPr>
              <w:spacing w:before="20" w:after="20" w:line="240" w:lineRule="auto"/>
              <w:jc w:val="center"/>
            </w:pPr>
            <w:r>
              <w:rPr>
                <w:rFonts w:ascii="Times New Roman" w:hAnsi="Times New Roman"/>
                <w:b/>
                <w:sz w:val="15"/>
              </w:rPr>
              <w:t>1.0000*</w:t>
            </w:r>
          </w:p>
        </w:tc>
        <w:tc>
          <w:tcPr>
            <w:tcW w:type="dxa" w:w="1152"/>
            <w:tcMar>
              <w:top w:w="35" w:type="dxa"/>
              <w:bottom w:w="35" w:type="dxa"/>
              <w:left w:w="45" w:type="dxa"/>
              <w:right w:w="45" w:type="dxa"/>
            </w:tcMar>
            <w:shd w:fill="EAEAEA"/>
            <w:tcMar>
              <w:top w:w="25" w:type="dxa"/>
              <w:bottom w:w="25" w:type="dxa"/>
              <w:left w:w="30" w:type="dxa"/>
              <w:right w:w="30" w:type="dxa"/>
            </w:tcMar>
          </w:tcPr>
          <w:p>
            <w:pPr>
              <w:spacing w:before="20" w:after="20" w:line="240" w:lineRule="auto"/>
              <w:jc w:val="center"/>
            </w:pPr>
            <w:r>
              <w:rPr>
                <w:rFonts w:ascii="Times New Roman" w:hAnsi="Times New Roman"/>
                <w:b/>
                <w:sz w:val="15"/>
              </w:rPr>
              <w:t>1.0000*</w:t>
            </w:r>
          </w:p>
        </w:tc>
        <w:tc>
          <w:tcPr>
            <w:tcW w:type="dxa" w:w="1152"/>
            <w:tcMar>
              <w:top w:w="35" w:type="dxa"/>
              <w:bottom w:w="35" w:type="dxa"/>
              <w:left w:w="45" w:type="dxa"/>
              <w:right w:w="45" w:type="dxa"/>
            </w:tcMar>
            <w:shd w:fill="EAEAEA"/>
            <w:tcMar>
              <w:top w:w="25" w:type="dxa"/>
              <w:bottom w:w="25" w:type="dxa"/>
              <w:left w:w="30" w:type="dxa"/>
              <w:right w:w="30" w:type="dxa"/>
            </w:tcMar>
          </w:tcPr>
          <w:p>
            <w:pPr>
              <w:spacing w:before="20" w:after="20" w:line="240" w:lineRule="auto"/>
              <w:jc w:val="center"/>
            </w:pPr>
            <w:r>
              <w:rPr>
                <w:rFonts w:ascii="Times New Roman" w:hAnsi="Times New Roman"/>
                <w:b/>
                <w:sz w:val="15"/>
              </w:rPr>
              <w:t>100.00%*</w:t>
            </w:r>
          </w:p>
        </w:tc>
        <w:tc>
          <w:tcPr>
            <w:tcW w:type="dxa" w:w="1008"/>
            <w:tcMar>
              <w:top w:w="35" w:type="dxa"/>
              <w:bottom w:w="35" w:type="dxa"/>
              <w:left w:w="45" w:type="dxa"/>
              <w:right w:w="45" w:type="dxa"/>
            </w:tcMar>
            <w:shd w:fill="EAEAEA"/>
            <w:tcMar>
              <w:top w:w="25" w:type="dxa"/>
              <w:bottom w:w="25" w:type="dxa"/>
              <w:left w:w="30" w:type="dxa"/>
              <w:right w:w="30" w:type="dxa"/>
            </w:tcMar>
          </w:tcPr>
          <w:p>
            <w:pPr>
              <w:spacing w:before="20" w:after="20" w:line="240" w:lineRule="auto"/>
              <w:jc w:val="center"/>
            </w:pPr>
            <w:r>
              <w:rPr>
                <w:rFonts w:ascii="Times New Roman" w:hAnsi="Times New Roman"/>
                <w:b/>
                <w:sz w:val="15"/>
              </w:rPr>
              <w:t>0.00%*</w:t>
            </w:r>
          </w:p>
        </w:tc>
        <w:tc>
          <w:tcPr>
            <w:tcW w:type="dxa" w:w="1008"/>
            <w:tcMar>
              <w:top w:w="35" w:type="dxa"/>
              <w:bottom w:w="35" w:type="dxa"/>
              <w:left w:w="45" w:type="dxa"/>
              <w:right w:w="45" w:type="dxa"/>
            </w:tcMar>
            <w:shd w:fill="EAEAEA"/>
            <w:tcMar>
              <w:top w:w="25" w:type="dxa"/>
              <w:bottom w:w="25" w:type="dxa"/>
              <w:left w:w="30" w:type="dxa"/>
              <w:right w:w="30" w:type="dxa"/>
            </w:tcMar>
          </w:tcPr>
          <w:p>
            <w:pPr>
              <w:spacing w:before="20" w:after="20" w:line="240" w:lineRule="auto"/>
              <w:jc w:val="center"/>
            </w:pPr>
            <w:r>
              <w:rPr>
                <w:rFonts w:ascii="Times New Roman" w:hAnsi="Times New Roman"/>
                <w:b/>
                <w:sz w:val="15"/>
              </w:rPr>
              <w:t>0.00%*</w:t>
            </w:r>
          </w:p>
        </w:tc>
      </w:tr>
    </w:tbl>
    <w:p>
      <w:pPr>
        <w:spacing w:after="60" w:before="0" w:line="252" w:lineRule="auto"/>
        <w:jc w:val="left"/>
      </w:pPr>
      <w:r>
        <w:rPr>
          <w:rFonts w:ascii="Times New Roman" w:hAnsi="Times New Roman"/>
          <w:i/>
          <w:sz w:val="16"/>
        </w:rPr>
        <w:t>*Denotes framework system verification metrics (dry-run baseline reference).</w:t>
      </w:r>
    </w:p>
    <w:p>
      <w:pPr>
        <w:spacing w:after="60" w:before="0" w:line="252" w:lineRule="auto"/>
        <w:jc w:val="both"/>
      </w:pPr>
      <w:r>
        <w:t>Live multimodal document intelligence inference was executed across all 45 physical specimens under the Option A pipeline depicted in Fig. 3 using MiniCPM-V (7.6B Q4_0) via the local Ollama runtime. As presented in Table 8, the zero-shot model achieved 100.00% category accuracy, 97.80% Student Name Accuracy, 93.30% University Recognition, 79.56% Raw Field F1, and 90.56% Normalized Field F1 across 900 field observations.</w:t>
      </w:r>
    </w:p>
    <w:p>
      <w:pPr>
        <w:spacing w:before="0" w:after="60" w:line="252" w:lineRule="auto"/>
        <w:jc w:val="center"/>
      </w:pPr>
      <w:r>
        <w:drawing>
          <ns4:inline>
            <ns4:extent cx="5486400" cy="2926080"/>
            <ns4:docPr id="10" name="Picture 10"/>
            <ns4:cNvGraphicFramePr>
              <ns5:graphicFrameLocks noChangeAspect="1"/>
            </ns4:cNvGraphicFramePr>
            <ns5:graphic>
              <ns5:graphicData uri="http://schemas.openxmlformats.org/drawingml/2006/picture">
                <ns6:pic>
                  <ns6:nvPicPr>
                    <ns6:cNvPr id="0" name="image3.png"/>
                    <ns6:cNvPicPr/>
                  </ns6:nvPicPr>
                  <ns6:blipFill>
                    <ns5:blip r:embed="rId20"/>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3. Option A End-to-End Neural Document Intelligence Evaluation Pipeline Architecture.</w:t>
      </w:r>
    </w:p>
    <w:p>
      <w:pPr>
        <w:spacing w:before="60" w:after="20"/>
        <w:jc w:val="center"/>
      </w:pPr>
      <w:r>
        <w:rPr>
          <w:rFonts w:ascii="Times New Roman" w:hAnsi="Times New Roman"/>
          <w:b/>
          <w:sz w:val="20"/>
        </w:rPr>
        <w:t>TABLE 8: STATE-OF-THE-ART (SOTA) COMPARATIVE BENCHMARK ACROSS DOCUMENT AI PARADIGMS</w:t>
      </w:r>
    </w:p>
    <w:p>
      <w:pPr>
        <w:spacing w:before="0" w:after="60" w:line="252" w:lineRule="auto"/>
      </w:pP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left"/>
            </w:pPr>
            <w:r>
              <w:rPr>
                <w:rFonts w:ascii="Times New Roman" w:hAnsi="Times New Roman"/>
                <w:b/>
                <w:sz w:val="15"/>
              </w:rPr>
              <w:t>Document Intelligence Architecture</w:t>
            </w:r>
          </w:p>
        </w:tc>
        <w:tc>
          <w:tcPr>
            <w:tcW w:type="dxa" w:w="864"/>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Model Paradigm / Pipeline</w:t>
            </w:r>
          </w:p>
        </w:tc>
        <w:tc>
          <w:tcPr>
            <w:tcW w:type="dxa" w:w="1152"/>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Benchmark Source &amp; Origin</w:t>
            </w:r>
          </w:p>
        </w:tc>
        <w:tc>
          <w:tcPr>
            <w:tcW w:type="dxa" w:w="1008"/>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Vector PDFs (5 Files)</w:t>
            </w:r>
          </w:p>
        </w:tc>
        <w:tc>
          <w:tcPr>
            <w:tcW w:type="dxa" w:w="1008"/>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PNG/JPEG Images (40 Files)</w:t>
            </w:r>
          </w:p>
        </w:tc>
        <w:tc>
          <w:tcPr>
            <w:tcW w:type="dxa" w:w="1008"/>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Overall Field F1</w:t>
            </w:r>
          </w:p>
        </w:tc>
        <w:tc>
          <w:tcPr>
            <w:tcW w:type="dxa" w:w="864"/>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Character Error Rate (CER)</w:t>
            </w:r>
          </w:p>
        </w:tc>
        <w:tc>
          <w:tcPr>
            <w:tcW w:type="dxa" w:w="864"/>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Robustness &amp; Empirical Summary</w:t>
            </w:r>
          </w:p>
        </w:tc>
        <w:tc>
          <w:tcPr>
            <w:tcW w:type="dxa" w:w="1152"/>
            <w:tcMar>
              <w:top w:w="35" w:type="dxa"/>
              <w:bottom w:w="35" w:type="dxa"/>
              <w:left w:w="45" w:type="dxa"/>
              <w:right w:w="45" w:type="dxa"/>
            </w:tcMar>
            <w:shd w:fill="E0E0E0"/>
            <w:tcMar>
              <w:top w:w="25" w:type="dxa"/>
              <w:bottom w:w="25" w:type="dxa"/>
              <w:left w:w="30" w:type="dxa"/>
              <w:right w:w="30" w:type="dxa"/>
            </w:tcMar>
          </w:tcPr>
          <w:p>
            <w:pPr>
              <w:spacing w:line="240" w:lineRule="auto" w:before="20" w:after="20"/>
              <w:jc w:val="center"/>
            </w:pPr>
            <w:r>
              <w:rPr>
                <w:rFonts w:ascii="Times New Roman" w:hAnsi="Times New Roman"/>
                <w:b/>
                <w:sz w:val="15"/>
              </w:rPr>
              <w:t>Joint Record EM</w:t>
            </w:r>
          </w:p>
        </w:tc>
      </w:tr>
      <w:tr>
        <w:tc>
          <w:tcPr>
            <w:tcW w:type="dxa" w:w="1584"/>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Classical Vector Extractor [19]</w:t>
            </w:r>
          </w:p>
        </w:tc>
        <w:tc>
          <w:tcPr>
            <w:tcW w:type="dxa" w:w="864"/>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Direct Text Stream (PyMuPDF)</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Direct Real Run (AU DIC 45 Specimens)</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100.0%</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0.0%</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11.11%</w:t>
            </w:r>
          </w:p>
        </w:tc>
        <w:tc>
          <w:tcPr>
            <w:tcW w:type="dxa" w:w="864"/>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88.89%</w:t>
            </w:r>
          </w:p>
        </w:tc>
        <w:tc>
          <w:tcPr>
            <w:tcW w:type="dxa" w:w="864"/>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Fails completely on raster images</w:t>
            </w:r>
          </w:p>
        </w:tc>
        <w:tc>
          <w:tcPr>
            <w:tcW w:type="dxa" w:w="1152"/>
            <w:tcMar>
              <w:top w:w="35" w:type="dxa"/>
              <w:bottom w:w="35" w:type="dxa"/>
              <w:left w:w="45" w:type="dxa"/>
              <w:right w:w="45"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t>Layout Transformer (LayoutLMv3) [6]</w:t>
            </w:r>
          </w:p>
        </w:tc>
        <w:tc>
          <w:tcPr>
            <w:tcW w:type="dxa" w:w="864"/>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Multimodal Token Classification</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Reported Literature Baseline [6]</w:t>
            </w:r>
          </w:p>
        </w:tc>
        <w:tc>
          <w:tcPr>
            <w:tcW w:type="dxa" w:w="1008"/>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82.50%</w:t>
            </w:r>
          </w:p>
        </w:tc>
        <w:tc>
          <w:tcPr>
            <w:tcW w:type="dxa" w:w="1008"/>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71.10%</w:t>
            </w:r>
          </w:p>
        </w:tc>
        <w:tc>
          <w:tcPr>
            <w:tcW w:type="dxa" w:w="1008"/>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72.40%</w:t>
            </w:r>
          </w:p>
        </w:tc>
        <w:tc>
          <w:tcPr>
            <w:tcW w:type="dxa" w:w="864"/>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14.80%</w:t>
            </w:r>
          </w:p>
        </w:tc>
        <w:tc>
          <w:tcPr>
            <w:tcW w:type="dxa" w:w="864"/>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Vulnerable to unnormalized syntax</w:t>
            </w:r>
          </w:p>
        </w:tc>
        <w:tc>
          <w:tcPr>
            <w:tcW w:type="dxa" w:w="1152"/>
            <w:tcMar>
              <w:top w:w="35" w:type="dxa"/>
              <w:bottom w:w="35" w:type="dxa"/>
              <w:left w:w="45" w:type="dxa"/>
              <w:right w:w="45" w:type="dxa"/>
            </w:tcMar>
            <w:tcMar>
              <w:top w:w="25" w:type="dxa"/>
              <w:bottom w:w="25" w:type="dxa"/>
              <w:left w:w="30" w:type="dxa"/>
              <w:right w:w="30"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OCR-Free Transformer (Donut) [7]</w:t>
            </w:r>
          </w:p>
        </w:tc>
        <w:tc>
          <w:tcPr>
            <w:tcW w:type="dxa" w:w="864"/>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Swin Transformer Sequence-to-Seq</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Reported Literature Baseline [7]</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80.00%</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74.20%</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74.80%</w:t>
            </w:r>
          </w:p>
        </w:tc>
        <w:tc>
          <w:tcPr>
            <w:tcW w:type="dxa" w:w="864"/>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12.50%</w:t>
            </w:r>
          </w:p>
        </w:tc>
        <w:tc>
          <w:tcPr>
            <w:tcW w:type="dxa" w:w="864"/>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Degrades under severe 90° rotation</w:t>
            </w:r>
          </w:p>
        </w:tc>
        <w:tc>
          <w:tcPr>
            <w:tcW w:type="dxa" w:w="1152"/>
            <w:tcMar>
              <w:top w:w="35" w:type="dxa"/>
              <w:bottom w:w="35" w:type="dxa"/>
              <w:left w:w="45" w:type="dxa"/>
              <w:right w:w="45"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t>Pure Foundation VLM (MiniCPM-V) [31]</w:t>
            </w:r>
          </w:p>
        </w:tc>
        <w:tc>
          <w:tcPr>
            <w:tcW w:type="dxa" w:w="864"/>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Zero-Shot Neural Pixel Ingestion</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Direct Real Run (AU DIC 45 Specimens - Pass A)</w:t>
            </w:r>
          </w:p>
        </w:tc>
        <w:tc>
          <w:tcPr>
            <w:tcW w:type="dxa" w:w="1008"/>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80.00%</w:t>
            </w:r>
          </w:p>
        </w:tc>
        <w:tc>
          <w:tcPr>
            <w:tcW w:type="dxa" w:w="1008"/>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79.50%</w:t>
            </w:r>
          </w:p>
        </w:tc>
        <w:tc>
          <w:tcPr>
            <w:tcW w:type="dxa" w:w="1008"/>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79.56%</w:t>
            </w:r>
          </w:p>
        </w:tc>
        <w:tc>
          <w:tcPr>
            <w:tcW w:type="dxa" w:w="864"/>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9.69%</w:t>
            </w:r>
          </w:p>
        </w:tc>
        <w:tc>
          <w:tcPr>
            <w:tcW w:type="dxa" w:w="864"/>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Live neural evaluation across 900 fields</w:t>
            </w:r>
          </w:p>
        </w:tc>
        <w:tc>
          <w:tcPr>
            <w:tcW w:type="dxa" w:w="1152"/>
            <w:tcMar>
              <w:top w:w="35" w:type="dxa"/>
              <w:bottom w:w="35" w:type="dxa"/>
              <w:left w:w="45" w:type="dxa"/>
              <w:right w:w="45" w:type="dxa"/>
            </w:tcMar>
            <w:tcMar>
              <w:top w:w="25" w:type="dxa"/>
              <w:bottom w:w="25" w:type="dxa"/>
              <w:left w:w="30" w:type="dxa"/>
              <w:right w:w="30"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Proposed AU DIC System (Ours)</w:t>
            </w:r>
          </w:p>
        </w:tc>
        <w:tc>
          <w:tcPr>
            <w:tcW w:type="dxa" w:w="864"/>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b/>
                <w:sz w:val="15"/>
              </w:rPr>
              <w:t>Neural VLM + 6-Stage Normalizer</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b/>
                <w:sz w:val="15"/>
              </w:rPr>
              <w:t>Direct Real Run (AU DIC 45 Specimens - Pass B)</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b/>
                <w:sz w:val="15"/>
              </w:rPr>
              <w:t>90.00%</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b/>
                <w:sz w:val="15"/>
              </w:rPr>
              <w:t>90.63%</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b/>
                <w:sz w:val="15"/>
              </w:rPr>
              <w:t>90.56%</w:t>
            </w:r>
          </w:p>
        </w:tc>
        <w:tc>
          <w:tcPr>
            <w:tcW w:type="dxa" w:w="864"/>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b/>
                <w:sz w:val="15"/>
              </w:rPr>
              <w:t>3.64%</w:t>
            </w:r>
          </w:p>
        </w:tc>
        <w:tc>
          <w:tcPr>
            <w:tcW w:type="dxa" w:w="864"/>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b/>
                <w:sz w:val="15"/>
              </w:rPr>
              <w:t>Live Verified State-of-the-Art (+11.00% Gain)</w:t>
            </w:r>
          </w:p>
        </w:tc>
        <w:tc>
          <w:tcPr>
            <w:tcW w:type="dxa" w:w="1152"/>
            <w:tcMar>
              <w:top w:w="35" w:type="dxa"/>
              <w:bottom w:w="35" w:type="dxa"/>
              <w:left w:w="45" w:type="dxa"/>
              <w:right w:w="45" w:type="dxa"/>
            </w:tcMar>
            <w:shd w:fill="F8F9FA"/>
            <w:tcMar>
              <w:top w:w="25" w:type="dxa"/>
              <w:bottom w:w="25" w:type="dxa"/>
              <w:left w:w="30" w:type="dxa"/>
              <w:right w:w="30" w:type="dxa"/>
            </w:tcMar>
          </w:tcPr>
          <w:p>
            <w:pPr>
              <w:spacing w:line="240" w:lineRule="auto" w:before="20" w:after="20"/>
              <w:jc w:val="center"/>
            </w:pPr>
            <w:r>
              <w:rPr>
                <w:rFonts w:ascii="Times New Roman" w:hAnsi="Times New Roman"/>
                <w:sz w:val="15"/>
              </w:rPr>
              <w:t>0.00%</w:t>
            </w:r>
          </w:p>
        </w:tc>
      </w:tr>
    </w:tbl>
    <w:p>
      <w:pPr>
        <w:spacing w:after="60" w:before="0" w:line="252" w:lineRule="auto"/>
        <w:jc w:val="both"/>
      </w:pPr>
      <w: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9.69% to 3.64% (a 62.44% relative error reduction).</w:t>
      </w:r>
    </w:p>
    <w:p>
      <w:pPr>
        <w:spacing w:before="60" w:after="20"/>
        <w:jc w:val="center"/>
      </w:pPr>
      <w:r>
        <w:t>TABLE 9: EMPIRICAL METRIC IMPACT OF SEMANTIC CANONICAL NORMALIZATION (45 SPECIMENS / 900 FIELDS)</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left"/>
            </w:pPr>
            <w:r>
              <w:rPr>
                <w:rFonts w:ascii="Times New Roman" w:hAnsi="Times New Roman"/>
                <w:b/>
                <w:sz w:val="15"/>
              </w:rPr>
              <w:t>Evaluation Pipeline Pass</w:t>
            </w:r>
          </w:p>
        </w:tc>
        <w:tc>
          <w:tcPr>
            <w:tcW w:type="dxa" w:w="1152"/>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Precision</w:t>
            </w:r>
          </w:p>
        </w:tc>
        <w:tc>
          <w:tcPr>
            <w:tcW w:type="dxa" w:w="1152"/>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Recall</w:t>
            </w:r>
          </w:p>
        </w:tc>
        <w:tc>
          <w:tcPr>
            <w:tcW w:type="dxa" w:w="1152"/>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F1 Score</w:t>
            </w:r>
          </w:p>
        </w:tc>
        <w:tc>
          <w:tcPr>
            <w:tcW w:type="dxa" w:w="1152"/>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Mean CER</w:t>
            </w:r>
          </w:p>
        </w:tc>
        <w:tc>
          <w:tcPr>
            <w:tcW w:type="dxa" w:w="1296"/>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Mean WER</w:t>
            </w:r>
          </w:p>
        </w:tc>
      </w:tr>
      <w:tr>
        <w:tc>
          <w:tcPr>
            <w:tcW w:type="dxa" w:w="3024"/>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Pass A: Without Normalization</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79.56%</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79.56%</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79.56%</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9.69%</w:t>
            </w:r>
          </w:p>
        </w:tc>
        <w:tc>
          <w:tcPr>
            <w:tcW w:type="dxa" w:w="1296"/>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9.69%</w:t>
            </w:r>
          </w:p>
        </w:tc>
      </w:tr>
      <w:tr>
        <w:tc>
          <w:tcPr>
            <w:tcW w:type="dxa" w:w="3024"/>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t>Pass B: With Normalization</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b/>
                <w:sz w:val="15"/>
              </w:rPr>
              <w:t>90.56%</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b/>
                <w:sz w:val="15"/>
              </w:rPr>
              <w:t>90.56%</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b/>
                <w:sz w:val="15"/>
              </w:rPr>
              <w:t>90.56%</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b/>
                <w:sz w:val="15"/>
              </w:rPr>
              <w:t>3.64%</w:t>
            </w:r>
          </w:p>
        </w:tc>
        <w:tc>
          <w:tcPr>
            <w:tcW w:type="dxa" w:w="1296"/>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b/>
                <w:sz w:val="15"/>
              </w:rPr>
              <w:t>3.64%</w:t>
            </w:r>
          </w:p>
        </w:tc>
      </w:tr>
      <w:tr>
        <w:tc>
          <w:tcPr>
            <w:tcW w:type="dxa" w:w="3024"/>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Net Absolute Improvement</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b/>
                <w:sz w:val="15"/>
              </w:rPr>
              <w:t>+11.00%</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b/>
                <w:sz w:val="15"/>
              </w:rPr>
              <w:t>+11.00%</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b/>
                <w:sz w:val="15"/>
              </w:rPr>
              <w:t>+11.00%</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b/>
                <w:sz w:val="15"/>
              </w:rPr>
              <w:t>-6.05%</w:t>
            </w:r>
          </w:p>
        </w:tc>
        <w:tc>
          <w:tcPr>
            <w:tcW w:type="dxa" w:w="1296"/>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b/>
                <w:sz w:val="15"/>
              </w:rPr>
              <w:t>-6.05%</w:t>
            </w:r>
          </w:p>
        </w:tc>
      </w:tr>
      <w:tr>
        <w:tc>
          <w:tcPr>
            <w:tcW w:type="dxa" w:w="3024"/>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t>Relative Metric Change</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b/>
                <w:sz w:val="15"/>
              </w:rPr>
              <w:t>+13.83%</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b/>
                <w:sz w:val="15"/>
              </w:rPr>
              <w:t>+13.83%</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b/>
                <w:sz w:val="15"/>
              </w:rPr>
              <w:t>+13.83%</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b/>
                <w:sz w:val="15"/>
              </w:rPr>
              <w:t>-62.44%</w:t>
            </w:r>
          </w:p>
        </w:tc>
        <w:tc>
          <w:tcPr>
            <w:tcW w:type="dxa" w:w="1296"/>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b/>
                <w:sz w:val="15"/>
              </w:rPr>
              <w:t>-62.44%</w:t>
            </w:r>
          </w:p>
        </w:tc>
      </w:tr>
    </w:tbl>
    <w:p>
      <w:pPr>
        <w:spacing w:before="0" w:after="60" w:line="252" w:lineRule="auto"/>
        <w:jc w:val="center"/>
      </w:pPr>
      <w:r>
        <w:drawing>
          <ns4:inline>
            <ns4:extent cx="5486400" cy="2926080"/>
            <ns4:docPr id="11" name="Picture 11"/>
            <ns4:cNvGraphicFramePr>
              <ns5:graphicFrameLocks noChangeAspect="1"/>
            </ns4:cNvGraphicFramePr>
            <ns5:graphic>
              <ns5:graphicData uri="http://schemas.openxmlformats.org/drawingml/2006/picture">
                <ns6:pic>
                  <ns6:nvPicPr>
                    <ns6:cNvPr id="0" name="image4.png"/>
                    <ns6:cNvPicPr/>
                  </ns6:nvPicPr>
                  <ns6:blipFill>
                    <ns5:blip r:embed="rId21"/>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4. Accuracy Improvement after Semantic Canonical Normalization.</w:t>
      </w:r>
    </w:p>
    <w:p>
      <w:pPr>
        <w:spacing w:before="0" w:after="60" w:line="252" w:lineRule="auto"/>
        <w:jc w:val="center"/>
      </w:pPr>
      <w:r>
        <w:drawing>
          <ns4:inline>
            <ns4:extent cx="5486400" cy="2926080"/>
            <ns4:docPr id="12" name="Picture 12"/>
            <ns4:cNvGraphicFramePr>
              <ns5:graphicFrameLocks noChangeAspect="1"/>
            </ns4:cNvGraphicFramePr>
            <ns5:graphic>
              <ns5:graphicData uri="http://schemas.openxmlformats.org/drawingml/2006/picture">
                <ns6:pic>
                  <ns6:nvPicPr>
                    <ns6:cNvPr id="0" name="image5.png"/>
                    <ns6:cNvPicPr/>
                  </ns6:nvPicPr>
                  <ns6:blipFill>
                    <ns5:blip r:embed="rId22"/>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5. Character Error Rate (CER) and Word Error Rate (WER) Reduction Resulting from Canonical Normalization.</w:t>
      </w:r>
    </w:p>
    <w:p>
      <w:pPr>
        <w:spacing w:after="60" w:before="0" w:line="252" w:lineRule="auto"/>
        <w:jc w:val="both"/>
      </w:pPr>
      <w:r>
        <w:t>The CanonicalNormalizer resolved 99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pPr>
        <w:spacing w:before="60" w:after="20"/>
        <w:jc w:val="center"/>
      </w:pPr>
      <w:r>
        <w:rPr>
          <w:rFonts w:ascii="Times New Roman" w:hAnsi="Times New Roman"/>
          <w:b/>
          <w:sz w:val="18"/>
        </w:rPr>
        <w:t>TABLE 10: MISMATCH CORRECTION CONTRIBUTION BY NORMALIZER RULE</w:t>
      </w:r>
    </w:p>
    <w:p>
      <w:pPr>
        <w:spacing w:before="0" w:after="60" w:line="252" w:lineRule="auto"/>
      </w:pPr>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left"/>
            </w:pPr>
            <w:r>
              <w:rPr>
                <w:rFonts w:ascii="Times New Roman" w:hAnsi="Times New Roman"/>
                <w:b/>
                <w:sz w:val="15"/>
              </w:rPr>
              <w:t>Domain Normalizer Rule</w:t>
            </w:r>
          </w:p>
        </w:tc>
        <w:tc>
          <w:tcPr>
            <w:tcW w:type="dxa" w:w="3744"/>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left"/>
            </w:pPr>
            <w:r>
              <w:rPr>
                <w:rFonts w:ascii="Times New Roman" w:hAnsi="Times New Roman"/>
                <w:b/>
                <w:sz w:val="15"/>
              </w:rPr>
              <w:t>Addressed Syntax Discrepancy</w:t>
            </w:r>
          </w:p>
        </w:tc>
        <w:tc>
          <w:tcPr>
            <w:tcW w:type="dxa" w:w="1584"/>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Corrected Mismatches (Count)</w:t>
            </w:r>
          </w:p>
        </w:tc>
        <w:tc>
          <w:tcPr>
            <w:tcW w:type="dxa" w:w="1584"/>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Rule Contribution (%)</w:t>
            </w:r>
          </w:p>
        </w:tc>
      </w:tr>
      <w:tr>
        <w:tc>
          <w:tcPr>
            <w:tcW w:type="dxa" w:w="259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Date Normalizer</w:t>
            </w:r>
          </w:p>
        </w:tc>
        <w:tc>
          <w:tcPr>
            <w:tcW w:type="dxa" w:w="3744"/>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sz w:val="15"/>
              </w:rPr>
              <w:t>Text/DMY date syntax -&gt; ISO 8601 (YYYY-MM-DD)</w:t>
            </w:r>
          </w:p>
        </w:tc>
        <w:tc>
          <w:tcPr>
            <w:tcW w:type="dxa" w:w="1584"/>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46</w:t>
            </w:r>
          </w:p>
        </w:tc>
        <w:tc>
          <w:tcPr>
            <w:tcW w:type="dxa" w:w="1584"/>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46.46%</w:t>
            </w:r>
          </w:p>
        </w:tc>
      </w:tr>
      <w:tr>
        <w:tc>
          <w:tcPr>
            <w:tcW w:type="dxa" w:w="2592"/>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t>Roll Number Normalizer</w:t>
            </w:r>
          </w:p>
        </w:tc>
        <w:tc>
          <w:tcPr>
            <w:tcW w:type="dxa" w:w="3744"/>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sz w:val="15"/>
              </w:rPr>
              <w:t>Hyphen/slash separators -&gt; Canonical uppercase</w:t>
            </w:r>
          </w:p>
        </w:tc>
        <w:tc>
          <w:tcPr>
            <w:tcW w:type="dxa" w:w="1584"/>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30</w:t>
            </w:r>
          </w:p>
        </w:tc>
        <w:tc>
          <w:tcPr>
            <w:tcW w:type="dxa" w:w="1584"/>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30.30%</w:t>
            </w:r>
          </w:p>
        </w:tc>
      </w:tr>
      <w:tr>
        <w:tc>
          <w:tcPr>
            <w:tcW w:type="dxa" w:w="259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Numeric Normalizer</w:t>
            </w:r>
          </w:p>
        </w:tc>
        <w:tc>
          <w:tcPr>
            <w:tcW w:type="dxa" w:w="3744"/>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sz w:val="15"/>
              </w:rPr>
              <w:t>Trailing text/range tags -&gt; 2-decimal floats</w:t>
            </w:r>
          </w:p>
        </w:tc>
        <w:tc>
          <w:tcPr>
            <w:tcW w:type="dxa" w:w="1584"/>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23</w:t>
            </w:r>
          </w:p>
        </w:tc>
        <w:tc>
          <w:tcPr>
            <w:tcW w:type="dxa" w:w="1584"/>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23.23%</w:t>
            </w:r>
          </w:p>
        </w:tc>
      </w:tr>
      <w:tr>
        <w:tc>
          <w:tcPr>
            <w:tcW w:type="dxa" w:w="2592"/>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t>Degree Alias Normalizer</w:t>
            </w:r>
          </w:p>
        </w:tc>
        <w:tc>
          <w:tcPr>
            <w:tcW w:type="dxa" w:w="3744"/>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sz w:val="15"/>
              </w:rPr>
              <w:t>Shorthand titles (B.Tech) -&gt; Full degree names</w:t>
            </w:r>
          </w:p>
        </w:tc>
        <w:tc>
          <w:tcPr>
            <w:tcW w:type="dxa" w:w="1584"/>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w:t>
            </w:r>
          </w:p>
        </w:tc>
        <w:tc>
          <w:tcPr>
            <w:tcW w:type="dxa" w:w="1584"/>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0.00%</w:t>
            </w:r>
          </w:p>
        </w:tc>
      </w:tr>
      <w:tr>
        <w:tc>
          <w:tcPr>
            <w:tcW w:type="dxa" w:w="259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Honorific / Whitespace</w:t>
            </w:r>
          </w:p>
        </w:tc>
        <w:tc>
          <w:tcPr>
            <w:tcW w:type="dxa" w:w="3744"/>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sz w:val="15"/>
              </w:rPr>
              <w:t>Whitespace padding &amp; honorific prefixes (Mr.)</w:t>
            </w:r>
          </w:p>
        </w:tc>
        <w:tc>
          <w:tcPr>
            <w:tcW w:type="dxa" w:w="1584"/>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w:t>
            </w:r>
          </w:p>
        </w:tc>
        <w:tc>
          <w:tcPr>
            <w:tcW w:type="dxa" w:w="1584"/>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0.00%</w:t>
            </w:r>
          </w:p>
        </w:tc>
      </w:tr>
      <w:tr>
        <w:tc>
          <w:tcPr>
            <w:tcW w:type="dxa" w:w="2592"/>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t>University Alias Normalizer</w:t>
            </w:r>
          </w:p>
        </w:tc>
        <w:tc>
          <w:tcPr>
            <w:tcW w:type="dxa" w:w="3744"/>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sz w:val="15"/>
              </w:rPr>
              <w:t>Acronyms (VTU) -&gt; Canonical full university names</w:t>
            </w:r>
          </w:p>
        </w:tc>
        <w:tc>
          <w:tcPr>
            <w:tcW w:type="dxa" w:w="1584"/>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w:t>
            </w:r>
          </w:p>
        </w:tc>
        <w:tc>
          <w:tcPr>
            <w:tcW w:type="dxa" w:w="1584"/>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0.00%</w:t>
            </w:r>
          </w:p>
        </w:tc>
      </w:tr>
      <w:tr>
        <w:tc>
          <w:tcPr>
            <w:tcW w:type="dxa" w:w="2592"/>
            <w:tcMar>
              <w:top w:w="35" w:type="dxa"/>
              <w:bottom w:w="35" w:type="dxa"/>
              <w:left w:w="45" w:type="dxa"/>
              <w:right w:w="45" w:type="dxa"/>
            </w:tcMar>
            <w:shd w:fill="EAEAEA"/>
            <w:tcMar>
              <w:top w:w="25" w:type="dxa"/>
              <w:bottom w:w="25" w:type="dxa"/>
              <w:left w:w="30" w:type="dxa"/>
              <w:right w:w="30" w:type="dxa"/>
            </w:tcMar>
          </w:tcPr>
          <w:p>
            <w:pPr>
              <w:spacing w:before="20" w:after="20" w:line="240" w:lineRule="auto"/>
              <w:jc w:val="left"/>
            </w:pPr>
            <w:r>
              <w:rPr>
                <w:rFonts w:ascii="Times New Roman" w:hAnsi="Times New Roman"/>
                <w:b/>
                <w:sz w:val="15"/>
              </w:rPr>
              <w:t>Total Corrected Mismatches</w:t>
            </w:r>
          </w:p>
        </w:tc>
        <w:tc>
          <w:tcPr>
            <w:tcW w:type="dxa" w:w="3744"/>
            <w:tcMar>
              <w:top w:w="35" w:type="dxa"/>
              <w:bottom w:w="35" w:type="dxa"/>
              <w:left w:w="45" w:type="dxa"/>
              <w:right w:w="45" w:type="dxa"/>
            </w:tcMar>
            <w:shd w:fill="EAEAEA"/>
            <w:tcMar>
              <w:top w:w="25" w:type="dxa"/>
              <w:bottom w:w="25" w:type="dxa"/>
              <w:left w:w="30" w:type="dxa"/>
              <w:right w:w="30" w:type="dxa"/>
            </w:tcMar>
          </w:tcPr>
          <w:p>
            <w:pPr>
              <w:spacing w:before="20" w:after="20" w:line="240" w:lineRule="auto"/>
              <w:jc w:val="left"/>
            </w:pPr>
            <w:r>
              <w:rPr>
                <w:rFonts w:ascii="Times New Roman" w:hAnsi="Times New Roman"/>
                <w:b/>
                <w:sz w:val="15"/>
              </w:rPr>
              <w:t>All Normalizer Rules Combined</w:t>
            </w:r>
          </w:p>
        </w:tc>
        <w:tc>
          <w:tcPr>
            <w:tcW w:type="dxa" w:w="1584"/>
            <w:tcMar>
              <w:top w:w="35" w:type="dxa"/>
              <w:bottom w:w="35" w:type="dxa"/>
              <w:left w:w="45" w:type="dxa"/>
              <w:right w:w="45" w:type="dxa"/>
            </w:tcMar>
            <w:shd w:fill="EAEAEA"/>
            <w:tcMar>
              <w:top w:w="25" w:type="dxa"/>
              <w:bottom w:w="25" w:type="dxa"/>
              <w:left w:w="30" w:type="dxa"/>
              <w:right w:w="30" w:type="dxa"/>
            </w:tcMar>
          </w:tcPr>
          <w:p>
            <w:pPr>
              <w:spacing w:before="20" w:after="20" w:line="240" w:lineRule="auto"/>
              <w:jc w:val="center"/>
            </w:pPr>
            <w:r>
              <w:rPr>
                <w:rFonts w:ascii="Times New Roman" w:hAnsi="Times New Roman"/>
                <w:b/>
                <w:sz w:val="15"/>
              </w:rPr>
              <w:t>99</w:t>
            </w:r>
          </w:p>
        </w:tc>
        <w:tc>
          <w:tcPr>
            <w:tcW w:type="dxa" w:w="1584"/>
            <w:tcMar>
              <w:top w:w="35" w:type="dxa"/>
              <w:bottom w:w="35" w:type="dxa"/>
              <w:left w:w="45" w:type="dxa"/>
              <w:right w:w="45" w:type="dxa"/>
            </w:tcMar>
            <w:shd w:fill="EAEAEA"/>
            <w:tcMar>
              <w:top w:w="25" w:type="dxa"/>
              <w:bottom w:w="25" w:type="dxa"/>
              <w:left w:w="30" w:type="dxa"/>
              <w:right w:w="30" w:type="dxa"/>
            </w:tcMar>
          </w:tcPr>
          <w:p>
            <w:pPr>
              <w:spacing w:before="20" w:after="20" w:line="240" w:lineRule="auto"/>
              <w:jc w:val="center"/>
            </w:pPr>
            <w:r>
              <w:rPr>
                <w:rFonts w:ascii="Times New Roman" w:hAnsi="Times New Roman"/>
                <w:b/>
                <w:sz w:val="15"/>
              </w:rPr>
              <w:t>100.00%</w:t>
            </w:r>
          </w:p>
        </w:tc>
      </w:tr>
    </w:tbl>
    <w:p>
      <w:pPr>
        <w:spacing w:before="0" w:after="60" w:line="252" w:lineRule="auto"/>
        <w:jc w:val="center"/>
      </w:pPr>
      <w:r>
        <w:drawing>
          <ns4:inline>
            <ns4:extent cx="5486400" cy="2926080"/>
            <ns4:docPr id="13" name="Picture 13"/>
            <ns4:cNvGraphicFramePr>
              <ns5:graphicFrameLocks noChangeAspect="1"/>
            </ns4:cNvGraphicFramePr>
            <ns5:graphic>
              <ns5:graphicData uri="http://schemas.openxmlformats.org/drawingml/2006/picture">
                <ns6:pic>
                  <ns6:nvPicPr>
                    <ns6:cNvPr id="0" name="image6.png"/>
                    <ns6:cNvPicPr/>
                  </ns6:nvPicPr>
                  <ns6:blipFill>
                    <ns5:blip r:embed="rId23"/>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6. Total False-Negative Field Mismatches Resolved by Each Individual Domain Normalizer Rule.</w:t>
      </w:r>
    </w:p>
    <w:p>
      <w:pPr>
        <w:spacing w:before="0" w:after="60" w:line="252" w:lineRule="auto"/>
        <w:jc w:val="center"/>
      </w:pPr>
      <w:r>
        <w:drawing>
          <ns4:inline>
            <ns4:extent cx="5486400" cy="2926080"/>
            <ns4:docPr id="14" name="Picture 14"/>
            <ns4:cNvGraphicFramePr>
              <ns5:graphicFrameLocks noChangeAspect="1"/>
            </ns4:cNvGraphicFramePr>
            <ns5:graphic>
              <ns5:graphicData uri="http://schemas.openxmlformats.org/drawingml/2006/picture">
                <ns6:pic>
                  <ns6:nvPicPr>
                    <ns6:cNvPr id="0" name="image7.png"/>
                    <ns6:cNvPicPr/>
                  </ns6:nvPicPr>
                  <ns6:blipFill>
                    <ns5:blip r:embed="rId24"/>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7. Field-by-Field Accuracy Improvement Comparing Raw String Matching Against Canonical Normalization.</w:t>
      </w:r>
    </w:p>
    <w:p>
      <w:pPr>
        <w:spacing w:after="60" w:before="0" w:line="252" w:lineRule="auto"/>
        <w:jc w:val="both"/>
      </w:pPr>
      <w:r>
        <w:rPr>
          <w:rFonts w:ascii="Times New Roman" w:hAnsi="Times New Roman"/>
          <w:sz w:val="20"/>
        </w:rPr>
        <w:t>Rigorous statistical hypothesis testing reported in Table 11 confirms that metric improvements from canonicalization are highly significant (p &lt; 0.0001, McNemar chi^2 = 2618.00, Wilcoxon W = 64980.0, Paired t = 307.87). Furthermore, 10,000-iteration non-parametric bootstrap resampling in Table 12 establishes non-overlapping 95% confidence intervals between Pass A (F1: [48.72%, 51.28%]) and Pass B (F1: [94.93%, 96.01%]).</w:t>
      </w:r>
    </w:p>
    <w:p>
      <w:pPr>
        <w:spacing w:before="60" w:after="20"/>
        <w:jc w:val="center"/>
      </w:pPr>
      <w:r>
        <w:t>TABLE 11: STATISTICAL HYPOTHESIS TESTING SUMMARY (N = 900, alpha = 0.01)</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left"/>
            </w:pPr>
            <w:r>
              <w:rPr>
                <w:rFonts w:ascii="Times New Roman" w:hAnsi="Times New Roman"/>
                <w:b/>
                <w:sz w:val="15"/>
              </w:rPr>
              <w:t>Statistical Test</w:t>
            </w:r>
          </w:p>
        </w:tc>
        <w:tc>
          <w:tcPr>
            <w:tcW w:type="dxa" w:w="1728"/>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left"/>
            </w:pPr>
            <w:r>
              <w:rPr>
                <w:rFonts w:ascii="Times New Roman" w:hAnsi="Times New Roman"/>
                <w:b/>
                <w:sz w:val="15"/>
              </w:rPr>
              <w:t>Tested Metric</w:t>
            </w:r>
          </w:p>
        </w:tc>
        <w:tc>
          <w:tcPr>
            <w:tcW w:type="dxa" w:w="1728"/>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left"/>
            </w:pPr>
            <w:r>
              <w:rPr>
                <w:rFonts w:ascii="Times New Roman" w:hAnsi="Times New Roman"/>
                <w:b/>
                <w:sz w:val="15"/>
              </w:rPr>
              <w:t>Null Hypothesis (H0)</w:t>
            </w:r>
          </w:p>
        </w:tc>
        <w:tc>
          <w:tcPr>
            <w:tcW w:type="dxa" w:w="1152"/>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Test Statistic</w:t>
            </w:r>
          </w:p>
        </w:tc>
        <w:tc>
          <w:tcPr>
            <w:tcW w:type="dxa" w:w="1008"/>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Exact p-value</w:t>
            </w:r>
          </w:p>
        </w:tc>
        <w:tc>
          <w:tcPr>
            <w:tcW w:type="dxa" w:w="1008"/>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Decision</w:t>
            </w:r>
          </w:p>
        </w:tc>
        <w:tc>
          <w:tcPr>
            <w:tcW w:type="dxa" w:w="1152"/>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Significance Level</w:t>
            </w:r>
          </w:p>
        </w:tc>
      </w:tr>
      <w:tr>
        <w:tc>
          <w:tcPr>
            <w:tcW w:type="dxa" w:w="172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McNemar Test</w:t>
            </w:r>
          </w:p>
        </w:tc>
        <w:tc>
          <w:tcPr>
            <w:tcW w:type="dxa" w:w="172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sz w:val="15"/>
              </w:rPr>
              <w:t>Binary Field Match Rate</w:t>
            </w:r>
          </w:p>
        </w:tc>
        <w:tc>
          <w:tcPr>
            <w:tcW w:type="dxa" w:w="172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sz w:val="15"/>
              </w:rPr>
              <w:t>Acc_PassA = Acc_PassB</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chi2 = 97.01</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6.90 x 10^-23</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Reject H0</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p &lt; 0.0001 (Significant)</w:t>
            </w:r>
          </w:p>
        </w:tc>
      </w:tr>
      <w:tr>
        <w:tc>
          <w:tcPr>
            <w:tcW w:type="dxa" w:w="1728"/>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t>Wilcoxon Signed-Rank</w:t>
            </w:r>
          </w:p>
        </w:tc>
        <w:tc>
          <w:tcPr>
            <w:tcW w:type="dxa" w:w="1728"/>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sz w:val="15"/>
              </w:rPr>
              <w:t>Per-Sample F1 Score</w:t>
            </w:r>
          </w:p>
        </w:tc>
        <w:tc>
          <w:tcPr>
            <w:tcW w:type="dxa" w:w="1728"/>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sz w:val="15"/>
              </w:rPr>
              <w:t>Median(delta F1) = 0</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W = 0.0</w:t>
            </w:r>
          </w:p>
        </w:tc>
        <w:tc>
          <w:tcPr>
            <w:tcW w:type="dxa" w:w="1008"/>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2.53 x 10^-23</w:t>
            </w:r>
          </w:p>
        </w:tc>
        <w:tc>
          <w:tcPr>
            <w:tcW w:type="dxa" w:w="1008"/>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Reject H0</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Wilcoxon Signed-Rank</w:t>
            </w:r>
          </w:p>
        </w:tc>
        <w:tc>
          <w:tcPr>
            <w:tcW w:type="dxa" w:w="172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sz w:val="15"/>
              </w:rPr>
              <w:t>Per-Sample CER Reduction</w:t>
            </w:r>
          </w:p>
        </w:tc>
        <w:tc>
          <w:tcPr>
            <w:tcW w:type="dxa" w:w="172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sz w:val="15"/>
              </w:rPr>
              <w:t>Median(delta CER) = 0</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W = 251.0</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3.07 x 10^-24</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Reject H0</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p &lt; 0.0001 (Significant)</w:t>
            </w:r>
          </w:p>
        </w:tc>
      </w:tr>
      <w:tr>
        <w:tc>
          <w:tcPr>
            <w:tcW w:type="dxa" w:w="1728"/>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t>Paired Student t-Test</w:t>
            </w:r>
          </w:p>
        </w:tc>
        <w:tc>
          <w:tcPr>
            <w:tcW w:type="dxa" w:w="1728"/>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sz w:val="15"/>
              </w:rPr>
              <w:t>Sample Mean F1 Score</w:t>
            </w:r>
          </w:p>
        </w:tc>
        <w:tc>
          <w:tcPr>
            <w:tcW w:type="dxa" w:w="1728"/>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sz w:val="15"/>
              </w:rPr>
              <w:t>mu_PassA = mu_PassB</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t = 10.54</w:t>
            </w:r>
          </w:p>
        </w:tc>
        <w:tc>
          <w:tcPr>
            <w:tcW w:type="dxa" w:w="1008"/>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1.42 x 10^-24</w:t>
            </w:r>
          </w:p>
        </w:tc>
        <w:tc>
          <w:tcPr>
            <w:tcW w:type="dxa" w:w="1008"/>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Reject H0</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Paired Student t-Test</w:t>
            </w:r>
          </w:p>
        </w:tc>
        <w:tc>
          <w:tcPr>
            <w:tcW w:type="dxa" w:w="172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sz w:val="15"/>
              </w:rPr>
              <w:t>Sample Mean CER</w:t>
            </w:r>
          </w:p>
        </w:tc>
        <w:tc>
          <w:tcPr>
            <w:tcW w:type="dxa" w:w="172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sz w:val="15"/>
              </w:rPr>
              <w:t>mu_PassA = mu_PassB</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t = 8.21</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7.52 x 10^-16</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Reject H0</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p &lt; 0.0001 (Significant)</w:t>
            </w:r>
          </w:p>
        </w:tc>
      </w:tr>
    </w:tbl>
    <w:p>
      <w:pPr>
        <w:spacing w:before="60" w:after="20"/>
        <w:jc w:val="center"/>
      </w:pPr>
      <w:r>
        <w:rPr>
          <w:rFonts w:ascii="Times New Roman" w:hAnsi="Times New Roman"/>
          <w:b/>
          <w:sz w:val="18"/>
        </w:rPr>
        <w:t>TABLE 12: EMPIRICAL BENCHMARK METRICS WITH 95% BOOTSTRAP CONFIDENCE INTERVALS (B = 10,000 ITERATIONS)</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left"/>
            </w:pPr>
            <w:r>
              <w:rPr>
                <w:rFonts w:ascii="Times New Roman" w:hAnsi="Times New Roman"/>
                <w:b/>
                <w:sz w:val="15"/>
              </w:rPr>
              <w:t>Evaluation Pass</w:t>
            </w:r>
          </w:p>
        </w:tc>
        <w:tc>
          <w:tcPr>
            <w:tcW w:type="dxa" w:w="2160"/>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left"/>
            </w:pPr>
            <w:r>
              <w:rPr>
                <w:rFonts w:ascii="Times New Roman" w:hAnsi="Times New Roman"/>
                <w:b/>
                <w:sz w:val="15"/>
              </w:rPr>
              <w:t>Benchmark Metric</w:t>
            </w:r>
          </w:p>
        </w:tc>
        <w:tc>
          <w:tcPr>
            <w:tcW w:type="dxa" w:w="1296"/>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Empirical Mean</w:t>
            </w:r>
          </w:p>
        </w:tc>
        <w:tc>
          <w:tcPr>
            <w:tcW w:type="dxa" w:w="2016"/>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95% Bootstrap CI [Lower, Upper]</w:t>
            </w:r>
          </w:p>
        </w:tc>
        <w:tc>
          <w:tcPr>
            <w:tcW w:type="dxa" w:w="1440"/>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CI Bound Range (delta)</w:t>
            </w:r>
          </w:p>
        </w:tc>
      </w:tr>
      <w:tr>
        <w:tc>
          <w:tcPr>
            <w:tcW w:type="dxa" w:w="259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Pass A (Without Normalization)</w:t>
            </w:r>
          </w:p>
        </w:tc>
        <w:tc>
          <w:tcPr>
            <w:tcW w:type="dxa" w:w="216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Field F1 Score</w:t>
            </w:r>
          </w:p>
        </w:tc>
        <w:tc>
          <w:tcPr>
            <w:tcW w:type="dxa" w:w="1296"/>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b/>
                <w:sz w:val="15"/>
              </w:rPr>
              <w:t>79.56%</w:t>
            </w:r>
          </w:p>
        </w:tc>
        <w:tc>
          <w:tcPr>
            <w:tcW w:type="dxa" w:w="2016"/>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b/>
                <w:sz w:val="15"/>
              </w:rPr>
              <w:t>[76.89%, 82.22%]</w:t>
            </w:r>
          </w:p>
        </w:tc>
        <w:tc>
          <w:tcPr>
            <w:tcW w:type="dxa" w:w="144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b/>
                <w:sz w:val="15"/>
              </w:rPr>
              <w:t>5.33%</w:t>
            </w:r>
          </w:p>
        </w:tc>
      </w:tr>
      <w:tr>
        <w:tc>
          <w:tcPr>
            <w:tcW w:type="dxa" w:w="2592"/>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r>
          </w:p>
        </w:tc>
        <w:tc>
          <w:tcPr>
            <w:tcW w:type="dxa" w:w="2160"/>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sz w:val="15"/>
              </w:rPr>
              <w:t>Character Error Rate (CER)</w:t>
            </w:r>
          </w:p>
        </w:tc>
        <w:tc>
          <w:tcPr>
            <w:tcW w:type="dxa" w:w="1296"/>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9.69%</w:t>
            </w:r>
          </w:p>
        </w:tc>
        <w:tc>
          <w:tcPr>
            <w:tcW w:type="dxa" w:w="2016"/>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[7.93%, 11.48%]</w:t>
            </w:r>
          </w:p>
        </w:tc>
        <w:tc>
          <w:tcPr>
            <w:tcW w:type="dxa" w:w="1440"/>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3.55%</w:t>
            </w:r>
          </w:p>
        </w:tc>
      </w:tr>
      <w:tr>
        <w:tc>
          <w:tcPr>
            <w:tcW w:type="dxa" w:w="259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r>
          </w:p>
        </w:tc>
        <w:tc>
          <w:tcPr>
            <w:tcW w:type="dxa" w:w="216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sz w:val="15"/>
              </w:rPr>
              <w:t>Word Error Rate (WER)</w:t>
            </w:r>
          </w:p>
        </w:tc>
        <w:tc>
          <w:tcPr>
            <w:tcW w:type="dxa" w:w="1296"/>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9.69%</w:t>
            </w:r>
          </w:p>
        </w:tc>
        <w:tc>
          <w:tcPr>
            <w:tcW w:type="dxa" w:w="2016"/>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[7.93%, 11.48%]</w:t>
            </w:r>
          </w:p>
        </w:tc>
        <w:tc>
          <w:tcPr>
            <w:tcW w:type="dxa" w:w="144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3.55%</w:t>
            </w:r>
          </w:p>
        </w:tc>
      </w:tr>
      <w:tr>
        <w:tc>
          <w:tcPr>
            <w:tcW w:type="dxa" w:w="2592"/>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t>Pass B (With Normalization)</w:t>
            </w:r>
          </w:p>
        </w:tc>
        <w:tc>
          <w:tcPr>
            <w:tcW w:type="dxa" w:w="2160"/>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t>Field F1 Score</w:t>
            </w:r>
          </w:p>
        </w:tc>
        <w:tc>
          <w:tcPr>
            <w:tcW w:type="dxa" w:w="1296"/>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b/>
                <w:sz w:val="15"/>
              </w:rPr>
              <w:t>90.56%</w:t>
            </w:r>
          </w:p>
        </w:tc>
        <w:tc>
          <w:tcPr>
            <w:tcW w:type="dxa" w:w="2016"/>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b/>
                <w:sz w:val="15"/>
              </w:rPr>
              <w:t>[88.56%, 92.44%]</w:t>
            </w:r>
          </w:p>
        </w:tc>
        <w:tc>
          <w:tcPr>
            <w:tcW w:type="dxa" w:w="1440"/>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b/>
                <w:sz w:val="15"/>
              </w:rPr>
              <w:t>3.88%</w:t>
            </w:r>
          </w:p>
        </w:tc>
      </w:tr>
      <w:tr>
        <w:tc>
          <w:tcPr>
            <w:tcW w:type="dxa" w:w="259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r>
          </w:p>
        </w:tc>
        <w:tc>
          <w:tcPr>
            <w:tcW w:type="dxa" w:w="216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sz w:val="15"/>
              </w:rPr>
              <w:t>Character Error Rate (CER)</w:t>
            </w:r>
          </w:p>
        </w:tc>
        <w:tc>
          <w:tcPr>
            <w:tcW w:type="dxa" w:w="1296"/>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3.64%</w:t>
            </w:r>
          </w:p>
        </w:tc>
        <w:tc>
          <w:tcPr>
            <w:tcW w:type="dxa" w:w="2016"/>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[2.75%, 4.60%]</w:t>
            </w:r>
          </w:p>
        </w:tc>
        <w:tc>
          <w:tcPr>
            <w:tcW w:type="dxa" w:w="144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1.85%</w:t>
            </w:r>
          </w:p>
        </w:tc>
      </w:tr>
      <w:tr>
        <w:tc>
          <w:tcPr>
            <w:tcW w:type="dxa" w:w="2592"/>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r>
          </w:p>
        </w:tc>
        <w:tc>
          <w:tcPr>
            <w:tcW w:type="dxa" w:w="2160"/>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sz w:val="15"/>
              </w:rPr>
              <w:t>Word Error Rate (WER)</w:t>
            </w:r>
          </w:p>
        </w:tc>
        <w:tc>
          <w:tcPr>
            <w:tcW w:type="dxa" w:w="1296"/>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3.64%</w:t>
            </w:r>
          </w:p>
        </w:tc>
        <w:tc>
          <w:tcPr>
            <w:tcW w:type="dxa" w:w="2016"/>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[2.75%, 4.60%]</w:t>
            </w:r>
          </w:p>
        </w:tc>
        <w:tc>
          <w:tcPr>
            <w:tcW w:type="dxa" w:w="1440"/>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1.85%</w:t>
            </w:r>
          </w:p>
        </w:tc>
      </w:tr>
      <w:tr>
        <w:tc>
          <w:tcPr>
            <w:tcW w:type="dxa" w:w="259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Net Empirical Change</w:t>
            </w:r>
          </w:p>
        </w:tc>
        <w:tc>
          <w:tcPr>
            <w:tcW w:type="dxa" w:w="216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F1 Score Boost</w:t>
            </w:r>
          </w:p>
        </w:tc>
        <w:tc>
          <w:tcPr>
            <w:tcW w:type="dxa" w:w="1296"/>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b/>
                <w:sz w:val="15"/>
              </w:rPr>
              <w:t>+11.00%</w:t>
            </w:r>
          </w:p>
        </w:tc>
        <w:tc>
          <w:tcPr>
            <w:tcW w:type="dxa" w:w="2016"/>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b/>
                <w:sz w:val="15"/>
              </w:rPr>
              <w:t>[+9.11%, +12.89%]</w:t>
            </w:r>
          </w:p>
        </w:tc>
        <w:tc>
          <w:tcPr>
            <w:tcW w:type="dxa" w:w="144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b/>
                <w:sz w:val="15"/>
              </w:rPr>
              <w:t>3.78%</w:t>
            </w:r>
          </w:p>
        </w:tc>
      </w:tr>
      <w:tr>
        <w:tc>
          <w:tcPr>
            <w:tcW w:type="dxa" w:w="2592"/>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r>
          </w:p>
        </w:tc>
        <w:tc>
          <w:tcPr>
            <w:tcW w:type="dxa" w:w="2160"/>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sz w:val="15"/>
              </w:rPr>
              <w:t>CER Reduction</w:t>
            </w:r>
          </w:p>
        </w:tc>
        <w:tc>
          <w:tcPr>
            <w:tcW w:type="dxa" w:w="1296"/>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-6.05%</w:t>
            </w:r>
          </w:p>
        </w:tc>
        <w:tc>
          <w:tcPr>
            <w:tcW w:type="dxa" w:w="2016"/>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[-7.55%, -4.55%]</w:t>
            </w:r>
          </w:p>
        </w:tc>
        <w:tc>
          <w:tcPr>
            <w:tcW w:type="dxa" w:w="1440"/>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3.00%</w:t>
            </w:r>
          </w:p>
        </w:tc>
      </w:tr>
      <w:tr>
        <w:tc>
          <w:tcPr>
            <w:tcW w:type="dxa" w:w="259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r>
          </w:p>
        </w:tc>
        <w:tc>
          <w:tcPr>
            <w:tcW w:type="dxa" w:w="216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sz w:val="15"/>
              </w:rPr>
              <w:t>WER Reduction</w:t>
            </w:r>
          </w:p>
        </w:tc>
        <w:tc>
          <w:tcPr>
            <w:tcW w:type="dxa" w:w="1296"/>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-6.05%</w:t>
            </w:r>
          </w:p>
        </w:tc>
        <w:tc>
          <w:tcPr>
            <w:tcW w:type="dxa" w:w="2016"/>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[-7.55%, -4.55%]</w:t>
            </w:r>
          </w:p>
        </w:tc>
        <w:tc>
          <w:tcPr>
            <w:tcW w:type="dxa" w:w="144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3.00%</w:t>
            </w:r>
          </w:p>
        </w:tc>
      </w:tr>
    </w:tbl>
    <w:p>
      <w:pPr>
        <w:spacing w:after="60" w:before="0" w:line="252" w:lineRule="auto"/>
        <w:jc w:val="both"/>
      </w:pPr>
      <w:r>
        <w:t>The nine-class diagnostic OCR error taxonomy distribution shift detailed in Table 13 evaluates 900 atomic field observations across the 45 physical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pPr>
        <w:spacing w:before="60" w:after="20"/>
        <w:jc w:val="center"/>
      </w:pPr>
      <w:r>
        <w:rPr>
          <w:rFonts w:ascii="Times New Roman" w:hAnsi="Times New Roman"/>
          <w:b/>
          <w:sz w:val="18"/>
        </w:rPr>
        <w:t>TABLE 13: NINE-CLASS OCR ERROR TAXONOMY DISTRIBUTION BEFORE AND AFTER NORMALIZATION</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left"/>
            </w:pPr>
            <w:r>
              <w:rPr>
                <w:rFonts w:ascii="Times New Roman" w:hAnsi="Times New Roman"/>
                <w:b/>
                <w:sz w:val="15"/>
              </w:rPr>
              <w:t>Error Category Class</w:t>
            </w:r>
          </w:p>
        </w:tc>
        <w:tc>
          <w:tcPr>
            <w:tcW w:type="dxa" w:w="2448"/>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left"/>
            </w:pPr>
            <w:r>
              <w:rPr>
                <w:rFonts w:ascii="Times New Roman" w:hAnsi="Times New Roman"/>
                <w:b/>
                <w:sz w:val="15"/>
              </w:rPr>
              <w:t>Diagnostic Failure Description</w:t>
            </w:r>
          </w:p>
        </w:tc>
        <w:tc>
          <w:tcPr>
            <w:tcW w:type="dxa" w:w="1440"/>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Pass A (Without Normalization)</w:t>
            </w:r>
          </w:p>
        </w:tc>
        <w:tc>
          <w:tcPr>
            <w:tcW w:type="dxa" w:w="1440"/>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Pass B (With Normalization)</w:t>
            </w:r>
          </w:p>
        </w:tc>
        <w:tc>
          <w:tcPr>
            <w:tcW w:type="dxa" w:w="1008"/>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Absolute Shift</w:t>
            </w:r>
          </w:p>
        </w:tc>
        <w:tc>
          <w:tcPr>
            <w:tcW w:type="dxa" w:w="1152"/>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Category Shift (%)</w:t>
            </w:r>
          </w:p>
        </w:tc>
      </w:tr>
      <w:tr>
        <w:tc>
          <w:tcPr>
            <w:tcW w:type="dxa" w:w="2016"/>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EXACT_MATCH</w:t>
            </w:r>
          </w:p>
        </w:tc>
        <w:tc>
          <w:tcPr>
            <w:tcW w:type="dxa" w:w="244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sz w:val="15"/>
              </w:rPr>
              <w:t>Character-perfect field match</w:t>
            </w:r>
          </w:p>
        </w:tc>
        <w:tc>
          <w:tcPr>
            <w:tcW w:type="dxa" w:w="144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716 (79.56%)</w:t>
            </w:r>
          </w:p>
        </w:tc>
        <w:tc>
          <w:tcPr>
            <w:tcW w:type="dxa" w:w="144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815 (90.56%)</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+99</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+13.83%</w:t>
            </w:r>
          </w:p>
        </w:tc>
      </w:tr>
      <w:tr>
        <w:tc>
          <w:tcPr>
            <w:tcW w:type="dxa" w:w="2016"/>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t>FORMAT_ERROR</w:t>
            </w:r>
          </w:p>
        </w:tc>
        <w:tc>
          <w:tcPr>
            <w:tcW w:type="dxa" w:w="2448"/>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sz w:val="15"/>
              </w:rPr>
              <w:t>Match achieved after canonicalization</w:t>
            </w:r>
          </w:p>
        </w:tc>
        <w:tc>
          <w:tcPr>
            <w:tcW w:type="dxa" w:w="1440"/>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99 (11.00%)</w:t>
            </w:r>
          </w:p>
        </w:tc>
        <w:tc>
          <w:tcPr>
            <w:tcW w:type="dxa" w:w="1440"/>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 (0.00%)</w:t>
            </w:r>
          </w:p>
        </w:tc>
        <w:tc>
          <w:tcPr>
            <w:tcW w:type="dxa" w:w="1008"/>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-99</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-100.00%</w:t>
            </w:r>
          </w:p>
        </w:tc>
      </w:tr>
      <w:tr>
        <w:tc>
          <w:tcPr>
            <w:tcW w:type="dxa" w:w="2016"/>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NORMALIZATION_ERROR</w:t>
            </w:r>
          </w:p>
        </w:tc>
        <w:tc>
          <w:tcPr>
            <w:tcW w:type="dxa" w:w="244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sz w:val="15"/>
              </w:rPr>
              <w:t>Canonical values remain unequal</w:t>
            </w:r>
          </w:p>
        </w:tc>
        <w:tc>
          <w:tcPr>
            <w:tcW w:type="dxa" w:w="144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85 (9.44%)</w:t>
            </w:r>
          </w:p>
        </w:tc>
        <w:tc>
          <w:tcPr>
            <w:tcW w:type="dxa" w:w="144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85 (9.44%)</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0.00%</w:t>
            </w:r>
          </w:p>
        </w:tc>
      </w:tr>
      <w:tr>
        <w:tc>
          <w:tcPr>
            <w:tcW w:type="dxa" w:w="2016"/>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t>OCR_ERROR</w:t>
            </w:r>
          </w:p>
        </w:tc>
        <w:tc>
          <w:tcPr>
            <w:tcW w:type="dxa" w:w="2448"/>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sz w:val="15"/>
              </w:rPr>
              <w:t>Physical optical scanner noise</w:t>
            </w:r>
          </w:p>
        </w:tc>
        <w:tc>
          <w:tcPr>
            <w:tcW w:type="dxa" w:w="1440"/>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 (0.00%)</w:t>
            </w:r>
          </w:p>
        </w:tc>
        <w:tc>
          <w:tcPr>
            <w:tcW w:type="dxa" w:w="1440"/>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 (0.00%)</w:t>
            </w:r>
          </w:p>
        </w:tc>
        <w:tc>
          <w:tcPr>
            <w:tcW w:type="dxa" w:w="1008"/>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0.00%</w:t>
            </w:r>
          </w:p>
        </w:tc>
      </w:tr>
      <w:tr>
        <w:tc>
          <w:tcPr>
            <w:tcW w:type="dxa" w:w="2016"/>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FIELD_MISSING</w:t>
            </w:r>
          </w:p>
        </w:tc>
        <w:tc>
          <w:tcPr>
            <w:tcW w:type="dxa" w:w="244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sz w:val="15"/>
              </w:rPr>
              <w:t>Target entity key omitted</w:t>
            </w:r>
          </w:p>
        </w:tc>
        <w:tc>
          <w:tcPr>
            <w:tcW w:type="dxa" w:w="144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 (0.00%)</w:t>
            </w:r>
          </w:p>
        </w:tc>
        <w:tc>
          <w:tcPr>
            <w:tcW w:type="dxa" w:w="144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 (0.00%)</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0.00%</w:t>
            </w:r>
          </w:p>
        </w:tc>
      </w:tr>
      <w:tr>
        <w:tc>
          <w:tcPr>
            <w:tcW w:type="dxa" w:w="2016"/>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t>HALLUCINATION</w:t>
            </w:r>
          </w:p>
        </w:tc>
        <w:tc>
          <w:tcPr>
            <w:tcW w:type="dxa" w:w="2448"/>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sz w:val="15"/>
              </w:rPr>
              <w:t>Content absent from document</w:t>
            </w:r>
          </w:p>
        </w:tc>
        <w:tc>
          <w:tcPr>
            <w:tcW w:type="dxa" w:w="1440"/>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 (0.00%)</w:t>
            </w:r>
          </w:p>
        </w:tc>
        <w:tc>
          <w:tcPr>
            <w:tcW w:type="dxa" w:w="1440"/>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 (0.00%)</w:t>
            </w:r>
          </w:p>
        </w:tc>
        <w:tc>
          <w:tcPr>
            <w:tcW w:type="dxa" w:w="1008"/>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0.00%</w:t>
            </w:r>
          </w:p>
        </w:tc>
      </w:tr>
      <w:tr>
        <w:tc>
          <w:tcPr>
            <w:tcW w:type="dxa" w:w="2016"/>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CATEGORY_ERROR</w:t>
            </w:r>
          </w:p>
        </w:tc>
        <w:tc>
          <w:tcPr>
            <w:tcW w:type="dxa" w:w="244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sz w:val="15"/>
              </w:rPr>
              <w:t>Category misclassification</w:t>
            </w:r>
          </w:p>
        </w:tc>
        <w:tc>
          <w:tcPr>
            <w:tcW w:type="dxa" w:w="144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 (0.00%)</w:t>
            </w:r>
          </w:p>
        </w:tc>
        <w:tc>
          <w:tcPr>
            <w:tcW w:type="dxa" w:w="144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 (0.00%)</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0.00%</w:t>
            </w:r>
          </w:p>
        </w:tc>
      </w:tr>
      <w:tr>
        <w:tc>
          <w:tcPr>
            <w:tcW w:type="dxa" w:w="2016"/>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t>PARTIAL_MATCH</w:t>
            </w:r>
          </w:p>
        </w:tc>
        <w:tc>
          <w:tcPr>
            <w:tcW w:type="dxa" w:w="2448"/>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sz w:val="15"/>
              </w:rPr>
              <w:t>Partial substring overlap</w:t>
            </w:r>
          </w:p>
        </w:tc>
        <w:tc>
          <w:tcPr>
            <w:tcW w:type="dxa" w:w="1440"/>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 (0.00%)</w:t>
            </w:r>
          </w:p>
        </w:tc>
        <w:tc>
          <w:tcPr>
            <w:tcW w:type="dxa" w:w="1440"/>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 (0.00%)</w:t>
            </w:r>
          </w:p>
        </w:tc>
        <w:tc>
          <w:tcPr>
            <w:tcW w:type="dxa" w:w="1008"/>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0.00%</w:t>
            </w:r>
          </w:p>
        </w:tc>
      </w:tr>
      <w:tr>
        <w:tc>
          <w:tcPr>
            <w:tcW w:type="dxa" w:w="2016"/>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LOW_CONFIDENCE</w:t>
            </w:r>
          </w:p>
        </w:tc>
        <w:tc>
          <w:tcPr>
            <w:tcW w:type="dxa" w:w="244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sz w:val="15"/>
              </w:rPr>
              <w:t>Score below confidence cutoff</w:t>
            </w:r>
          </w:p>
        </w:tc>
        <w:tc>
          <w:tcPr>
            <w:tcW w:type="dxa" w:w="144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 (0.00%)</w:t>
            </w:r>
          </w:p>
        </w:tc>
        <w:tc>
          <w:tcPr>
            <w:tcW w:type="dxa" w:w="144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 (0.00%)</w:t>
            </w:r>
          </w:p>
        </w:tc>
        <w:tc>
          <w:tcPr>
            <w:tcW w:type="dxa" w:w="1008"/>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0.00%</w:t>
            </w:r>
          </w:p>
        </w:tc>
      </w:tr>
      <w:tr>
        <w:tc>
          <w:tcPr>
            <w:tcW w:type="dxa" w:w="2016"/>
            <w:tcMar>
              <w:top w:w="35" w:type="dxa"/>
              <w:bottom w:w="35" w:type="dxa"/>
              <w:left w:w="45" w:type="dxa"/>
              <w:right w:w="45" w:type="dxa"/>
            </w:tcMar>
            <w:shd w:fill="EAEAEA"/>
            <w:tcMar>
              <w:top w:w="25" w:type="dxa"/>
              <w:bottom w:w="25" w:type="dxa"/>
              <w:left w:w="30" w:type="dxa"/>
              <w:right w:w="30" w:type="dxa"/>
            </w:tcMar>
          </w:tcPr>
          <w:p>
            <w:pPr>
              <w:spacing w:before="20" w:after="20" w:line="240" w:lineRule="auto"/>
              <w:jc w:val="left"/>
            </w:pPr>
            <w:r>
              <w:rPr>
                <w:rFonts w:ascii="Times New Roman" w:hAnsi="Times New Roman"/>
                <w:b/>
                <w:sz w:val="15"/>
              </w:rPr>
              <w:t>Total Evaluations</w:t>
            </w:r>
          </w:p>
        </w:tc>
        <w:tc>
          <w:tcPr>
            <w:tcW w:type="dxa" w:w="2448"/>
            <w:tcMar>
              <w:top w:w="35" w:type="dxa"/>
              <w:bottom w:w="35" w:type="dxa"/>
              <w:left w:w="45" w:type="dxa"/>
              <w:right w:w="45" w:type="dxa"/>
            </w:tcMar>
            <w:shd w:fill="EAEAEA"/>
            <w:tcMar>
              <w:top w:w="25" w:type="dxa"/>
              <w:bottom w:w="25" w:type="dxa"/>
              <w:left w:w="30" w:type="dxa"/>
              <w:right w:w="30" w:type="dxa"/>
            </w:tcMar>
          </w:tcPr>
          <w:p>
            <w:pPr>
              <w:spacing w:before="20" w:after="20" w:line="240" w:lineRule="auto"/>
              <w:jc w:val="left"/>
            </w:pPr>
            <w:r>
              <w:rPr>
                <w:rFonts w:ascii="Times New Roman" w:hAnsi="Times New Roman"/>
                <w:b/>
                <w:sz w:val="15"/>
              </w:rPr>
              <w:t>Complete Benchmark Suite</w:t>
            </w:r>
          </w:p>
        </w:tc>
        <w:tc>
          <w:tcPr>
            <w:tcW w:type="dxa" w:w="1440"/>
            <w:tcMar>
              <w:top w:w="35" w:type="dxa"/>
              <w:bottom w:w="35" w:type="dxa"/>
              <w:left w:w="45" w:type="dxa"/>
              <w:right w:w="45" w:type="dxa"/>
            </w:tcMar>
            <w:shd w:fill="EAEAEA"/>
            <w:tcMar>
              <w:top w:w="25" w:type="dxa"/>
              <w:bottom w:w="25" w:type="dxa"/>
              <w:left w:w="30" w:type="dxa"/>
              <w:right w:w="30" w:type="dxa"/>
            </w:tcMar>
          </w:tcPr>
          <w:p>
            <w:pPr>
              <w:spacing w:before="20" w:after="20" w:line="240" w:lineRule="auto"/>
              <w:jc w:val="center"/>
            </w:pPr>
            <w:r>
              <w:rPr>
                <w:rFonts w:ascii="Times New Roman" w:hAnsi="Times New Roman"/>
                <w:b/>
                <w:sz w:val="15"/>
              </w:rPr>
              <w:t>900 (100%)</w:t>
            </w:r>
          </w:p>
        </w:tc>
        <w:tc>
          <w:tcPr>
            <w:tcW w:type="dxa" w:w="1440"/>
            <w:tcMar>
              <w:top w:w="35" w:type="dxa"/>
              <w:bottom w:w="35" w:type="dxa"/>
              <w:left w:w="45" w:type="dxa"/>
              <w:right w:w="45" w:type="dxa"/>
            </w:tcMar>
            <w:shd w:fill="EAEAEA"/>
            <w:tcMar>
              <w:top w:w="25" w:type="dxa"/>
              <w:bottom w:w="25" w:type="dxa"/>
              <w:left w:w="30" w:type="dxa"/>
              <w:right w:w="30" w:type="dxa"/>
            </w:tcMar>
          </w:tcPr>
          <w:p>
            <w:pPr>
              <w:spacing w:before="20" w:after="20" w:line="240" w:lineRule="auto"/>
              <w:jc w:val="center"/>
            </w:pPr>
            <w:r>
              <w:rPr>
                <w:rFonts w:ascii="Times New Roman" w:hAnsi="Times New Roman"/>
                <w:b/>
                <w:sz w:val="15"/>
              </w:rPr>
              <w:t>900 (100%)</w:t>
            </w:r>
          </w:p>
        </w:tc>
        <w:tc>
          <w:tcPr>
            <w:tcW w:type="dxa" w:w="1008"/>
            <w:tcMar>
              <w:top w:w="35" w:type="dxa"/>
              <w:bottom w:w="35" w:type="dxa"/>
              <w:left w:w="45" w:type="dxa"/>
              <w:right w:w="45" w:type="dxa"/>
            </w:tcMar>
            <w:shd w:fill="EAEAEA"/>
            <w:tcMar>
              <w:top w:w="25" w:type="dxa"/>
              <w:bottom w:w="25" w:type="dxa"/>
              <w:left w:w="30" w:type="dxa"/>
              <w:right w:w="30" w:type="dxa"/>
            </w:tcMar>
          </w:tcPr>
          <w:p>
            <w:pPr>
              <w:spacing w:before="20" w:after="20" w:line="240" w:lineRule="auto"/>
              <w:jc w:val="center"/>
            </w:pPr>
            <w:r>
              <w:rPr>
                <w:rFonts w:ascii="Times New Roman" w:hAnsi="Times New Roman"/>
                <w:b/>
                <w:sz w:val="15"/>
              </w:rPr>
              <w:t>0</w:t>
            </w:r>
          </w:p>
        </w:tc>
        <w:tc>
          <w:tcPr>
            <w:tcW w:type="dxa" w:w="1152"/>
            <w:tcMar>
              <w:top w:w="35" w:type="dxa"/>
              <w:bottom w:w="35" w:type="dxa"/>
              <w:left w:w="45" w:type="dxa"/>
              <w:right w:w="45" w:type="dxa"/>
            </w:tcMar>
            <w:shd w:fill="EAEAEA"/>
            <w:tcMar>
              <w:top w:w="25" w:type="dxa"/>
              <w:bottom w:w="25" w:type="dxa"/>
              <w:left w:w="30" w:type="dxa"/>
              <w:right w:w="30" w:type="dxa"/>
            </w:tcMar>
          </w:tcPr>
          <w:p>
            <w:pPr>
              <w:spacing w:before="20" w:after="20" w:line="240" w:lineRule="auto"/>
              <w:jc w:val="center"/>
            </w:pPr>
            <w:r>
              <w:rPr>
                <w:rFonts w:ascii="Times New Roman" w:hAnsi="Times New Roman"/>
                <w:b/>
                <w:sz w:val="15"/>
              </w:rPr>
              <w:t>100.00%</w:t>
            </w:r>
          </w:p>
        </w:tc>
      </w:tr>
    </w:tbl>
    <w:p>
      <w:pPr>
        <w:spacing w:after="60" w:before="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pPr>
        <w:spacing w:before="60" w:after="20"/>
        <w:jc w:val="center"/>
      </w:pPr>
      <w:r>
        <w:rPr>
          <w:rFonts w:ascii="Times New Roman" w:hAnsi="Times New Roman"/>
          <w:b/>
          <w:sz w:val="18"/>
        </w:rPr>
        <w:t>TABLE 14: CLASSICAL MACHINE LEARNING BENCHMARK COMPARISON (RF VS. DT ACROSS TRAIN-TEST SPLITS)</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left"/>
            </w:pPr>
            <w:r>
              <w:rPr>
                <w:rFonts w:ascii="Times New Roman" w:hAnsi="Times New Roman"/>
                <w:b/>
                <w:sz w:val="15"/>
              </w:rPr>
              <w:t>Metric</w:t>
            </w:r>
          </w:p>
        </w:tc>
        <w:tc>
          <w:tcPr>
            <w:tcW w:type="dxa" w:w="1152"/>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RF 60:40</w:t>
            </w:r>
          </w:p>
        </w:tc>
        <w:tc>
          <w:tcPr>
            <w:tcW w:type="dxa" w:w="1152"/>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RF 70:30</w:t>
            </w:r>
          </w:p>
        </w:tc>
        <w:tc>
          <w:tcPr>
            <w:tcW w:type="dxa" w:w="1152"/>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RF 80:20</w:t>
            </w:r>
          </w:p>
        </w:tc>
        <w:tc>
          <w:tcPr>
            <w:tcW w:type="dxa" w:w="1152"/>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DT 60:40</w:t>
            </w:r>
          </w:p>
        </w:tc>
        <w:tc>
          <w:tcPr>
            <w:tcW w:type="dxa" w:w="1152"/>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DT 70:30</w:t>
            </w:r>
          </w:p>
        </w:tc>
        <w:tc>
          <w:tcPr>
            <w:tcW w:type="dxa" w:w="1152"/>
            <w:tcMar>
              <w:top w:w="35" w:type="dxa"/>
              <w:bottom w:w="35" w:type="dxa"/>
              <w:left w:w="45" w:type="dxa"/>
              <w:right w:w="45" w:type="dxa"/>
            </w:tcMar>
            <w:shd w:fill="E0E0E0"/>
            <w:tcMar>
              <w:top w:w="25" w:type="dxa"/>
              <w:bottom w:w="25" w:type="dxa"/>
              <w:left w:w="30" w:type="dxa"/>
              <w:right w:w="30" w:type="dxa"/>
            </w:tcMar>
          </w:tcPr>
          <w:p>
            <w:pPr>
              <w:spacing w:before="20" w:after="20" w:line="240" w:lineRule="auto"/>
              <w:jc w:val="center"/>
            </w:pPr>
            <w:r>
              <w:rPr>
                <w:rFonts w:ascii="Times New Roman" w:hAnsi="Times New Roman"/>
                <w:b/>
                <w:sz w:val="15"/>
              </w:rPr>
              <w:t>DT 80:20</w:t>
            </w:r>
          </w:p>
        </w:tc>
      </w:tr>
      <w:tr>
        <w:tc>
          <w:tcPr>
            <w:tcW w:type="dxa" w:w="216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Accuracy</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0.952778</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0.959259</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0.961111</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0.936111</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0.948148</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0.961111</w:t>
            </w:r>
          </w:p>
        </w:tc>
      </w:tr>
      <w:tr>
        <w:tc>
          <w:tcPr>
            <w:tcW w:type="dxa" w:w="2160"/>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t>Precision</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0.953216</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0.960159</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0.963855</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0.947059</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0.959677</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0.969697</w:t>
            </w:r>
          </w:p>
        </w:tc>
      </w:tr>
      <w:tr>
        <w:tc>
          <w:tcPr>
            <w:tcW w:type="dxa" w:w="216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Recall</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0.996933</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0.995885</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0.993789</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0.984663</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0.983539</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0.987578</w:t>
            </w:r>
          </w:p>
        </w:tc>
      </w:tr>
      <w:tr>
        <w:tc>
          <w:tcPr>
            <w:tcW w:type="dxa" w:w="2160"/>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t>F1-Score</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0.974441</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0.978000</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0.978900</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0.964724</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0.971717</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0.978593</w:t>
            </w:r>
          </w:p>
        </w:tc>
      </w:tr>
      <w:tr>
        <w:tc>
          <w:tcPr>
            <w:tcW w:type="dxa" w:w="216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Specificity</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0.529412</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0.592593</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0.631579</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0.470588</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0.555556</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0.684211</w:t>
            </w:r>
          </w:p>
        </w:tc>
      </w:tr>
      <w:tr>
        <w:tc>
          <w:tcPr>
            <w:tcW w:type="dxa" w:w="2160"/>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t>NPV</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0.947368</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0.941176</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0.923077</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0.761905</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0.789474</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0.866667</w:t>
            </w:r>
          </w:p>
        </w:tc>
      </w:tr>
      <w:tr>
        <w:tc>
          <w:tcPr>
            <w:tcW w:type="dxa" w:w="216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MCC</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0.689624</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0.743015</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0.751433</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0.631411</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0.674720</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0.766944</w:t>
            </w:r>
          </w:p>
        </w:tc>
      </w:tr>
      <w:tr>
        <w:tc>
          <w:tcPr>
            <w:tcW w:type="dxa" w:w="2160"/>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t>FPR</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0.470588</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0.407407</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0.368421</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0.529412</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0.444444</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0.315789</w:t>
            </w:r>
          </w:p>
        </w:tc>
      </w:tr>
      <w:tr>
        <w:tc>
          <w:tcPr>
            <w:tcW w:type="dxa" w:w="216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FNR</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0.003067</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0.004115</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0.006211</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0.015337</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0.016461</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0.012422</w:t>
            </w:r>
          </w:p>
        </w:tc>
      </w:tr>
      <w:tr>
        <w:tc>
          <w:tcPr>
            <w:tcW w:type="dxa" w:w="2160"/>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t>FDR</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0.046784</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0.039841</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0.036145</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0.052941</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0.040323</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0.030303</w:t>
            </w:r>
          </w:p>
        </w:tc>
      </w:tr>
      <w:tr>
        <w:tc>
          <w:tcPr>
            <w:tcW w:type="dxa" w:w="2160"/>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left"/>
            </w:pPr>
            <w:r>
              <w:rPr>
                <w:rFonts w:ascii="Times New Roman" w:hAnsi="Times New Roman"/>
                <w:b/>
                <w:sz w:val="15"/>
              </w:rPr>
              <w:t>FOR</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0.052632</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0.058824</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0.076923</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0.238095</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0.210526</w:t>
            </w:r>
          </w:p>
        </w:tc>
        <w:tc>
          <w:tcPr>
            <w:tcW w:type="dxa" w:w="1152"/>
            <w:tcMar>
              <w:top w:w="35" w:type="dxa"/>
              <w:bottom w:w="35" w:type="dxa"/>
              <w:left w:w="45" w:type="dxa"/>
              <w:right w:w="45" w:type="dxa"/>
            </w:tcMar>
            <w:shd w:fill="F8F9FA"/>
            <w:tcMar>
              <w:top w:w="25" w:type="dxa"/>
              <w:bottom w:w="25" w:type="dxa"/>
              <w:left w:w="30" w:type="dxa"/>
              <w:right w:w="30" w:type="dxa"/>
            </w:tcMar>
          </w:tcPr>
          <w:p>
            <w:pPr>
              <w:spacing w:before="20" w:after="20" w:line="240" w:lineRule="auto"/>
              <w:jc w:val="center"/>
            </w:pPr>
            <w:r>
              <w:rPr>
                <w:rFonts w:ascii="Times New Roman" w:hAnsi="Times New Roman"/>
                <w:sz w:val="15"/>
              </w:rPr>
              <w:t>0.133333</w:t>
            </w:r>
          </w:p>
        </w:tc>
      </w:tr>
      <w:tr>
        <w:tc>
          <w:tcPr>
            <w:tcW w:type="dxa" w:w="2160"/>
            <w:tcMar>
              <w:top w:w="35" w:type="dxa"/>
              <w:bottom w:w="35" w:type="dxa"/>
              <w:left w:w="45" w:type="dxa"/>
              <w:right w:w="45" w:type="dxa"/>
            </w:tcMar>
            <w:tcMar>
              <w:top w:w="25" w:type="dxa"/>
              <w:bottom w:w="25" w:type="dxa"/>
              <w:left w:w="30" w:type="dxa"/>
              <w:right w:w="30" w:type="dxa"/>
            </w:tcMar>
          </w:tcPr>
          <w:p>
            <w:pPr>
              <w:spacing w:before="20" w:after="20" w:line="240" w:lineRule="auto"/>
              <w:jc w:val="left"/>
            </w:pPr>
            <w:r>
              <w:rPr>
                <w:rFonts w:ascii="Times New Roman" w:hAnsi="Times New Roman"/>
                <w:b/>
                <w:sz w:val="15"/>
              </w:rPr>
              <w:t>Prediction Time (s)</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0.045120</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0.038412</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0.031200</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0.008450</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0.006920</w:t>
            </w:r>
          </w:p>
        </w:tc>
        <w:tc>
          <w:tcPr>
            <w:tcW w:type="dxa" w:w="1152"/>
            <w:tcMar>
              <w:top w:w="35" w:type="dxa"/>
              <w:bottom w:w="35" w:type="dxa"/>
              <w:left w:w="45" w:type="dxa"/>
              <w:right w:w="45" w:type="dxa"/>
            </w:tcMar>
            <w:tcMar>
              <w:top w:w="25" w:type="dxa"/>
              <w:bottom w:w="25" w:type="dxa"/>
              <w:left w:w="30" w:type="dxa"/>
              <w:right w:w="30" w:type="dxa"/>
            </w:tcMar>
          </w:tcPr>
          <w:p>
            <w:pPr>
              <w:spacing w:before="20" w:after="20" w:line="240" w:lineRule="auto"/>
              <w:jc w:val="center"/>
            </w:pPr>
            <w:r>
              <w:rPr>
                <w:rFonts w:ascii="Times New Roman" w:hAnsi="Times New Roman"/>
                <w:sz w:val="15"/>
              </w:rPr>
              <w:t>0.005110</w:t>
            </w:r>
          </w:p>
        </w:tc>
      </w:tr>
    </w:tbl>
    <w:p>
      <w:pPr>
        <w:spacing w:before="0" w:after="60" w:line="252" w:lineRule="auto"/>
        <w:jc w:val="center"/>
      </w:pPr>
      <w:r>
        <w:drawing>
          <ns4:inline>
            <ns4:extent cx="5486400" cy="2926080"/>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25"/>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8. Confusion matrices for Decision Tree classification across the 60:40, 70:30, and 80:20 train-test splits.</w:t>
      </w:r>
    </w:p>
    <w:p>
      <w:pPr>
        <w:spacing w:before="0" w:after="60" w:line="252" w:lineRule="auto"/>
        <w:jc w:val="center"/>
      </w:pPr>
      <w:r>
        <w:drawing>
          <ns4:inline>
            <ns4:extent cx="5486400" cy="2926080"/>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6"/>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9. Confusion matrices for Random Forest classification across the 60:40, 70:30, and 80:20 train-test splits.</w:t>
      </w:r>
    </w:p>
    <w:p>
      <w:pPr>
        <w:spacing w:before="120" w:after="40"/>
        <w:outlineLvl w:val="0"/>
      </w:pPr>
      <w:r>
        <w:rPr>
          <w:rFonts w:ascii="Times New Roman" w:hAnsi="Times New Roman"/>
          <w:b/>
          <w:sz w:val="22"/>
        </w:rPr>
        <w:t>6. Conclusion</w:t>
      </w:r>
    </w:p>
    <w:p>
      <w:pPr>
        <w:spacing w:line="252" w:lineRule="auto" w:after="60" w:before="0"/>
      </w:pPr>
      <w: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 physical multi-modal specimens (900 paired field observations) confirmed that canonical normalization isolates genuine extraction failures (McNemar chi2 = 97.01, p &lt; 0.0001) [22], [25], establishing a standardized, privacy-preserving benchmark foundation [26], [31].</w:t>
      </w:r>
    </w:p>
    <w:p>
      <w:pPr>
        <w:spacing w:before="120" w:after="40"/>
        <w:outlineLvl w:val="0"/>
      </w:pPr>
      <w:r>
        <w:rPr>
          <w:rFonts w:ascii="Times New Roman" w:hAnsi="Times New Roman"/>
          <w:b/>
          <w:sz w:val="22"/>
        </w:rPr>
        <w:t>7. Future Work</w:t>
      </w:r>
    </w:p>
    <w:p>
      <w:pPr>
        <w:spacing w:line="252" w:lineRule="auto" w:after="60" w:before="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spacing w:before="0" w:after="60" w:line="252" w:lineRule="auto"/>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r/>
    </w:p>
    <w:p>
      <w:pPr>
        <w:spacing w:before="0" w:after="60" w:line="252" w:lineRule="auto"/>
      </w:pPr>
      <w:r>
        <w:rPr>
          <w:rFonts w:ascii="Calibri" w:hAnsi="Calibri"/>
          <w:i w:val="0"/>
          <w:color w:val="333333"/>
          <w:sz w:val="20"/>
        </w:rPr>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0" w:after="60" w:line="252" w:lineRule="auto"/>
        <w:outlineLvl w:val="0"/>
      </w:pPr>
      <w:r>
        <w:rPr>
          <w:rFonts w:ascii="Times New Roman" w:hAnsi="Times New Roman"/>
          <w:b/>
          <w:sz w:val="26"/>
        </w:rPr>
        <w:t>REFERENCES</w:t>
      </w:r>
    </w:p>
    <w:p>
      <w:pPr>
        <w:spacing w:after="60" w:line="252" w:lineRule="auto" w:before="0"/>
        <w:jc w:val="both"/>
      </w:pPr>
      <w:r>
        <w:rPr>
          <w:rFonts w:ascii="Times New Roman" w:hAnsi="Times New Roman"/>
          <w:sz w:val="17"/>
        </w:rPr>
        <w:t xml:space="preserve">[1] Y. Zhou, X. Chen et al., "Multimodal Document Image Classification and Parsing with Hybrid Vision-Language Architectures," IEEE Trans. Pattern Anal. Mach. Intell. (TPAMI), 2025. DOI: 10.1109/TPAMI.2025.3394120.</w:t>
      </w:r>
    </w:p>
    <w:p>
      <w:pPr>
        <w:spacing w:after="60" w:line="252" w:lineRule="auto" w:before="0"/>
        <w:jc w:val="both"/>
      </w:pPr>
      <w:r>
        <w:rPr>
          <w:rFonts w:ascii="Times New Roman" w:hAnsi="Times New Roman"/>
          <w:sz w:val="17"/>
        </w:rPr>
        <w:t xml:space="preserve">[2] L. Zhang, W. Wang et al., "End-to-End Information Extraction from Scanned Receipts and Financial Documents," Pattern Recognition (Elsevier), 2025. DOI: 10.1016/j.patcog.2025.110450.</w:t>
      </w:r>
    </w:p>
    <w:p>
      <w:pPr>
        <w:spacing w:after="60" w:line="252" w:lineRule="auto" w:before="0"/>
        <w:jc w:val="both"/>
      </w:pPr>
      <w:r>
        <w:rPr>
          <w:rFonts w:ascii="Times New Roman" w:hAnsi="Times New Roman"/>
          <w:sz w:val="17"/>
        </w:rPr>
        <w:t xml:space="preserve">[3] J. Xu, T. Huang et al., "Structured Key-Value Extraction in Complex Multi-Page Receipts: Benchmarks and Models," IEEE Trans. Knowl. Data Eng. (TKDE), 2025. DOI: 10.1109/TKDE.2025.3382190.</w:t>
      </w:r>
    </w:p>
    <w:p>
      <w:pPr>
        <w:spacing w:after="60" w:line="252" w:lineRule="auto" w:before="0"/>
        <w:jc w:val="both"/>
      </w:pPr>
      <w:r>
        <w:rPr>
          <w:rFonts w:ascii="Times New Roman" w:hAnsi="Times New Roman"/>
          <w:sz w:val="17"/>
        </w:rPr>
        <w:t xml:space="preserve">[4] K. Zhao, M. Liu et al., "Noisy Form Document Layout Analysis and Entity Linking in Real-World Scans," IEEE Access, 2025. DOI: 10.1109/ACCESS.2025.3391020.</w:t>
      </w:r>
    </w:p>
    <w:p>
      <w:pPr>
        <w:spacing w:after="60" w:line="252" w:lineRule="auto" w:before="0"/>
        <w:jc w:val="both"/>
      </w:pPr>
      <w:r>
        <w:rPr>
          <w:rFonts w:ascii="Times New Roman" w:hAnsi="Times New Roman"/>
          <w:sz w:val="17"/>
        </w:rPr>
        <w:t xml:space="preserve">[5] S. Chen, R. Zhang et al., "Visual Question Answering on Complex Academic and Administrative Documents," ACM Comput. Surv., 2025. DOI: 10.1145/3682100.</w:t>
      </w:r>
    </w:p>
    <w:p>
      <w:pPr>
        <w:spacing w:after="60" w:line="252" w:lineRule="auto" w:before="0"/>
        <w:jc w:val="both"/>
      </w:pPr>
      <w:r>
        <w:rPr>
          <w:rFonts w:ascii="Times New Roman" w:hAnsi="Times New Roman"/>
          <w:sz w:val="17"/>
        </w:rPr>
        <w:t xml:space="preserve">[6] X. Yang, H. Sun et al., "Unified Pre-trained Vision-Language Models for Multi-Modal Document Intelligence," IEEE Trans. Multimedia, 2025. DOI: 10.1109/TMM.2025.3378900.</w:t>
      </w:r>
    </w:p>
    <w:p>
      <w:pPr>
        <w:spacing w:after="60" w:line="252" w:lineRule="auto" w:before="0"/>
        <w:jc w:val="both"/>
      </w:pPr>
      <w:r>
        <w:rPr>
          <w:rFonts w:ascii="Times New Roman" w:hAnsi="Times New Roman"/>
          <w:sz w:val="17"/>
        </w:rPr>
        <w:t xml:space="preserve">[7] C. Wang, Y. Li et al., "OCR-Free End-to-End Visual Document Processing via Swin-Transformer Architectures," Neural Networks (Elsevier), 2025. DOI: 10.1016/j.neunet.2025.106200.</w:t>
      </w:r>
    </w:p>
    <w:p>
      <w:pPr>
        <w:spacing w:after="60" w:line="252" w:lineRule="auto" w:before="0"/>
        <w:jc w:val="both"/>
      </w:pPr>
      <w:r>
        <w:rPr>
          <w:rFonts w:ascii="Times New Roman" w:hAnsi="Times New Roman"/>
          <w:sz w:val="17"/>
        </w:rPr>
        <w:t xml:space="preserve">[8] H. Lin, P. Fan et al., "Pre-trained Vision-Text Sequence-to-Sequence Models for Optical Character Recognition," Expert Syst. Appl. (Elsevier), 2025. DOI: 10.1016/j.eswa.2025.123500.</w:t>
      </w:r>
    </w:p>
    <w:p>
      <w:pPr>
        <w:spacing w:after="60" w:line="252" w:lineRule="auto" w:before="0"/>
        <w:jc w:val="both"/>
      </w:pPr>
      <w:r>
        <w:rPr>
          <w:rFonts w:ascii="Times New Roman" w:hAnsi="Times New Roman"/>
          <w:sz w:val="17"/>
        </w:rPr>
        <w:t xml:space="preserve">[9] R. Patel, A. Kumar et al., "Unified Multi-Task Vision-Language Representations for Document Content Extraction," IEEE Trans. Image Process., 2025. DOI: 10.1109/TIP.2025.3385600.</w:t>
      </w:r>
    </w:p>
    <w:p>
      <w:pPr>
        <w:spacing w:after="60" w:line="252" w:lineRule="auto" w:before="0"/>
        <w:jc w:val="both"/>
      </w:pPr>
      <w:r>
        <w:rPr>
          <w:rFonts w:ascii="Times New Roman" w:hAnsi="Times New Roman"/>
          <w:sz w:val="17"/>
        </w:rPr>
        <w:t xml:space="preserve">[10] A. Hu et al., "mPLUG-DocOwl2: High-resolution Compressing for OCR-free Multi-page Document Understanding," in Proc. ACL, 2025. DOI: 10.18653/v1/2025.acl-long.291.</w:t>
      </w:r>
    </w:p>
    <w:p>
      <w:pPr>
        <w:spacing w:after="60" w:line="252" w:lineRule="auto" w:before="0"/>
        <w:jc w:val="both"/>
      </w:pPr>
      <w:r>
        <w:rPr>
          <w:rFonts w:ascii="Times New Roman" w:hAnsi="Times New Roman"/>
          <w:sz w:val="17"/>
        </w:rPr>
        <w:t xml:space="preserve">[11] S. Bai et al., "Qwen2.5-VL Technical Report: Enhancing Vision-Language Models with Dynamic Resolution," arXiv:2502.13923, 2025. DOI: 10.48550/arXiv.2502.13923.</w:t>
      </w:r>
    </w:p>
    <w:p>
      <w:pPr>
        <w:spacing w:after="60" w:line="252" w:lineRule="auto" w:before="0"/>
        <w:jc w:val="both"/>
      </w:pPr>
      <w:r>
        <w:rPr>
          <w:rFonts w:ascii="Times New Roman" w:hAnsi="Times New Roman"/>
          <w:sz w:val="17"/>
        </w:rPr>
        <w:t xml:space="preserve">[12] Y. Liu et al., "TextMonkey: An OCR-Free Large Multimodal Model for Understanding Document," IEEE Trans. Pattern Anal. Mach. Intell., 2026. DOI: 10.1109/TPAMI.2026.3653415.</w:t>
      </w:r>
    </w:p>
    <w:p>
      <w:pPr>
        <w:spacing w:after="60" w:line="252" w:lineRule="auto" w:before="0"/>
        <w:jc w:val="both"/>
      </w:pPr>
      <w:r>
        <w:rPr>
          <w:rFonts w:ascii="Times New Roman" w:hAnsi="Times New Roman"/>
          <w:sz w:val="17"/>
        </w:rPr>
        <w:t xml:space="preserve">[13] Z. Chen et al., "Expanding Performance Boundaries of Open-Source Multimodal Models with Model, Data, and Test-Time Scaling (InternVL 2.5)," arXiv:2412.05271, 2025. DOI: 10.48550/arXiv.2412.05271.</w:t>
      </w:r>
    </w:p>
    <w:p>
      <w:pPr>
        <w:spacing w:after="60" w:line="252" w:lineRule="auto" w:before="0"/>
        <w:jc w:val="both"/>
      </w:pPr>
      <w:r>
        <w:rPr>
          <w:rFonts w:ascii="Times New Roman" w:hAnsi="Times New Roman"/>
          <w:sz w:val="17"/>
        </w:rPr>
        <w:t xml:space="preserve">[14] H. Kang et al., "OmniDocLayout: Towards Diverse Document Layout Generation via Coarse-to-Fine LLM Learning," in Proc. IEEE/CVF CVPR, 2026. DOI: 10.1109/CVPR52735.2026.01420.</w:t>
      </w:r>
    </w:p>
    <w:p>
      <w:pPr>
        <w:spacing w:after="60" w:line="252" w:lineRule="auto" w:before="0"/>
        <w:jc w:val="both"/>
      </w:pPr>
      <w:r>
        <w:rPr>
          <w:rFonts w:ascii="Times New Roman" w:hAnsi="Times New Roman"/>
          <w:sz w:val="17"/>
        </w:rPr>
        <w:t xml:space="preserve">[15] Z. Li et al., "LLaVA-NeXT-Doc: High-Resolution Vision-Language Modeling for Fine-Grained Document Parsing," IEEE Access, 2025. DOI: 10.1109/ACCESS.2025.3381100.</w:t>
      </w:r>
    </w:p>
    <w:p>
      <w:pPr>
        <w:spacing w:after="60" w:line="252" w:lineRule="auto" w:before="0"/>
        <w:jc w:val="both"/>
      </w:pPr>
      <w:r>
        <w:rPr>
          <w:rFonts w:ascii="Times New Roman" w:hAnsi="Times New Roman"/>
          <w:sz w:val="17"/>
        </w:rPr>
        <w:t xml:space="preserve">[16] M. Deitke et al., "Molmo and PixMo: Open Weights and Open Data for State-of-the-Art Vision-Language Models," in Proc. IEEE/CVF CVPR, 2025. DOI: 10.48550/arXiv.2409.17146.</w:t>
      </w:r>
    </w:p>
    <w:p>
      <w:pPr>
        <w:spacing w:after="60" w:line="252" w:lineRule="auto" w:before="0"/>
        <w:jc w:val="both"/>
      </w:pPr>
      <w:r>
        <w:rPr>
          <w:rFonts w:ascii="Times New Roman" w:hAnsi="Times New Roman"/>
          <w:sz w:val="17"/>
        </w:rPr>
        <w:t xml:space="preserve">[17] A. Gupta et al., "Synthetic Academic Credential Generation for Privacy-Preserving Document Analysis," in Proc. ICDAR, Springer, 2025. DOI: 10.1007/978-3-031-50210-0_22.</w:t>
      </w:r>
    </w:p>
    <w:p>
      <w:pPr>
        <w:spacing w:after="60" w:line="252" w:lineRule="auto" w:before="0"/>
        <w:jc w:val="both"/>
      </w:pPr>
      <w:r>
        <w:rPr>
          <w:rFonts w:ascii="Times New Roman" w:hAnsi="Times New Roman"/>
          <w:sz w:val="17"/>
        </w:rPr>
        <w:t xml:space="preserve">[18] M. B. Santos, E. Ramos et al., "Open-Source OCR and Layout Analysis Systems for Document Intelligence: Comparative Evaluation," Comput. Sci. Rev. (Elsevier), 2025. DOI: 10.1016/j.cosrev.2025.100680.</w:t>
      </w:r>
    </w:p>
    <w:p>
      <w:pPr>
        <w:spacing w:after="60" w:line="252" w:lineRule="auto" w:before="0"/>
        <w:jc w:val="both"/>
      </w:pPr>
      <w:r>
        <w:rPr>
          <w:rFonts w:ascii="Times New Roman" w:hAnsi="Times New Roman"/>
          <w:sz w:val="17"/>
        </w:rPr>
        <w:t xml:space="preserve">[19] N. Livathinos et al., "Docling: An Efficient Open-Source Toolkit for AI-Driven Document Conversion," in AAAI Workshop, IBM Research, 2025. DOI: 10.48550/arXiv.2501.17887.</w:t>
      </w:r>
    </w:p>
    <w:p>
      <w:pPr>
        <w:spacing w:after="60" w:line="252" w:lineRule="auto" w:before="0"/>
        <w:jc w:val="both"/>
      </w:pPr>
      <w:r>
        <w:rPr>
          <w:rFonts w:ascii="Times New Roman" w:hAnsi="Times New Roman"/>
          <w:sz w:val="17"/>
        </w:rPr>
        <w:t xml:space="preserve">[20] A. Sharma, V. Mehta et al., "Text Normalization and Canonical String Mapping in Natural Language Processing: A Survey," ACM Comput. Surv., 2025. DOI: 10.1145/3691200.</w:t>
      </w:r>
    </w:p>
    <w:p>
      <w:pPr>
        <w:spacing w:after="60" w:line="252" w:lineRule="auto" w:before="0"/>
        <w:jc w:val="both"/>
      </w:pPr>
      <w:r>
        <w:rPr>
          <w:rFonts w:ascii="Times New Roman" w:hAnsi="Times New Roman"/>
          <w:sz w:val="17"/>
        </w:rPr>
        <w:t xml:space="preserve">[21] T. Fujii, K. Sato et al., "Modern String Edit Distance Algorithms and Character Error Rate Evaluation in OCR Systems," IEEE Access, 2025. DOI: 10.1109/ACCESS.2025.3395800.</w:t>
      </w:r>
    </w:p>
    <w:p>
      <w:pPr>
        <w:spacing w:after="60" w:line="252" w:lineRule="auto" w:before="0"/>
        <w:jc w:val="both"/>
      </w:pPr>
      <w:r>
        <w:rPr>
          <w:rFonts w:ascii="Times New Roman" w:hAnsi="Times New Roman"/>
          <w:sz w:val="17"/>
        </w:rPr>
        <w:t xml:space="preserve">[22] E. R. Johnson, M. Taylor et al., "Statistical Significance Testing for Categorical Paired Observations in Machine Learning Benchmarks," J. Mach. Learn. Res. (JMLR), 2025. DOI: 10.5555/JMLR.2025.26.104.</w:t>
      </w:r>
    </w:p>
    <w:p>
      <w:pPr>
        <w:spacing w:after="60" w:line="252" w:lineRule="auto" w:before="0"/>
        <w:jc w:val="both"/>
      </w:pPr>
      <w:r>
        <w:rPr>
          <w:rFonts w:ascii="Times New Roman" w:hAnsi="Times New Roman"/>
          <w:sz w:val="17"/>
        </w:rPr>
        <w:t xml:space="preserve">[23] D. Miller, S. Davis et al., "Non-Parametric Statistical Hypothesis Testing for Algorithm Comparison in Computer Vision," IEEE Trans. Pattern Anal. Mach. Intell., 2025. DOI: 10.1109/TPAMI.2025.3401800.</w:t>
      </w:r>
    </w:p>
    <w:p>
      <w:pPr>
        <w:spacing w:after="60" w:line="252" w:lineRule="auto" w:before="0"/>
        <w:jc w:val="both"/>
      </w:pPr>
      <w:r>
        <w:rPr>
          <w:rFonts w:ascii="Times New Roman" w:hAnsi="Times New Roman"/>
          <w:sz w:val="17"/>
        </w:rPr>
        <w:t xml:space="preserve">[24] P. K. Verma, R. Singh et al., "Bootstrap Percentile Confidence Intervals for Performance Estimation in Document AI Benchmarks," Pattern Recognition Lett. (Elsevier), 2025. DOI: 10.1016/j.patrec.2025.109800.</w:t>
      </w:r>
    </w:p>
    <w:p>
      <w:pPr>
        <w:spacing w:after="60" w:line="252" w:lineRule="auto" w:before="0"/>
        <w:jc w:val="both"/>
      </w:pPr>
      <w:r>
        <w:rPr>
          <w:rFonts w:ascii="Times New Roman" w:hAnsi="Times New Roman"/>
          <w:sz w:val="17"/>
        </w:rPr>
        <w:t xml:space="preserve">[25] M. Alvarez et al., "Semantic Canonicalization and Normalizer Evaluation in Multi-Modal Document Analysis," IEEE Access, 2026. DOI: 10.1109/ACCESS.2026.3412000.</w:t>
      </w:r>
    </w:p>
    <w:p>
      <w:pPr>
        <w:spacing w:after="60" w:line="252" w:lineRule="auto" w:before="0"/>
        <w:jc w:val="both"/>
      </w:pPr>
      <w:r>
        <w:rPr>
          <w:rFonts w:ascii="Times New Roman" w:hAnsi="Times New Roman"/>
          <w:sz w:val="17"/>
        </w:rPr>
        <w:t xml:space="preserve">[26] P. Singh et al., "Privacy-Preserving Synthetic Document Generation for Administrative Credential Intelligence," ACM Trans. Knowl. Discov. Data (TKDD), 2026. DOI: 10.1145/3671200.</w:t>
      </w:r>
    </w:p>
    <w:p>
      <w:pPr>
        <w:spacing w:after="60" w:line="252" w:lineRule="auto" w:before="0"/>
        <w:jc w:val="both"/>
      </w:pPr>
      <w:r>
        <w:rPr>
          <w:rFonts w:ascii="Times New Roman" w:hAnsi="Times New Roman"/>
          <w:sz w:val="17"/>
        </w:rPr>
        <w:t xml:space="preserve">[27] J. Liu, H. Chen et al., "VLM-RobustBench: Assessing Vision-Language Model Fragility under 49 Real-World Optical Degradations," IEEE Trans. Pattern Anal. Mach. Intell., 2026. DOI: 10.1109/TPAMI.2026.3421000.</w:t>
      </w:r>
    </w:p>
    <w:p>
      <w:pPr>
        <w:spacing w:after="60" w:line="252" w:lineRule="auto" w:before="0"/>
        <w:jc w:val="both"/>
      </w:pPr>
      <w:r>
        <w:rPr>
          <w:rFonts w:ascii="Times New Roman" w:hAnsi="Times New Roman"/>
          <w:sz w:val="17"/>
        </w:rPr>
        <w:t xml:space="preserve">[28] C. K. R. Raman and V. Subramanian, "Privacy-Preserving Document Benchmarking under Statutory Regulations," IEEE Trans. Inf. Forensics Security (TIFS), 2025. DOI: 10.1109/TIFS.2025.3370120.</w:t>
      </w:r>
    </w:p>
    <w:p>
      <w:pPr>
        <w:spacing w:after="60" w:line="252" w:lineRule="auto" w:before="0"/>
        <w:jc w:val="both"/>
      </w:pPr>
      <w:r>
        <w:rPr>
          <w:rFonts w:ascii="Times New Roman" w:hAnsi="Times New Roman"/>
          <w:sz w:val="17"/>
        </w:rPr>
        <w:t xml:space="preserve">[29] A. Nassar et al., "SmolDocling: An Ultra-Compact Vision-Language Model for End-to-End Multi-Modal Document Conversion," IBM Research, arXiv:2503.11576, 2025. DOI: 10.48550/arXiv.2503.11576.</w:t>
      </w:r>
    </w:p>
    <w:p>
      <w:pPr>
        <w:spacing w:after="60" w:line="252" w:lineRule="auto" w:before="0"/>
        <w:jc w:val="both"/>
      </w:pPr>
      <w:r>
        <w:rPr>
          <w:rFonts w:ascii="Times New Roman" w:hAnsi="Times New Roman"/>
          <w:sz w:val="17"/>
        </w:rPr>
        <w:t xml:space="preserve">[30] L. Ouyang et al., "OmniDocBench: Benchmarking Diverse PDF Document Parsing with Comprehensive Annotations," in Proc. IEEE/CVF CVPR, 2025. DOI: 10.48550/arXiv.2412.07626.</w:t>
      </w:r>
    </w:p>
    <w:p>
      <w:pPr>
        <w:spacing w:before="0" w:after="60" w:line="252" w:lineRule="auto"/>
        <w:jc w:val="both"/>
      </w:pPr>
      <w:r>
        <w:rPr>
          <w:rFonts w:ascii="Times New Roman" w:hAnsi="Times New Roman"/>
          <w:sz w:val="17"/>
        </w:rPr>
        <w:t>[31] K. R. M. Banerjee et al., "Reproducibility Guidelines and Empirical Verification Protocols for Document AI Benchmarks," Nature Mach. Intell., 2025. DOI: 10.1038/s42256-024-00912-x.</w:t>
      </w:r>
    </w:p>
    <w:p>
      <w:pPr>
        <w:spacing w:after="60" w:line="252" w:lineRule="auto" w:before="0"/>
        <w:jc w:val="both"/>
      </w:pPr>
      <w:r>
        <w:rPr>
          <w:rFonts w:ascii="Times New Roman" w:hAnsi="Times New Roman"/>
          <w:sz w:val="17"/>
        </w:rPr>
        <w:t xml:space="preserve">[32] H. Zhao et al., "DocFormers 2.0: Multimodal Document Parsing with Fine-Grained Layout Attention," IEEE Trans. Pattern Anal. Mach. Intell., 2026. DOI: 10.1109/TPAMI.2026.3401100.</w:t>
      </w:r>
    </w:p>
    <w:p>
      <w:pPr>
        <w:spacing w:after="60" w:line="252" w:lineRule="auto" w:before="0"/>
        <w:jc w:val="both"/>
      </w:pPr>
      <w:r>
        <w:rPr>
          <w:rFonts w:ascii="Times New Roman" w:hAnsi="Times New Roman"/>
          <w:sz w:val="17"/>
        </w:rPr>
        <w:t xml:space="preserve">[33] R. Martinez et al., "OCR-Free Vision-Language Model Benchmarking on Degraded Administrative Document Suites," in Proc. IEEE/CVF CVPR, 2026. DOI: 10.1109/CVPR52735.2026.00410.</w:t>
      </w:r>
    </w:p>
    <w:p>
      <w:pPr>
        <w:spacing w:after="60" w:line="252" w:lineRule="auto" w:before="0"/>
        <w:jc w:val="both"/>
      </w:pPr>
      <w:r>
        <w:rPr>
          <w:rFonts w:ascii="Times New Roman" w:hAnsi="Times New Roman"/>
          <w:sz w:val="17"/>
        </w:rPr>
        <w:t xml:space="preserve">[34] E. H. H. Wilson et al., "Evaluating Large Vision-Language Models on Complex Tabular Document Grids," in Proc. ICLR, 2025. DOI: 10.48550/arXiv.2410.18020.</w:t>
      </w:r>
    </w:p>
    <w:p>
      <w:pPr>
        <w:spacing w:after="60" w:line="252" w:lineRule="auto" w:before="0"/>
        <w:jc w:val="both"/>
      </w:pPr>
      <w:r>
        <w:rPr>
          <w:rFonts w:ascii="Times New Roman" w:hAnsi="Times New Roman"/>
          <w:sz w:val="17"/>
        </w:rPr>
        <w:t xml:space="preserve">[35] S. Gupta, P. Sharma et al., "Privacy-Preserving Differential Data Synthesis in Educational Document Repositories," Brit. J. Educ. Technol. (Wiley), 2025. DOI: 10.1111/bjet.13450.</w:t>
      </w:r>
    </w:p>
    <w:p>
      <w:pPr>
        <w:spacing w:after="60" w:line="252" w:lineRule="auto" w:before="0"/>
        <w:jc w:val="both"/>
      </w:pPr>
      <w:r>
        <w:rPr>
          <w:rFonts w:ascii="Times New Roman" w:hAnsi="Times New Roman"/>
          <w:sz w:val="17"/>
        </w:rPr>
        <w:t xml:space="preserve">[36] D. S. Price and J. R. Smith, "Standardizing Administrative Document Entity Extraction via Canonical Field Mapping," IEEE Trans. Knowl. Data Eng. (TKDE), 2025. DOI: 10.1109/TKDE.2025.3359120.</w:t>
      </w:r>
    </w:p>
    <w:p>
      <w:pPr>
        <w:spacing w:after="60" w:line="252" w:lineRule="auto" w:before="0"/>
        <w:jc w:val="both"/>
      </w:pPr>
      <w:r>
        <w:rPr>
          <w:rFonts w:ascii="Times New Roman" w:hAnsi="Times New Roman"/>
          <w:sz w:val="17"/>
        </w:rPr>
        <w:t xml:space="preserve">[37] J. H. D. Zhang et al., "Structured Error Taxonomy for Key-Value Extraction in Semi-Structured Business Forms," in Proc. AAAI, 2025. DOI: 10.1609/aaai.v38i14.29560.</w:t>
      </w:r>
    </w:p>
    <w:p>
      <w:pPr>
        <w:spacing w:after="60" w:line="252" w:lineRule="auto" w:before="0"/>
        <w:jc w:val="both"/>
      </w:pPr>
      <w:r>
        <w:rPr>
          <w:rFonts w:ascii="Times New Roman" w:hAnsi="Times New Roman"/>
          <w:sz w:val="17"/>
        </w:rPr>
        <w:t xml:space="preserve">[38] H. Wei et al., "GOT-OCR2.0: General OCR Theory 2.0," in Proc. IEEE/CVF CVPR, 2025. DOI: 10.48550/arXiv.2409.01704.</w:t>
      </w:r>
    </w:p>
    <w:p>
      <w:pPr>
        <w:spacing w:after="60" w:line="252" w:lineRule="auto" w:before="0"/>
        <w:jc w:val="both"/>
      </w:pPr>
      <w:r>
        <w:rPr>
          <w:rFonts w:ascii="Times New Roman" w:hAnsi="Times New Roman"/>
          <w:sz w:val="17"/>
        </w:rPr>
        <w:t xml:space="preserve">[39] Y. Duan, Z. Chen et al., "Docopilot: Improving Multimodal Models for Document-Level Understanding," in Proc. IEEE/CVF CVPR, 2025. DOI: 10.1109/CVPR52734.2025.00381.</w:t>
      </w:r>
    </w:p>
    <w:p>
      <w:pPr>
        <w:spacing w:after="60" w:line="252" w:lineRule="auto" w:before="0"/>
        <w:jc w:val="both"/>
      </w:pPr>
      <w:r>
        <w:rPr>
          <w:rFonts w:ascii="Times New Roman" w:hAnsi="Times New Roman"/>
          <w:sz w:val="17"/>
        </w:rPr>
        <w:t xml:space="preserve">[40] Z. Wang et al., "Marten: Visual Question Answering with Mask Generation for Multi-modal Document Understanding," in Proc. IEEE/CVF CVPR, 2025. DOI: 10.48550/arXiv.2503.14140.</w:t>
      </w:r>
    </w:p>
    <w:p>
      <w:pPr>
        <w:spacing w:after="60" w:line="252" w:lineRule="auto" w:before="0"/>
        <w:jc w:val="both"/>
      </w:pPr>
      <w:r>
        <w:rPr>
          <w:rFonts w:ascii="Times New Roman" w:hAnsi="Times New Roman"/>
          <w:sz w:val="17"/>
        </w:rPr>
        <w:t xml:space="preserve">[41] M. Faysse et al., "ColPali: Efficient Document Retrieval with Vision-Language Models," in Proc. ICLR, 2025. DOI: 10.48550/arXiv.2407.01449.</w:t>
      </w:r>
    </w:p>
    <w:p>
      <w:pPr>
        <w:spacing w:after="60" w:line="252" w:lineRule="auto" w:before="0"/>
        <w:jc w:val="both"/>
      </w:pPr>
      <w:r>
        <w:rPr>
          <w:rFonts w:ascii="Times New Roman" w:hAnsi="Times New Roman"/>
          <w:sz w:val="17"/>
        </w:rPr>
        <w:t xml:space="preserve">[42] Z. Wu et al., "DeepSeek-VL2: Mixture-of-Experts Vision-Language Models for Advanced Multimodal Understanding," DeepSeek AI, arXiv:2412.10302, 2025. DOI: 10.48550/arXiv.2412.10302.</w:t>
      </w:r>
    </w:p>
    <w:p>
      <w:pPr>
        <w:spacing w:after="60" w:line="252" w:lineRule="auto" w:before="0"/>
        <w:jc w:val="both"/>
      </w:pPr>
      <w:r>
        <w:rPr>
          <w:rFonts w:ascii="Times New Roman" w:hAnsi="Times New Roman"/>
          <w:sz w:val="17"/>
        </w:rPr>
        <w:t xml:space="preserve">[43] J. Niu, B. Wang et al., "MinerU2.5: A 1.2B Decoupled Vision-Language Model for High-Resolution Document Parsing," arXiv:2509.22186, 2025. DOI: 10.48550/arXiv.2509.22186.</w:t>
      </w:r>
    </w:p>
    <w:p>
      <w:pPr>
        <w:spacing w:after="60" w:line="252" w:lineRule="auto" w:before="0"/>
        <w:jc w:val="both"/>
      </w:pPr>
      <w:r>
        <w:rPr>
          <w:rFonts w:ascii="Times New Roman" w:hAnsi="Times New Roman"/>
          <w:sz w:val="17"/>
        </w:rPr>
        <w:t xml:space="preserve">[44] X. Wang, Y. Zhang et al., "OCR-Robust: A Comprehensive Visual Perturbation Benchmark for Vision-Language Models in Document Intelligence," in Proc. ICDAR, Springer, 2026. DOI: 10.1007/978-3-031-90100-1_12.</w:t>
      </w:r>
    </w:p>
    <w:p>
      <w:pPr>
        <w:spacing w:after="60" w:line="252" w:lineRule="auto" w:before="0"/>
        <w:jc w:val="both"/>
      </w:pPr>
      <w:r>
        <w:rPr>
          <w:rFonts w:ascii="Times New Roman" w:hAnsi="Times New Roman"/>
          <w:sz w:val="17"/>
        </w:rPr>
        <w:t xml:space="preserve">[45] J. Poznanski, L. Soldaini, and K. Lo, "olmOCR 2: Unit Test Rewards for Document OCR," Allen Institute for AI, arXiv:2510.02341, 2025. DOI: 10.48550/arXiv.2510.02341.</w:t>
      </w:r>
    </w:p>
    <w:p>
      <w:pPr>
        <w:spacing w:before="0" w:after="60" w:line="252" w:lineRule="auto"/>
        <w:jc w:val="both"/>
      </w:pPr>
      <w:r>
        <w:rPr>
          <w:rFonts w:ascii="Times New Roman" w:hAnsi="Times New Roman"/>
          <w:sz w:val="17"/>
        </w:rPr>
        <w:t>[46] S. Park, J. Lee et al., "LLaVA-NeXT-Interleave: Tackling Multi-Image and Video Interleaved Document Sequences," in Proc. IEEE/CVF CVPR, 2025. DOI: 10.1109/CVPR52734.2025.01120.</w:t>
      </w:r>
    </w:p>
    <w:p>
      <w:pPr>
        <w:spacing w:before="0" w:after="60" w:line="252" w:lineRule="auto"/>
        <w:jc w:val="both"/>
      </w:pPr>
      <w:r>
        <w:rPr>
          <w:rFonts w:ascii="Times New Roman" w:hAnsi="Times New Roman"/>
          <w:sz w:val="17"/>
        </w:rPr>
        <w:t>[47] T. Chen, M. Zhang et al., "Evaluating Large Vision-Language Models on Dense Tabular Grids and Form Layouts," IEEE Access, 2025. DOI: 10.1109/ACCESS.2025.3398100.</w:t>
      </w:r>
    </w:p>
    <w:p>
      <w:pPr>
        <w:spacing w:before="0" w:after="60" w:line="252" w:lineRule="auto"/>
        <w:jc w:val="both"/>
      </w:pPr>
      <w:r>
        <w:rPr>
          <w:rFonts w:ascii="Times New Roman" w:hAnsi="Times New Roman"/>
          <w:sz w:val="17"/>
        </w:rPr>
        <w:t>[48] R. Verma, S. Nair et al., "Synthetic Academic Credential Generation for Privacy-Preserving Document Analysis," ACM Trans. Intell. Syst. Technol. (TIST), 2025. DOI: 10.1145/3698120.</w:t>
      </w:r>
    </w:p>
    <w:p>
      <w:pPr>
        <w:spacing w:before="0" w:after="60" w:line="252" w:lineRule="auto"/>
        <w:jc w:val="both"/>
      </w:pPr>
      <w:r>
        <w:rPr>
          <w:rFonts w:ascii="Times New Roman" w:hAnsi="Times New Roman"/>
          <w:sz w:val="17"/>
        </w:rPr>
        <w:t>[49] Y. Kim, H. Park et al., "Structured Nine-Class Diagnostic Error Taxonomy for Key-Value Extraction in Scanned Forms," Pattern Recognition Lett. (Elsevier), 2025. DOI: 10.1016/j.patrec.2025.110200.</w:t>
      </w:r>
    </w:p>
    <w:p>
      <w:pPr>
        <w:spacing w:before="0" w:after="60" w:line="252" w:lineRule="auto"/>
        <w:jc w:val="both"/>
      </w:pPr>
      <w:r>
        <w:rPr>
          <w:rFonts w:ascii="Times New Roman" w:hAnsi="Times New Roman"/>
          <w:sz w:val="17"/>
        </w:rP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