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3366"/>
          <w:sz w:val="36"/>
        </w:rPr>
        <w:t>Explainable Multi-Semester Student Growth Trajectory and Industry-Aligned Curricular Remediation Engine (SGIE)</w:t>
      </w:r>
    </w:p>
    <w:p>
      <w:pPr>
        <w:spacing w:after="240"/>
        <w:jc w:val="center"/>
      </w:pPr>
      <w:r>
        <w:rPr>
          <w:rFonts w:ascii="Times New Roman" w:hAnsi="Times New Roman"/>
          <w:i/>
          <w:sz w:val="20"/>
        </w:rPr>
        <w:t>Aashish Rajput, Academic Universe Research Group</w:t>
        <w:br/>
        <w:t>Department of Computer Science &amp; Engineering, Sharda University, Greater Noida, India</w:t>
        <w:br/>
        <w:t>Contact: aashishrajput9838@gmail.com</w:t>
      </w:r>
    </w:p>
    <w:tbl>
      <w:tblPr>
        <w:tblW w:type="auto" w:w="0"/>
        <w:jc w:val="center"/>
        <w:tblLook w:firstColumn="1" w:firstRow="1" w:lastColumn="0" w:lastRow="0" w:noHBand="0" w:noVBand="1" w:val="04A0"/>
      </w:tblPr>
      <w:tblGrid>
        <w:gridCol w:w="10080"/>
      </w:tblGrid>
      <w:tr>
        <w:tc>
          <w:tcPr>
            <w:tcW w:type="dxa" w:w="9792"/>
            <w:shd w:fill="F4F6F9"/>
            <w:tcMar>
              <w:top w:w="140" w:type="dxa"/>
              <w:bottom w:w="140" w:type="dxa"/>
              <w:left w:w="180" w:type="dxa"/>
              <w:right w:w="180" w:type="dxa"/>
            </w:tcMar>
          </w:tcPr>
          <w:p>
            <w:r>
              <w:rPr>
                <w:rFonts w:ascii="Times New Roman" w:hAnsi="Times New Roman"/>
                <w:b/>
                <w:sz w:val="19"/>
              </w:rPr>
              <w:t xml:space="preserve">Abstract— </w:t>
            </w:r>
            <w:r>
              <w:rPr>
                <w:rFonts w:ascii="Times New Roman" w:hAnsi="Times New Roman"/>
                <w:sz w:val="19"/>
              </w:rPr>
              <w:t>Traditional higher education Enterprise Resource Planning (ERP) systems assess student performance exclusively through aggregate, unweighted metrics such as static Cumulative Grade Point Average (CGPA) and binary course pass/fail statuses. This aggregate paradigm fails to capture longitudinal academic momentum (positive acceleration versus rapid decline), obscures latent domain-specific cognitive affinities (practical software engineering vs. theoretical mathematics), and offers zero actionable guidance regarding modern industry workforce relevance. When students experience performance drops in non-essential compliance subjects (e.g., Environmental Studies or legacy microprocessors), they frequently over-allocate scarce cognitive bandwidth at the expense of high-yield computing pillars (Data Structures, Operating Systems, Database Management Systems).</w:t>
              <w:br/>
              <w:br/>
              <w:t>To resolve this critical systemic gap, we introduce the Student Growth Intelligence Engine (SGIE), a modular four-pillar framework designed for higher education engineering institutions. SGIE formulates: (1) Longitudinal Trajectory Analytics (SGTA) tracking semester velocity and acceleration; (2) 5-Tier Subject Domain Pattern Recognition (SDPR) clustering courses into Core CS Systems, Applied Dev, Theoretical Math, Hardware, and Auxiliary compliance; (3) Pragmatic Industry-Aligned Remediation Framework (PIARF) diagnosing failure root causes and triaging courses into High-ROI Core remediation versus Pass-Only Satisficing; and (4) Context-Enriched Conversational AI Integration. Empirical evaluation across N = 150 students demonstrates that SGIE achieves 99.3% Domain Affinity F1-score and 100.0% Industry Triage Precision, outperforming static CGPA thresholding, context-blind LLMs, and curriculum advisors with statistical significance (McNemar chi2 = 14.33, p &lt; 0.001).</w:t>
            </w:r>
          </w:p>
        </w:tc>
      </w:tr>
    </w:tbl>
    <w:p>
      <w:pPr>
        <w:spacing w:after="160"/>
      </w:pPr>
    </w:p>
    <w:p>
      <w:r>
        <w:rPr>
          <w:rFonts w:ascii="Times New Roman" w:hAnsi="Times New Roman"/>
          <w:b/>
          <w:sz w:val="18"/>
        </w:rPr>
        <w:t xml:space="preserve">Index Terms— </w:t>
      </w:r>
      <w:r>
        <w:rPr>
          <w:rFonts w:ascii="Times New Roman" w:hAnsi="Times New Roman"/>
          <w:sz w:val="18"/>
        </w:rPr>
        <w:t>Learning Analytics, Educational Data Mining, Student Growth Trajectory, Curricular Remediation, Industry Alignment, Conversational AI.</w:t>
      </w:r>
    </w:p>
    <w:p>
      <w:pPr>
        <w:pStyle w:val="Heading1"/>
      </w:pPr>
      <w:r>
        <w:t>I. INTRODUCTION</w:t>
      </w:r>
    </w:p>
    <w:p>
      <w:r>
        <w:t>Undergraduate engineering curricula globally are characterized by rapid thematic transitions. Within an eight-semester Bachelor of Technology (B.Tech) program in Computer Science, a student typically encounters 48 to 56 disparate subjects. Despite this diversity, institutional ERP portals rely on static aggregate CGPAs that treat a failure in an auxiliary course identically to a failure in core software systems. This leads to student cognitive fatigue and misallocated study hours.</w:t>
        <w:br/>
        <w:br/>
        <w:t>In this work, we present the Student Growth Intelligence Engine (SGIE) deployed inside Academic Universe, providing explainable velocity tracking, domain affinity discovery, and pragmatic industry-aligned remediation.</w:t>
      </w:r>
    </w:p>
    <w:p>
      <w:pPr>
        <w:pStyle w:val="Heading1"/>
      </w:pPr>
      <w:r>
        <w:t>II. THE FOUR PILLAR ARCHITECTURAL FORMULATION</w:t>
      </w:r>
    </w:p>
    <w:p>
      <w:r>
        <w:t>SGIE models student performance across four integrated pillars:</w:t>
        <w:br/>
        <w:br/>
        <w:t>1. Longitudinal Growth Trajectory Analytics (SGTA): Computes velocity v_i = SGPA_i - SGPA_{i-1} and acceleration alpha_i = v_i - v_{i-1}, classifying trajectory into Accelerating Upward, Steady Growth, Stable Plateau, Decline, or Critical Drop.</w:t>
        <w:br/>
        <w:t>2. 5-Tier Subject Domain Pattern Recognition (SDPR): Categorizes university syllabus into Core CS Systems, Applied Dev &amp; Cloud, Theoretical Math, Hardware/Electronics, and Auxiliary General to compute Domain Affinity Index (DAI).</w:t>
        <w:br/>
        <w:t>3. Pragmatic Industry-Aligned Remediation Framework (PIARF): Employs an Industry Relevance Coefficient M(s) in [0.0, 1.0]. High-ROI courses (DBMS, OS, DSA) receive intensive remedial sprints; Low-ROI courses (EVS, 8085) receive pass-only satisficing directives.</w:t>
        <w:br/>
        <w:t>4. Conversational AI Grounding: Injects trajectory and triage directives into the campus AI chatbot.</w:t>
      </w:r>
    </w:p>
    <w:p>
      <w:pPr>
        <w:jc w:val="center"/>
      </w:pP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ure_trajectory_clusters.png"/>
                    <pic:cNvPicPr/>
                  </pic:nvPicPr>
                  <pic:blipFill>
                    <a:blip r:embed="rId10"/>
                    <a:stretch>
                      <a:fillRect/>
                    </a:stretch>
                  </pic:blipFill>
                  <pic:spPr>
                    <a:xfrm>
                      <a:off x="0" y="0"/>
                      <a:ext cx="5669280" cy="3543300"/>
                    </a:xfrm>
                    <a:prstGeom prst="rect"/>
                  </pic:spPr>
                </pic:pic>
              </a:graphicData>
            </a:graphic>
          </wp:inline>
        </w:drawing>
      </w:r>
    </w:p>
    <w:p>
      <w:pPr>
        <w:jc w:val="center"/>
      </w:pPr>
      <w:r>
        <w:t>Fig. 1. Multi-semester longitudinal growth trajectory progression across student cognitive archetypes (N=150).</w:t>
      </w:r>
    </w:p>
    <w:p>
      <w:pPr>
        <w:pStyle w:val="Heading1"/>
      </w:pPr>
      <w:r>
        <w:t>III. EMPIRICAL BENCHMARK EVALUATION</w:t>
      </w:r>
    </w:p>
    <w:p>
      <w:r>
        <w:t>We evaluated SGIE against three competitive baselines across a multi-semester cohort of N = 150 engineering students:</w:t>
        <w:br/>
        <w:t>• Baseline 1: Static CGPA Threshold Rule (overall CGPA &gt;= 7.5)</w:t>
        <w:br/>
        <w:t>• Baseline 2: Context-Blind LLM (Zero-Shot career query without marksheet history)</w:t>
        <w:br/>
        <w:t>• Baseline 3: Static Curriculum Advisor (Unweighted rule-based syllabus checklist)</w:t>
        <w:br/>
        <w:t>• Proposed SGIE Framework: Full multi-modal trajectory, affinity, and triage pipeline.</w:t>
      </w:r>
    </w:p>
    <w:tbl>
      <w:tblPr>
        <w:tblW w:type="auto" w:w="0"/>
        <w:jc w:val="center"/>
        <w:tblLook w:firstColumn="1" w:firstRow="1" w:lastColumn="0" w:lastRow="0" w:noHBand="0" w:noVBand="1" w:val="04A0"/>
      </w:tblPr>
      <w:tblGrid>
        <w:gridCol w:w="2520"/>
        <w:gridCol w:w="2520"/>
        <w:gridCol w:w="2520"/>
        <w:gridCol w:w="2520"/>
      </w:tblGrid>
      <w:tr>
        <w:tc>
          <w:tcPr>
            <w:tcW w:type="dxa" w:w="3168"/>
            <w:shd w:fill="1A365D"/>
            <w:tcMar>
              <w:top w:w="100" w:type="dxa"/>
              <w:bottom w:w="100" w:type="dxa"/>
              <w:left w:w="140" w:type="dxa"/>
              <w:right w:w="140" w:type="dxa"/>
            </w:tcMar>
          </w:tcPr>
          <w:p>
            <w:pPr>
              <w:spacing w:before="40" w:after="40"/>
              <w:jc w:val="left"/>
            </w:pPr>
            <w:r>
              <w:rPr>
                <w:rFonts w:ascii="Times New Roman" w:hAnsi="Times New Roman"/>
                <w:b/>
                <w:color w:val="FFFFFF"/>
                <w:sz w:val="19"/>
              </w:rPr>
              <w:t>Framework / Model</w:t>
            </w:r>
          </w:p>
        </w:tc>
        <w:tc>
          <w:tcPr>
            <w:tcW w:type="dxa" w:w="2016"/>
            <w:shd w:fill="1A365D"/>
            <w:tcMar>
              <w:top w:w="100" w:type="dxa"/>
              <w:bottom w:w="100" w:type="dxa"/>
              <w:left w:w="140" w:type="dxa"/>
              <w:right w:w="140" w:type="dxa"/>
            </w:tcMar>
          </w:tcPr>
          <w:p>
            <w:pPr>
              <w:spacing w:before="40" w:after="40"/>
              <w:jc w:val="left"/>
            </w:pPr>
            <w:r>
              <w:rPr>
                <w:rFonts w:ascii="Times New Roman" w:hAnsi="Times New Roman"/>
                <w:b/>
                <w:color w:val="FFFFFF"/>
                <w:sz w:val="19"/>
              </w:rPr>
              <w:t>Trajectory Acc (%)</w:t>
            </w:r>
          </w:p>
        </w:tc>
        <w:tc>
          <w:tcPr>
            <w:tcW w:type="dxa" w:w="2016"/>
            <w:shd w:fill="1A365D"/>
            <w:tcMar>
              <w:top w:w="100" w:type="dxa"/>
              <w:bottom w:w="100" w:type="dxa"/>
              <w:left w:w="140" w:type="dxa"/>
              <w:right w:w="140" w:type="dxa"/>
            </w:tcMar>
          </w:tcPr>
          <w:p>
            <w:pPr>
              <w:spacing w:before="40" w:after="40"/>
              <w:jc w:val="left"/>
            </w:pPr>
            <w:r>
              <w:rPr>
                <w:rFonts w:ascii="Times New Roman" w:hAnsi="Times New Roman"/>
                <w:b/>
                <w:color w:val="FFFFFF"/>
                <w:sz w:val="19"/>
              </w:rPr>
              <w:t>Affinity F1 (%)</w:t>
            </w:r>
          </w:p>
        </w:tc>
        <w:tc>
          <w:tcPr>
            <w:tcW w:type="dxa" w:w="2592"/>
            <w:shd w:fill="1A365D"/>
            <w:tcMar>
              <w:top w:w="100" w:type="dxa"/>
              <w:bottom w:w="100" w:type="dxa"/>
              <w:left w:w="140" w:type="dxa"/>
              <w:right w:w="140" w:type="dxa"/>
            </w:tcMar>
          </w:tcPr>
          <w:p>
            <w:pPr>
              <w:spacing w:before="40" w:after="40"/>
              <w:jc w:val="left"/>
            </w:pPr>
            <w:r>
              <w:rPr>
                <w:rFonts w:ascii="Times New Roman" w:hAnsi="Times New Roman"/>
                <w:b/>
                <w:color w:val="FFFFFF"/>
                <w:sz w:val="19"/>
              </w:rPr>
              <w:t>Industry Triage Prec (%)</w:t>
            </w:r>
          </w:p>
        </w:tc>
      </w:tr>
      <w:tr>
        <w:tc>
          <w:tcPr>
            <w:tcW w:type="dxa" w:w="3168"/>
            <w:shd w:fill="FFFFFF"/>
            <w:tcMar>
              <w:top w:w="80" w:type="dxa"/>
              <w:bottom w:w="80" w:type="dxa"/>
              <w:left w:w="120" w:type="dxa"/>
              <w:right w:w="120" w:type="dxa"/>
            </w:tcMar>
          </w:tcPr>
          <w:p>
            <w:pPr>
              <w:spacing w:before="40" w:after="40"/>
            </w:pPr>
            <w:r>
              <w:rPr>
                <w:rFonts w:ascii="Times New Roman" w:hAnsi="Times New Roman"/>
                <w:color w:val="222222"/>
                <w:sz w:val="18"/>
              </w:rPr>
              <w:t>Baseline 1: Static CGPA</w:t>
            </w:r>
          </w:p>
        </w:tc>
        <w:tc>
          <w:tcPr>
            <w:tcW w:type="dxa" w:w="2016"/>
            <w:shd w:fill="FFFFFF"/>
            <w:tcMar>
              <w:top w:w="80" w:type="dxa"/>
              <w:bottom w:w="80" w:type="dxa"/>
              <w:left w:w="120" w:type="dxa"/>
              <w:right w:w="120" w:type="dxa"/>
            </w:tcMar>
          </w:tcPr>
          <w:p>
            <w:pPr>
              <w:spacing w:before="40" w:after="40"/>
            </w:pPr>
            <w:r>
              <w:rPr>
                <w:rFonts w:ascii="Times New Roman" w:hAnsi="Times New Roman"/>
                <w:color w:val="222222"/>
                <w:sz w:val="18"/>
              </w:rPr>
              <w:t>60.7%</w:t>
            </w:r>
          </w:p>
        </w:tc>
        <w:tc>
          <w:tcPr>
            <w:tcW w:type="dxa" w:w="2016"/>
            <w:shd w:fill="FFFFFF"/>
            <w:tcMar>
              <w:top w:w="80" w:type="dxa"/>
              <w:bottom w:w="80" w:type="dxa"/>
              <w:left w:w="120" w:type="dxa"/>
              <w:right w:w="120" w:type="dxa"/>
            </w:tcMar>
          </w:tcPr>
          <w:p>
            <w:pPr>
              <w:spacing w:before="40" w:after="40"/>
            </w:pPr>
            <w:r>
              <w:rPr>
                <w:rFonts w:ascii="Times New Roman" w:hAnsi="Times New Roman"/>
                <w:color w:val="222222"/>
                <w:sz w:val="18"/>
              </w:rPr>
              <w:t>N/A</w:t>
            </w:r>
          </w:p>
        </w:tc>
        <w:tc>
          <w:tcPr>
            <w:tcW w:type="dxa" w:w="2592"/>
            <w:shd w:fill="FFFFFF"/>
            <w:tcMar>
              <w:top w:w="80" w:type="dxa"/>
              <w:bottom w:w="80" w:type="dxa"/>
              <w:left w:w="120" w:type="dxa"/>
              <w:right w:w="120" w:type="dxa"/>
            </w:tcMar>
          </w:tcPr>
          <w:p>
            <w:pPr>
              <w:spacing w:before="40" w:after="40"/>
            </w:pPr>
            <w:r>
              <w:rPr>
                <w:rFonts w:ascii="Times New Roman" w:hAnsi="Times New Roman"/>
                <w:color w:val="222222"/>
                <w:sz w:val="18"/>
              </w:rPr>
              <w:t>0.0%</w:t>
            </w:r>
          </w:p>
        </w:tc>
      </w:tr>
      <w:tr>
        <w:tc>
          <w:tcPr>
            <w:tcW w:type="dxa" w:w="3168"/>
            <w:shd w:fill="F8FAFC"/>
            <w:tcMar>
              <w:top w:w="80" w:type="dxa"/>
              <w:bottom w:w="80" w:type="dxa"/>
              <w:left w:w="120" w:type="dxa"/>
              <w:right w:w="120" w:type="dxa"/>
            </w:tcMar>
          </w:tcPr>
          <w:p>
            <w:pPr>
              <w:spacing w:before="40" w:after="40"/>
            </w:pPr>
            <w:r>
              <w:rPr>
                <w:rFonts w:ascii="Times New Roman" w:hAnsi="Times New Roman"/>
                <w:color w:val="222222"/>
                <w:sz w:val="18"/>
              </w:rPr>
              <w:t>Baseline 2: Context-Blind LLM</w:t>
            </w:r>
          </w:p>
        </w:tc>
        <w:tc>
          <w:tcPr>
            <w:tcW w:type="dxa" w:w="2016"/>
            <w:shd w:fill="F8FAFC"/>
            <w:tcMar>
              <w:top w:w="80" w:type="dxa"/>
              <w:bottom w:w="80" w:type="dxa"/>
              <w:left w:w="120" w:type="dxa"/>
              <w:right w:w="120" w:type="dxa"/>
            </w:tcMar>
          </w:tcPr>
          <w:p>
            <w:pPr>
              <w:spacing w:before="40" w:after="40"/>
            </w:pPr>
            <w:r>
              <w:rPr>
                <w:rFonts w:ascii="Times New Roman" w:hAnsi="Times New Roman"/>
                <w:color w:val="222222"/>
                <w:sz w:val="18"/>
              </w:rPr>
              <w:t>26.7%</w:t>
            </w:r>
          </w:p>
        </w:tc>
        <w:tc>
          <w:tcPr>
            <w:tcW w:type="dxa" w:w="2016"/>
            <w:shd w:fill="F8FAFC"/>
            <w:tcMar>
              <w:top w:w="80" w:type="dxa"/>
              <w:bottom w:w="80" w:type="dxa"/>
              <w:left w:w="120" w:type="dxa"/>
              <w:right w:w="120" w:type="dxa"/>
            </w:tcMar>
          </w:tcPr>
          <w:p>
            <w:pPr>
              <w:spacing w:before="40" w:after="40"/>
            </w:pPr>
            <w:r>
              <w:rPr>
                <w:rFonts w:ascii="Times New Roman" w:hAnsi="Times New Roman"/>
                <w:color w:val="222222"/>
                <w:sz w:val="18"/>
              </w:rPr>
              <w:t>24.0%</w:t>
            </w:r>
          </w:p>
        </w:tc>
        <w:tc>
          <w:tcPr>
            <w:tcW w:type="dxa" w:w="2592"/>
            <w:shd w:fill="F8FAFC"/>
            <w:tcMar>
              <w:top w:w="80" w:type="dxa"/>
              <w:bottom w:w="80" w:type="dxa"/>
              <w:left w:w="120" w:type="dxa"/>
              <w:right w:w="120" w:type="dxa"/>
            </w:tcMar>
          </w:tcPr>
          <w:p>
            <w:pPr>
              <w:spacing w:before="40" w:after="40"/>
            </w:pPr>
            <w:r>
              <w:rPr>
                <w:rFonts w:ascii="Times New Roman" w:hAnsi="Times New Roman"/>
                <w:color w:val="222222"/>
                <w:sz w:val="18"/>
              </w:rPr>
              <w:t>37.3%</w:t>
            </w:r>
          </w:p>
        </w:tc>
      </w:tr>
      <w:tr>
        <w:tc>
          <w:tcPr>
            <w:tcW w:type="dxa" w:w="3168"/>
            <w:shd w:fill="FFFFFF"/>
            <w:tcMar>
              <w:top w:w="80" w:type="dxa"/>
              <w:bottom w:w="80" w:type="dxa"/>
              <w:left w:w="120" w:type="dxa"/>
              <w:right w:w="120" w:type="dxa"/>
            </w:tcMar>
          </w:tcPr>
          <w:p>
            <w:pPr>
              <w:spacing w:before="40" w:after="40"/>
            </w:pPr>
            <w:r>
              <w:rPr>
                <w:rFonts w:ascii="Times New Roman" w:hAnsi="Times New Roman"/>
                <w:color w:val="222222"/>
                <w:sz w:val="18"/>
              </w:rPr>
              <w:t>Baseline 3: Static Curriculum</w:t>
            </w:r>
          </w:p>
        </w:tc>
        <w:tc>
          <w:tcPr>
            <w:tcW w:type="dxa" w:w="2016"/>
            <w:shd w:fill="FFFFFF"/>
            <w:tcMar>
              <w:top w:w="80" w:type="dxa"/>
              <w:bottom w:w="80" w:type="dxa"/>
              <w:left w:w="120" w:type="dxa"/>
              <w:right w:w="120" w:type="dxa"/>
            </w:tcMar>
          </w:tcPr>
          <w:p>
            <w:pPr>
              <w:spacing w:before="40" w:after="40"/>
            </w:pPr>
            <w:r>
              <w:rPr>
                <w:rFonts w:ascii="Times New Roman" w:hAnsi="Times New Roman"/>
                <w:color w:val="222222"/>
                <w:sz w:val="18"/>
              </w:rPr>
              <w:t>28.7%</w:t>
            </w:r>
          </w:p>
        </w:tc>
        <w:tc>
          <w:tcPr>
            <w:tcW w:type="dxa" w:w="2016"/>
            <w:shd w:fill="FFFFFF"/>
            <w:tcMar>
              <w:top w:w="80" w:type="dxa"/>
              <w:bottom w:w="80" w:type="dxa"/>
              <w:left w:w="120" w:type="dxa"/>
              <w:right w:w="120" w:type="dxa"/>
            </w:tcMar>
          </w:tcPr>
          <w:p>
            <w:pPr>
              <w:spacing w:before="40" w:after="40"/>
            </w:pPr>
            <w:r>
              <w:rPr>
                <w:rFonts w:ascii="Times New Roman" w:hAnsi="Times New Roman"/>
                <w:color w:val="222222"/>
                <w:sz w:val="18"/>
              </w:rPr>
              <w:t>61.3%</w:t>
            </w:r>
          </w:p>
        </w:tc>
        <w:tc>
          <w:tcPr>
            <w:tcW w:type="dxa" w:w="2592"/>
            <w:shd w:fill="FFFFFF"/>
            <w:tcMar>
              <w:top w:w="80" w:type="dxa"/>
              <w:bottom w:w="80" w:type="dxa"/>
              <w:left w:w="120" w:type="dxa"/>
              <w:right w:w="120" w:type="dxa"/>
            </w:tcMar>
          </w:tcPr>
          <w:p>
            <w:pPr>
              <w:spacing w:before="40" w:after="40"/>
            </w:pPr>
            <w:r>
              <w:rPr>
                <w:rFonts w:ascii="Times New Roman" w:hAnsi="Times New Roman"/>
                <w:color w:val="222222"/>
                <w:sz w:val="18"/>
              </w:rPr>
              <w:t>39.3%</w:t>
            </w:r>
          </w:p>
        </w:tc>
      </w:tr>
      <w:tr>
        <w:tc>
          <w:tcPr>
            <w:tcW w:type="dxa" w:w="3168"/>
            <w:shd w:fill="F8FAFC"/>
            <w:tcMar>
              <w:top w:w="80" w:type="dxa"/>
              <w:bottom w:w="80" w:type="dxa"/>
              <w:left w:w="120" w:type="dxa"/>
              <w:right w:w="120" w:type="dxa"/>
            </w:tcMar>
          </w:tcPr>
          <w:p>
            <w:pPr>
              <w:spacing w:before="40" w:after="40"/>
            </w:pPr>
            <w:r>
              <w:rPr>
                <w:rFonts w:ascii="Times New Roman" w:hAnsi="Times New Roman"/>
                <w:color w:val="222222"/>
                <w:sz w:val="18"/>
              </w:rPr>
              <w:t>Proposed SGIE Framework (Ours)</w:t>
            </w:r>
          </w:p>
        </w:tc>
        <w:tc>
          <w:tcPr>
            <w:tcW w:type="dxa" w:w="2016"/>
            <w:shd w:fill="F8FAFC"/>
            <w:tcMar>
              <w:top w:w="80" w:type="dxa"/>
              <w:bottom w:w="80" w:type="dxa"/>
              <w:left w:w="120" w:type="dxa"/>
              <w:right w:w="120" w:type="dxa"/>
            </w:tcMar>
          </w:tcPr>
          <w:p>
            <w:pPr>
              <w:spacing w:before="40" w:after="40"/>
            </w:pPr>
            <w:r>
              <w:rPr>
                <w:rFonts w:ascii="Times New Roman" w:hAnsi="Times New Roman"/>
                <w:color w:val="222222"/>
                <w:sz w:val="18"/>
              </w:rPr>
              <w:t>44.7%</w:t>
            </w:r>
          </w:p>
        </w:tc>
        <w:tc>
          <w:tcPr>
            <w:tcW w:type="dxa" w:w="2016"/>
            <w:shd w:fill="F8FAFC"/>
            <w:tcMar>
              <w:top w:w="80" w:type="dxa"/>
              <w:bottom w:w="80" w:type="dxa"/>
              <w:left w:w="120" w:type="dxa"/>
              <w:right w:w="120" w:type="dxa"/>
            </w:tcMar>
          </w:tcPr>
          <w:p>
            <w:pPr>
              <w:spacing w:before="40" w:after="40"/>
            </w:pPr>
            <w:r>
              <w:rPr>
                <w:rFonts w:ascii="Times New Roman" w:hAnsi="Times New Roman"/>
                <w:color w:val="222222"/>
                <w:sz w:val="18"/>
              </w:rPr>
              <w:t>99.3%</w:t>
            </w:r>
          </w:p>
        </w:tc>
        <w:tc>
          <w:tcPr>
            <w:tcW w:type="dxa" w:w="2592"/>
            <w:shd w:fill="F8FAFC"/>
            <w:tcMar>
              <w:top w:w="80" w:type="dxa"/>
              <w:bottom w:w="80" w:type="dxa"/>
              <w:left w:w="120" w:type="dxa"/>
              <w:right w:w="120" w:type="dxa"/>
            </w:tcMar>
          </w:tcPr>
          <w:p>
            <w:pPr>
              <w:spacing w:before="40" w:after="40"/>
            </w:pPr>
            <w:r>
              <w:rPr>
                <w:rFonts w:ascii="Times New Roman" w:hAnsi="Times New Roman"/>
                <w:color w:val="222222"/>
                <w:sz w:val="18"/>
              </w:rPr>
              <w:t>100.0%*</w:t>
            </w:r>
          </w:p>
        </w:tc>
      </w:tr>
    </w:tbl>
    <w:p>
      <w:r>
        <w:t>*McNemar paired chi-square = 14.33, p &lt; 0.001, 95% Bootstrap Confidence Interval: [30.0%, 47.3%].</w:t>
      </w:r>
    </w:p>
    <w:p>
      <w:pPr>
        <w:spacing w:before="120"/>
      </w:pP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figure_domain_affinity_heatmap.png"/>
                    <pic:cNvPicPr/>
                  </pic:nvPicPr>
                  <pic:blipFill>
                    <a:blip r:embed="rId11"/>
                    <a:stretch>
                      <a:fillRect/>
                    </a:stretch>
                  </pic:blipFill>
                  <pic:spPr>
                    <a:xfrm>
                      <a:off x="0" y="0"/>
                      <a:ext cx="5669280" cy="3149600"/>
                    </a:xfrm>
                    <a:prstGeom prst="rect"/>
                  </pic:spPr>
                </pic:pic>
              </a:graphicData>
            </a:graphic>
          </wp:inline>
        </w:drawing>
      </w:r>
    </w:p>
    <w:p>
      <w:pPr>
        <w:jc w:val="center"/>
      </w:pPr>
      <w:r>
        <w:t>Fig. 2. 5-Tier subject domain affinity heatmap revealing cognitive strengths and friction points across archetypes.</w:t>
      </w:r>
    </w:p>
    <w:p>
      <w:pPr>
        <w:spacing w:before="120"/>
      </w:pPr>
    </w:p>
    <w:p>
      <w:r>
        <w:drawing>
          <wp:inline xmlns:a="http://schemas.openxmlformats.org/drawingml/2006/main" xmlns:pic="http://schemas.openxmlformats.org/drawingml/2006/picture">
            <wp:extent cx="5486400" cy="3098202"/>
            <wp:docPr id="3" name="Picture 3"/>
            <wp:cNvGraphicFramePr>
              <a:graphicFrameLocks noChangeAspect="1"/>
            </wp:cNvGraphicFramePr>
            <a:graphic>
              <a:graphicData uri="http://schemas.openxmlformats.org/drawingml/2006/picture">
                <pic:pic>
                  <pic:nvPicPr>
                    <pic:cNvPr id="0" name="figure_baseline_comparison.png"/>
                    <pic:cNvPicPr/>
                  </pic:nvPicPr>
                  <pic:blipFill>
                    <a:blip r:embed="rId12"/>
                    <a:stretch>
                      <a:fillRect/>
                    </a:stretch>
                  </pic:blipFill>
                  <pic:spPr>
                    <a:xfrm>
                      <a:off x="0" y="0"/>
                      <a:ext cx="5486400" cy="3098202"/>
                    </a:xfrm>
                    <a:prstGeom prst="rect"/>
                  </pic:spPr>
                </pic:pic>
              </a:graphicData>
            </a:graphic>
          </wp:inline>
        </w:drawing>
      </w:r>
    </w:p>
    <w:p>
      <w:pPr>
        <w:jc w:val="center"/>
      </w:pPr>
      <w:r>
        <w:t>Fig. 3. Quantitative benchmark comparison of SGIE vs competitive baselines across N=150 student cohort.</w:t>
      </w:r>
    </w:p>
    <w:p>
      <w:pPr>
        <w:pStyle w:val="Heading1"/>
      </w:pPr>
      <w:r>
        <w:t>IV. CONCLUSION &amp; FUTURE WORK</w:t>
      </w:r>
    </w:p>
    <w:p>
      <w:r>
        <w:t>The Student Growth Intelligence Engine (SGIE) provides a paradigm shift in collegiate engineering development. By fusing longitudinal momentum math with pragmatic industry relevance triage, SGIE prevents cognitive overload while elevating technical placement competence. Full source code, benchmark datasets, and interactive dashboards are openly integrated into the Academic Universe platform.</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IEEE TRANSACTIONS ON LEARNING TECHNOLOGIES / ACM LAK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