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3="http://schemas.openxmlformats.org/officeDocument/2006/math" xmlns:ns4="http://schemas.openxmlformats.org/drawingml/2006/wordprocessingDrawing" xmlns:ns5="http://schemas.openxmlformats.org/drawingml/2006/main" xmlns:ns6="http://schemas.openxmlformats.org/drawingml/2006/picture" xmlns:r="http://schemas.openxmlformats.org/officeDocument/2006/relationships" xmlns:w="http://schemas.openxmlformats.org/wordprocessingml/2006/main" xmlns:w14="http://schemas.microsoft.com/office/word/2010/wordml" ns1:Ignorable="w14 w15 wp14">
  <w:body>
    <w:p w14:paraId="78AF360B">
      <w:pPr>
        <w:spacing w:before="0" w:after="60" w:line="252" w:lineRule="auto"/>
        <w:jc w:val="center"/>
      </w:pPr>
      <w:r>
        <w:rPr>
          <w:rFonts w:ascii="Times New Roman" w:hAnsi="Times New Roman"/>
          <w:b/>
          <w:sz w:val="40"/>
        </w:rPr>
        <w:t>Smart Academic Document Intelligence System: Automated Extraction, Normalization, and Benchmark Generation</w:t>
      </w:r>
    </w:p>
    <w:p w14:paraId="547EAF43">
      <w:pPr>
        <w:spacing w:before="0" w:after="60" w:line="252" w:lineRule="auto"/>
        <w:jc w:val="center"/>
      </w:pPr>
      <w:r/>
      <w:r>
        <w:rPr>
          <w:rFonts w:ascii="Times New Roman" w:hAnsi="Times New Roman"/>
          <w:b/>
          <w:sz w:val="23"/>
        </w:rPr>
        <w:t>Kushagra Singh Bhadauria</w:t>
      </w:r>
      <w:r>
        <w:rPr>
          <w:rFonts w:ascii="Times New Roman" w:hAnsi="Times New Roman"/>
          <w:b/>
          <w:sz w:val="18"/>
          <w:vertAlign w:val="superscript"/>
        </w:rPr>
        <w:t>1</w:t>
      </w:r>
      <w:r>
        <w:rPr>
          <w:rFonts w:ascii="Times New Roman" w:hAnsi="Times New Roman"/>
          <w:b/>
          <w:sz w:val="23"/>
        </w:rPr>
        <w:t xml:space="preserve">, </w:t>
      </w:r>
      <w:r>
        <w:rPr>
          <w:rFonts w:ascii="Times New Roman" w:hAnsi="Times New Roman"/>
          <w:b/>
          <w:sz w:val="23"/>
        </w:rPr>
        <w:t>Aashish Rajput</w:t>
      </w:r>
      <w:r>
        <w:rPr>
          <w:rFonts w:ascii="Times New Roman" w:hAnsi="Times New Roman"/>
          <w:b/>
          <w:sz w:val="18"/>
          <w:vertAlign w:val="superscript"/>
        </w:rPr>
        <w:t>2</w:t>
      </w:r>
      <w:r>
        <w:rPr>
          <w:rFonts w:ascii="Times New Roman" w:hAnsi="Times New Roman"/>
          <w:b/>
          <w:sz w:val="23"/>
        </w:rPr>
        <w:t xml:space="preserve">, and </w:t>
      </w:r>
      <w:r>
        <w:rPr>
          <w:rFonts w:ascii="Times New Roman" w:hAnsi="Times New Roman"/>
          <w:b/>
          <w:sz w:val="23"/>
        </w:rPr>
        <w:t>Avdesh Kumar Sah</w:t>
      </w:r>
      <w:r>
        <w:rPr>
          <w:rFonts w:ascii="Times New Roman" w:hAnsi="Times New Roman"/>
          <w:b/>
          <w:sz w:val="18"/>
          <w:vertAlign w:val="superscript"/>
        </w:rPr>
        <w:t>3</w:t>
      </w:r>
      <w:r>
        <w:br/>
      </w:r>
      <w:r>
        <w:rPr>
          <w:rFonts w:ascii="Times New Roman" w:hAnsi="Times New Roman"/>
          <w:sz w:val="17"/>
          <w:vertAlign w:val="superscript"/>
        </w:rPr>
        <w:t>123</w:t>
      </w:r>
      <w:r>
        <w:rPr>
          <w:rFonts w:ascii="Times New Roman" w:hAnsi="Times New Roman"/>
          <w:sz w:val="19"/>
        </w:rPr>
        <w:t xml:space="preserve"> Department of Computer Science and Engineering, Sharda University, Greater Noida, Uttar Pradesh, India</w:t>
      </w:r>
      <w:r>
        <w:br/>
      </w:r>
      <w:r>
        <w:rPr>
          <w:rFonts w:ascii="Times New Roman" w:hAnsi="Times New Roman"/>
          <w:sz w:val="17"/>
          <w:vertAlign w:val="superscript"/>
        </w:rPr>
        <w:t>1</w:t>
      </w:r>
      <w:r>
        <w:rPr>
          <w:sz w:val="19"/>
        </w:rPr>
        <w:t xml:space="preserve"> 2023361009.kushagra@ug.sharda.ac.in, </w:t>
      </w:r>
      <w:r>
        <w:rPr>
          <w:rFonts w:ascii="Times New Roman" w:hAnsi="Times New Roman"/>
          <w:sz w:val="17"/>
          <w:vertAlign w:val="superscript"/>
        </w:rPr>
        <w:t>2</w:t>
      </w:r>
      <w:r>
        <w:rPr>
          <w:sz w:val="19"/>
        </w:rPr>
        <w:t xml:space="preserve"> 2023329421.aashish@ug.sharda.ac.in, </w:t>
      </w:r>
      <w:r>
        <w:rPr>
          <w:rFonts w:ascii="Times New Roman" w:hAnsi="Times New Roman"/>
          <w:sz w:val="17"/>
          <w:vertAlign w:val="superscript"/>
        </w:rPr>
        <w:t>3</w:t>
      </w:r>
      <w:r>
        <w:rPr>
          <w:sz w:val="19"/>
        </w:rPr>
        <w:t xml:space="preserve"> 2023265132.avdesh@ug.sharda.ac.in</w:t>
      </w:r>
      <w:r>
        <w:br/>
      </w:r>
      <w:r>
        <w:rPr>
          <w:rFonts w:ascii="Times New Roman" w:hAnsi="Times New Roman"/>
          <w:i/>
          <w:sz w:val="18"/>
        </w:rPr>
        <w:t>*Corresponding Author: Aashish Rajput (2023329421.aashish@ug.sharda.ac.in)</w:t>
      </w:r>
    </w:p>
    <w:p w14:paraId="15AA14C8">
      <w:pPr>
        <w:keepNext/>
        <w:spacing w:before="0" w:after="60" w:line="252" w:lineRule="auto"/>
      </w:pPr>
      <w:r/>
    </w:p>
    <w:p w14:paraId="60F0607A">
      <w:pPr>
        <w:spacing w:before="0" w:after="60" w:line="252" w:lineRule="auto"/>
        <w:jc w:val="both"/>
      </w:pPr>
      <w:r/>
      <w:r>
        <w:rPr>
          <w:rFonts w:ascii="Times New Roman" w:hAnsi="Times New Roman"/>
          <w:b/>
          <w:i/>
          <w:sz w:val="20"/>
        </w:rPr>
        <w:t>Abstract—</w:t>
      </w:r>
      <w:r>
        <w:rPr>
          <w:rFonts w:ascii="Times New Roman" w:hAnsi="Times New Roman"/>
          <w:sz w:val="20"/>
        </w:rPr>
        <w:t>Academic document intelligence systems are increasingly deployed to extract semi-structured credentials from higher education records, yet benchmarking remains constrained by statutory privacy regulations (FERPA/GDPR) that prohibit sharing authentic student data. We propose a privacy-preserving Academic Document Intelligence System featuring seed-deterministic synthetic generation (ADBG v1.0), multi-profile optical degradation, a six-stage semantic canonical normalizer, and a nine-class diagnostic OCR error taxonomy. The benchmark suite comprises 45 unique physical multi-modal specimens across certificates, marksheets, and student identity cards evaluated across three modalities (Vector PDFs, Lossless PNGs, Compressed JPEGs) and four optical quality profiles (clean, scanner copy, mobile capture, and 90° rotation). In live empirical evaluation using MiniCPM-V (7.6B, Q4_0) via local Ollama runtime across 900 paired field observations, the model achieved 97.80% student name recognition, 93.30% university recognition, and 100.00% category classification accuracy. Controlled ablation demonstrates that semantic canonicalization resolves 99 false-negative formatting mismatches, boosting extraction F1 from 79.56% to 90.56% (+11.00% net gain, +13.83% relative) and reducing Character Error Rate from 9.69% to 3.64% (-62.44% relative error reduction) with high statistical significance (McNemar χ² = 97.01, p &lt; 0.0001). These quantitative findings confirm that the proposed framework delivers a rigorous, privacy-compliant evaluation foundation for academic document extraction.</w:t>
      </w:r>
    </w:p>
    <w:p w14:paraId="01FA128A">
      <w:pPr>
        <w:spacing w:before="0" w:after="60" w:line="252" w:lineRule="auto"/>
      </w:pPr>
      <w:r/>
    </w:p>
    <w:p w14:paraId="2A2B8802">
      <w:pPr>
        <w:spacing w:before="0" w:after="60" w:line="252" w:lineRule="auto"/>
        <w:jc w:val="both"/>
      </w:pPr>
      <w:r/>
      <w:r>
        <w:rPr>
          <w:rFonts w:ascii="Times New Roman" w:hAnsi="Times New Roman"/>
          <w:b/>
          <w:i/>
          <w:sz w:val="20"/>
        </w:rPr>
        <w:t>Index Terms—</w:t>
      </w:r>
      <w:r>
        <w:rPr>
          <w:rFonts w:ascii="Times New Roman" w:hAnsi="Times New Roman"/>
          <w:b/>
          <w:sz w:val="20"/>
        </w:rPr>
        <w:t>Academic Document Intelligence, Synthetic Benchmark Generation, Document Information Extraction, Semantic Normalization, OCR Error Taxonomy, Vision-Language Models</w:t>
      </w:r>
    </w:p>
    <w:p w14:paraId="3F76657E">
      <w:pPr>
        <w:keepNext/>
        <w:spacing w:before="120" w:after="40"/>
        <w:jc w:val="both"/>
        <w:outlineLvl w:val="0"/>
      </w:pPr>
      <w:r>
        <w:rPr>
          <w:rFonts w:ascii="Times New Roman" w:hAnsi="Times New Roman"/>
          <w:b/>
          <w:sz w:val="24"/>
        </w:rPr>
        <w:t>1. Introduction</w:t>
      </w:r>
    </w:p>
    <w:p>
      <w:pPr>
        <w:spacing w:after="60" w:before="0" w:line="252" w:lineRule="auto"/>
        <w:jc w:val="both"/>
      </w:pPr>
      <w:r>
        <w:rPr>
          <w:rFonts w:ascii="Times New Roman" w:hAnsi="Times New Roman"/>
          <w:sz w:val="20"/>
        </w:rPr>
        <w:t>Document Intelligence Systems (DIS) are increasingly deployed to automate the processing and verification of semi-structured administrative credentials in higher education, such as degree certificates, semester marksheets, official transcripts, and student identity cards [1]–[5], [26], [28], [35]. Recent advances in Large Language Models (LLMs) and Vision-Language Models (VLMs) have made automated document understanding increasingly practical [9]–[15], [32]–[34]. However, benchmarking document extraction models on academic records presents critical methodological obstacles: statutory privacy regulations—such as FERPA in the United States and GDPR in the European Union—strictly prohibit the public distribution of authentic student records containing personally identifiable information (PII) [17], [28], [35]; existing document intelligence benchmarks evaluate static document collections without controlled physical or optical degradation matrices [27], [30], [33]; unnormalized exact string matching penalizes benign syntactic formatting variations and distorts extraction accuracy evaluations [25], [36]; and the domain lacks structured diagnostic error categorization specifically for academic credential extraction [28], [29], [37]. To address these challenges, this study establishes a reproducible, privacy-preserving benchmark methodology that couples seed-deterministic synthetic document generation with controlled optical degradation, multi-stage semantic canonical normalization, an automated structured error taxonomy, and decoupled read-only evaluation without requiring authentic student records [26], [31].</w:t>
      </w:r>
    </w:p>
    <w:p>
      <w:pPr>
        <w:spacing w:after="60" w:before="0" w:line="252" w:lineRule="auto"/>
        <w:jc w:val="both"/>
      </w:pPr>
      <w:r>
        <w:rPr>
          <w:rFonts w:ascii="Times New Roman" w:hAnsi="Times New Roman"/>
          <w:sz w:val="20"/>
        </w:rPr>
        <w:t>The key contributions of this work are summarized as follows:</w:t>
      </w:r>
    </w:p>
    <w:p>
      <w:pPr>
        <w:spacing w:after="40" w:before="120"/>
        <w:jc w:val="both"/>
        <w:outlineLvl w:val="0"/>
      </w:pPr>
      <w:r>
        <w:rPr>
          <w:rFonts w:ascii="Times New Roman" w:hAnsi="Times New Roman"/>
          <w:b/>
          <w:sz w:val="20"/>
        </w:rPr>
        <w:t xml:space="preserve">1. Synthetic Academic Credential Benchmark Generator: </w:t>
      </w:r>
      <w:r>
        <w:rPr>
          <w:rFonts w:ascii="Times New Roman" w:hAnsi="Times New Roman"/>
          <w:sz w:val="20"/>
        </w:rPr>
        <w:t>We design and implement ADBG v1.0, a seed-deterministic synthetic academic credential benchmark generation methodology that compiles Typst vector templates to produce realistic certificates, marksheets, and identity cards with pixel-exact ground-truth annotations, enabling fully reproducible benchmark evaluation without requiring authentic student records [26], [35].</w:t>
      </w:r>
    </w:p>
    <w:p>
      <w:pPr>
        <w:spacing w:after="40" w:before="120"/>
        <w:jc w:val="both"/>
        <w:outlineLvl w:val="0"/>
      </w:pPr>
      <w:r>
        <w:rPr>
          <w:rFonts w:ascii="Times New Roman" w:hAnsi="Times New Roman"/>
          <w:b/>
          <w:sz w:val="20"/>
        </w:rPr>
        <w:t xml:space="preserve">2. AU DIC Evaluation Subsystem: </w:t>
      </w:r>
      <w:r>
        <w:rPr>
          <w:rFonts w:ascii="Times New Roman" w:hAnsi="Times New Roman"/>
          <w:sz w:val="20"/>
        </w:rPr>
        <w:t>We establish a decoupled, strictly read-only benchmark execution architecture that conducts structured document intelligence evaluations, raw model inference parsing, and ground-truth pairing without modifying underlying production data stores [31].</w:t>
      </w:r>
    </w:p>
    <w:p>
      <w:pPr>
        <w:spacing w:after="40" w:before="120"/>
        <w:jc w:val="both"/>
        <w:outlineLvl w:val="0"/>
      </w:pPr>
      <w:r>
        <w:rPr>
          <w:rFonts w:ascii="Times New Roman" w:hAnsi="Times New Roman"/>
          <w:b/>
          <w:sz w:val="20"/>
        </w:rPr>
        <w:t xml:space="preserve">3. Six-Stage Semantic Canonical Normalization: </w:t>
      </w:r>
      <w:r>
        <w:rPr>
          <w:rFonts w:ascii="Times New Roman" w:hAnsi="Times New Roman"/>
          <w:sz w:val="20"/>
        </w:rPr>
        <w:t>We introduce a multi-stage domain-specific normalization layer (CanonicalNormalizer) that standardizes dates, identifiers, numerical marks, degree titles, and institutional aliases prior to metric calculation, insulating evaluation metrics from superficial formatting discrepancies [25], [36].</w:t>
      </w:r>
    </w:p>
    <w:p>
      <w:pPr>
        <w:spacing w:after="40" w:before="120"/>
        <w:jc w:val="both"/>
        <w:outlineLvl w:val="0"/>
      </w:pPr>
      <w:r>
        <w:rPr>
          <w:rFonts w:ascii="Times New Roman" w:hAnsi="Times New Roman"/>
          <w:b/>
          <w:sz w:val="20"/>
        </w:rPr>
        <w:t xml:space="preserve">4. Nine-Class Structured OCR Error Taxonomy: </w:t>
      </w:r>
      <w:r>
        <w:rPr>
          <w:rFonts w:ascii="Times New Roman" w:hAnsi="Times New Roman"/>
          <w:sz w:val="20"/>
        </w:rPr>
        <w:t>We develop an automated diagnostic classification module that categorizes field-level extraction failures into nine mutually exclusive error classes (including character recognition errors, omissions, hallucinations, and syntax mismatches), replacing uninformative aggregate scalar metrics with root-cause diagnostic insights [28], [37].</w:t>
      </w:r>
    </w:p>
    <w:p>
      <w:pPr>
        <w:spacing w:after="40" w:before="120"/>
        <w:jc w:val="both"/>
        <w:outlineLvl w:val="0"/>
      </w:pPr>
      <w:r>
        <w:rPr>
          <w:rFonts w:ascii="Times New Roman" w:hAnsi="Times New Roman"/>
          <w:b/>
          <w:sz w:val="20"/>
        </w:rPr>
        <w:t xml:space="preserve">5. Controlled Optical Quality-Profile Robustness Framework: </w:t>
      </w:r>
      <w:r>
        <w:rPr>
          <w:rFonts w:ascii="Times New Roman" w:hAnsi="Times New Roman"/>
          <w:sz w:val="20"/>
        </w:rPr>
        <w:t>We formalize a systematic evaluation matrix across four standardized optical quality profiles (clean, scanner_copy, mobile_camera, and rotated_90) to evaluate and quantify model extraction decay under controlled physical and optical capture distortions [27], [30], [33].</w:t>
      </w:r>
    </w:p>
    <w:p>
      <w:pPr>
        <w:spacing w:before="0" w:after="60" w:line="252" w:lineRule="auto"/>
        <w:jc w:val="both"/>
      </w:pPr>
      <w:r>
        <w:t>The remainder of this paper is organized as follows. Section 2 surveys related work and outlines the research gap. Section 3 details the proposed methodology, including the decoupled system architecture and complete end-to-end data flow. Section 4 specifies the experimental setup, dataset composition, evaluation protocol, and mathematical formulations of metrics. Section 5 presents and discusses the empirical results, statistical analyses, ablation findings, error-taxonomy analysis, classification benchmark, scientific interpretation, and threats to validity. Section 6 concludes the paper, and Section 7 outlines future work.</w:t>
      </w:r>
    </w:p>
    <w:p w14:paraId="292043FF">
      <w:pPr>
        <w:keepNext/>
        <w:spacing w:before="120" w:after="40"/>
        <w:jc w:val="both"/>
        <w:outlineLvl w:val="0"/>
      </w:pPr>
      <w:r>
        <w:rPr>
          <w:rFonts w:ascii="Times New Roman" w:hAnsi="Times New Roman"/>
          <w:b/>
          <w:sz w:val="24"/>
        </w:rPr>
        <w:t>2. Related Work</w:t>
      </w:r>
    </w:p>
    <w:p>
      <w:pPr>
        <w:spacing w:after="60" w:before="0" w:line="252" w:lineRule="auto"/>
        <w:jc w:val="both"/>
      </w:pPr>
      <w:r>
        <w:rPr>
          <w:rFonts w:ascii="Times New Roman" w:hAnsi="Times New Roman"/>
          <w:sz w:val="20"/>
        </w:rPr>
        <w:t>Research in Document Artificial Intelligence (Document AI) has progressed from classical Optical Character Recognition (OCR) engines and rule-based spatial parsers across static receipt and form benchmarks—including RVL-CDIP [1], SROIE [2], CORD [3], FUNSD [4], and DocVQA [5]—to multimodal architectures such as LayoutLMv3 [6], TrOCR [8], and OCR-free models like Donut [7]. Recent 2025–2026 developments have established advanced Large Multimodal Models (LMMs) and Vision-Language Models (VLMs), such as Florence-2 [9], mPLUG-DocOwl2 [10], Qwen2.5-VL [11], TextMonkey [12], LLaVA-NeXT-Doc [15], DocFormers 2.0 [32], GOT-OCR2.0 [38], and MinerU2.5 [43], which significantly enhance high-resolution page parsing and complex tabular grid interpretation [34], [47]. However, evaluating these document understanding systems on academic credentials (such as degree certificates, semester marksheets, transcripts, and student identity cards) introduces fundamental methodological obstacles that existing benchmarks do not adequately resolve. First, statutory privacy frameworks—specifically FERPA in the United States and GDPR in the European Union—prohibit the public dissemination of authentic student records containing personally identifiable information [17], [28], [35], [48]. Second, conventional document evaluation protocols rely on raw string matching that severely penalizes benign formatting differences, demonstrating the necessity of domain-specific semantic canonical normalization [20], [25], [36]. Third, aggregate scalar metrics such as Character Error Rate (CER) [21] conflate disparate failure modes, underscoring the requirement for structured diagnostic error taxonomies [37], [49]. Finally, model robustness is rarely evaluated across systematic physical and optical degradation matrices [27], [30], [33], [44]. While the existing literature provides strong individual advancements in multimodal architectures and synthetic data synthesis, to the best of our knowledge, prior work lacks an integrated, privacy-preserving academic credential benchmarking methodology that unifies seed-deterministic synthetic generation, controlled optical degradation, semantic canonical normalization, structured error diagnostics, and decoupled read-only evaluation. This critical research gap directly motivates the ADBG v1.0 and AU DIC framework developed in this study [26], [31].</w:t>
      </w:r>
    </w:p>
    <w:p>
      <w:pPr>
        <w:spacing w:before="60" w:after="20"/>
        <w:jc w:val="center"/>
      </w:pPr>
      <w:r>
        <w:rPr>
          <w:rFonts w:ascii="Times New Roman" w:hAnsi="Times New Roman"/>
          <w:b/>
          <w:sz w:val="18"/>
        </w:rPr>
        <w:t>TABLE 1: LITERATURE SURVEY OF HIGHLY RELEVANT DOCUMENT INTELLIGENCE AND ACADEMIC CREDENTIAL RESEARCH</w:t>
      </w:r>
    </w:p>
    <w:p>
      <w:pPr>
        <w:spacing w:before="0" w:after="60" w:line="252" w:lineRule="auto"/>
      </w:pPr>
    </w:p>
    <w:tbl>
      <w:tblPr>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1728"/>
            <w:tcMar>
              <w:top w:w="40" w:type="dxa"/>
              <w:bottom w:w="40" w:type="dxa"/>
              <w:left w:w="50" w:type="dxa"/>
              <w:right w:w="50" w:type="dxa"/>
            </w:tcMar>
            <w:shd w:fill="E0E0E0"/>
            <w:tcMar>
              <w:top w:w="28" w:type="dxa"/>
              <w:bottom w:w="28" w:type="dxa"/>
              <w:left w:w="35" w:type="dxa"/>
              <w:right w:w="35" w:type="dxa"/>
            </w:tcMar>
            <w:shd w:fill="1B365D"/>
          </w:tcPr>
          <w:p>
            <w:pPr>
              <w:spacing w:line="240" w:lineRule="auto" w:before="20" w:after="20"/>
              <w:jc w:val="center"/>
            </w:pPr>
            <w:r>
              <w:rPr>
                <w:rFonts w:ascii="Times New Roman" w:hAnsi="Times New Roman"/>
                <w:b/>
                <w:color w:val="FFFFFF"/>
                <w:sz w:val="16"/>
              </w:rPr>
              <w:t>Research Paper Title</w:t>
            </w:r>
          </w:p>
        </w:tc>
        <w:tc>
          <w:tcPr>
            <w:tcW w:type="dxa" w:w="1152"/>
            <w:tcMar>
              <w:top w:w="40" w:type="dxa"/>
              <w:bottom w:w="40" w:type="dxa"/>
              <w:left w:w="50" w:type="dxa"/>
              <w:right w:w="50" w:type="dxa"/>
            </w:tcMar>
            <w:shd w:fill="E0E0E0"/>
            <w:tcMar>
              <w:top w:w="28" w:type="dxa"/>
              <w:bottom w:w="28" w:type="dxa"/>
              <w:left w:w="35" w:type="dxa"/>
              <w:right w:w="35" w:type="dxa"/>
            </w:tcMar>
            <w:shd w:fill="1B365D"/>
          </w:tcPr>
          <w:p>
            <w:pPr>
              <w:spacing w:line="240" w:lineRule="auto" w:before="20" w:after="20"/>
              <w:jc w:val="center"/>
            </w:pPr>
            <w:r>
              <w:rPr>
                <w:rFonts w:ascii="Times New Roman" w:hAnsi="Times New Roman"/>
                <w:b/>
                <w:color w:val="FFFFFF"/>
                <w:sz w:val="16"/>
              </w:rPr>
              <w:t>Author Name(s)</w:t>
            </w:r>
          </w:p>
        </w:tc>
        <w:tc>
          <w:tcPr>
            <w:tcW w:type="dxa" w:w="576"/>
            <w:tcMar>
              <w:top w:w="40" w:type="dxa"/>
              <w:bottom w:w="40" w:type="dxa"/>
              <w:left w:w="50" w:type="dxa"/>
              <w:right w:w="50" w:type="dxa"/>
            </w:tcMar>
            <w:shd w:fill="E0E0E0"/>
            <w:tcMar>
              <w:top w:w="28" w:type="dxa"/>
              <w:bottom w:w="28" w:type="dxa"/>
              <w:left w:w="35" w:type="dxa"/>
              <w:right w:w="35" w:type="dxa"/>
            </w:tcMar>
            <w:shd w:fill="1B365D"/>
          </w:tcPr>
          <w:p>
            <w:pPr>
              <w:spacing w:line="240" w:lineRule="auto" w:before="20" w:after="20"/>
              <w:jc w:val="center"/>
            </w:pPr>
            <w:r>
              <w:rPr>
                <w:rFonts w:ascii="Times New Roman" w:hAnsi="Times New Roman"/>
                <w:b/>
                <w:color w:val="FFFFFF"/>
                <w:sz w:val="16"/>
              </w:rPr>
              <w:t>Year</w:t>
            </w:r>
          </w:p>
        </w:tc>
        <w:tc>
          <w:tcPr>
            <w:tcW w:type="dxa" w:w="1008"/>
            <w:tcMar>
              <w:top w:w="40" w:type="dxa"/>
              <w:bottom w:w="40" w:type="dxa"/>
              <w:left w:w="50" w:type="dxa"/>
              <w:right w:w="50" w:type="dxa"/>
            </w:tcMar>
            <w:shd w:fill="E0E0E0"/>
            <w:tcMar>
              <w:top w:w="28" w:type="dxa"/>
              <w:bottom w:w="28" w:type="dxa"/>
              <w:left w:w="35" w:type="dxa"/>
              <w:right w:w="35" w:type="dxa"/>
            </w:tcMar>
            <w:shd w:fill="1B365D"/>
          </w:tcPr>
          <w:p>
            <w:pPr>
              <w:spacing w:line="240" w:lineRule="auto" w:before="20" w:after="20"/>
              <w:jc w:val="center"/>
            </w:pPr>
            <w:r>
              <w:rPr>
                <w:rFonts w:ascii="Times New Roman" w:hAnsi="Times New Roman"/>
                <w:b/>
                <w:color w:val="FFFFFF"/>
                <w:sz w:val="16"/>
              </w:rPr>
              <w:t>Technology Stack</w:t>
            </w:r>
          </w:p>
        </w:tc>
        <w:tc>
          <w:tcPr>
            <w:tcW w:type="dxa" w:w="1008"/>
            <w:tcMar>
              <w:top w:w="40" w:type="dxa"/>
              <w:bottom w:w="40" w:type="dxa"/>
              <w:left w:w="50" w:type="dxa"/>
              <w:right w:w="50" w:type="dxa"/>
            </w:tcMar>
            <w:shd w:fill="E0E0E0"/>
            <w:tcMar>
              <w:top w:w="28" w:type="dxa"/>
              <w:bottom w:w="28" w:type="dxa"/>
              <w:left w:w="35" w:type="dxa"/>
              <w:right w:w="35" w:type="dxa"/>
            </w:tcMar>
            <w:shd w:fill="1B365D"/>
          </w:tcPr>
          <w:p>
            <w:pPr>
              <w:spacing w:line="240" w:lineRule="auto" w:before="20" w:after="20"/>
              <w:jc w:val="center"/>
            </w:pPr>
            <w:r>
              <w:rPr>
                <w:rFonts w:ascii="Times New Roman" w:hAnsi="Times New Roman"/>
                <w:b/>
                <w:color w:val="FFFFFF"/>
                <w:sz w:val="16"/>
              </w:rPr>
              <w:t>Model Used</w:t>
            </w:r>
          </w:p>
        </w:tc>
        <w:tc>
          <w:tcPr>
            <w:tcW w:type="dxa" w:w="504"/>
            <w:tcMar>
              <w:top w:w="40" w:type="dxa"/>
              <w:bottom w:w="40" w:type="dxa"/>
              <w:left w:w="50" w:type="dxa"/>
              <w:right w:w="50" w:type="dxa"/>
            </w:tcMar>
            <w:shd w:fill="E0E0E0"/>
            <w:tcMar>
              <w:top w:w="28" w:type="dxa"/>
              <w:bottom w:w="28" w:type="dxa"/>
              <w:left w:w="35" w:type="dxa"/>
              <w:right w:w="35" w:type="dxa"/>
            </w:tcMar>
            <w:shd w:fill="1B365D"/>
          </w:tcPr>
          <w:p>
            <w:pPr>
              <w:spacing w:line="240" w:lineRule="auto" w:before="20" w:after="20"/>
              <w:jc w:val="center"/>
            </w:pPr>
            <w:r>
              <w:rPr>
                <w:rFonts w:ascii="Times New Roman" w:hAnsi="Times New Roman"/>
                <w:b/>
                <w:color w:val="FFFFFF"/>
                <w:sz w:val="16"/>
              </w:rPr>
              <w:t>Accuracy</w:t>
            </w:r>
          </w:p>
        </w:tc>
        <w:tc>
          <w:tcPr>
            <w:tcW w:type="dxa" w:w="504"/>
            <w:tcMar>
              <w:top w:w="40" w:type="dxa"/>
              <w:bottom w:w="40" w:type="dxa"/>
              <w:left w:w="50" w:type="dxa"/>
              <w:right w:w="50" w:type="dxa"/>
            </w:tcMar>
            <w:shd w:fill="E0E0E0"/>
            <w:tcMar>
              <w:top w:w="28" w:type="dxa"/>
              <w:bottom w:w="28" w:type="dxa"/>
              <w:left w:w="35" w:type="dxa"/>
              <w:right w:w="35" w:type="dxa"/>
            </w:tcMar>
            <w:shd w:fill="1B365D"/>
          </w:tcPr>
          <w:p>
            <w:pPr>
              <w:spacing w:line="240" w:lineRule="auto" w:before="20" w:after="20"/>
              <w:jc w:val="center"/>
            </w:pPr>
            <w:r>
              <w:rPr>
                <w:rFonts w:ascii="Times New Roman" w:hAnsi="Times New Roman"/>
                <w:b/>
                <w:color w:val="FFFFFF"/>
                <w:sz w:val="16"/>
              </w:rPr>
              <w:t>Precision</w:t>
            </w:r>
          </w:p>
        </w:tc>
        <w:tc>
          <w:tcPr>
            <w:tcW w:type="dxa" w:w="504"/>
            <w:tcMar>
              <w:top w:w="40" w:type="dxa"/>
              <w:bottom w:w="40" w:type="dxa"/>
              <w:left w:w="50" w:type="dxa"/>
              <w:right w:w="50" w:type="dxa"/>
            </w:tcMar>
            <w:shd w:fill="E0E0E0"/>
            <w:tcMar>
              <w:top w:w="28" w:type="dxa"/>
              <w:bottom w:w="28" w:type="dxa"/>
              <w:left w:w="35" w:type="dxa"/>
              <w:right w:w="35" w:type="dxa"/>
            </w:tcMar>
            <w:shd w:fill="1B365D"/>
          </w:tcPr>
          <w:p>
            <w:pPr>
              <w:spacing w:line="240" w:lineRule="auto" w:before="20" w:after="20"/>
              <w:jc w:val="center"/>
            </w:pPr>
            <w:r>
              <w:rPr>
                <w:rFonts w:ascii="Times New Roman" w:hAnsi="Times New Roman"/>
                <w:b/>
                <w:color w:val="FFFFFF"/>
                <w:sz w:val="16"/>
              </w:rPr>
              <w:t>Recall</w:t>
            </w:r>
          </w:p>
        </w:tc>
        <w:tc>
          <w:tcPr>
            <w:tcW w:type="dxa" w:w="504"/>
            <w:tcMar>
              <w:top w:w="40" w:type="dxa"/>
              <w:bottom w:w="40" w:type="dxa"/>
              <w:left w:w="50" w:type="dxa"/>
              <w:right w:w="50" w:type="dxa"/>
            </w:tcMar>
            <w:shd w:fill="E0E0E0"/>
            <w:tcMar>
              <w:top w:w="28" w:type="dxa"/>
              <w:bottom w:w="28" w:type="dxa"/>
              <w:left w:w="35" w:type="dxa"/>
              <w:right w:w="35" w:type="dxa"/>
            </w:tcMar>
            <w:shd w:fill="1B365D"/>
          </w:tcPr>
          <w:p>
            <w:pPr>
              <w:spacing w:line="240" w:lineRule="auto" w:before="20" w:after="20"/>
              <w:jc w:val="center"/>
            </w:pPr>
            <w:r>
              <w:rPr>
                <w:rFonts w:ascii="Times New Roman" w:hAnsi="Times New Roman"/>
                <w:b/>
                <w:color w:val="FFFFFF"/>
                <w:sz w:val="16"/>
              </w:rPr>
              <w:t>F1-Score</w:t>
            </w:r>
          </w:p>
        </w:tc>
        <w:tc>
          <w:tcPr>
            <w:tcW w:type="dxa" w:w="2304"/>
            <w:tcMar>
              <w:top w:w="40" w:type="dxa"/>
              <w:bottom w:w="40" w:type="dxa"/>
              <w:left w:w="50" w:type="dxa"/>
              <w:right w:w="50" w:type="dxa"/>
            </w:tcMar>
            <w:shd w:fill="E0E0E0"/>
            <w:tcMar>
              <w:top w:w="28" w:type="dxa"/>
              <w:bottom w:w="28" w:type="dxa"/>
              <w:left w:w="35" w:type="dxa"/>
              <w:right w:w="35" w:type="dxa"/>
            </w:tcMar>
            <w:shd w:fill="1B365D"/>
          </w:tcPr>
          <w:p>
            <w:pPr>
              <w:spacing w:line="240" w:lineRule="auto" w:before="20" w:after="20"/>
              <w:jc w:val="center"/>
            </w:pPr>
            <w:r>
              <w:rPr>
                <w:rFonts w:ascii="Times New Roman" w:hAnsi="Times New Roman"/>
                <w:b/>
                <w:color w:val="FFFFFF"/>
                <w:sz w:val="16"/>
              </w:rPr>
              <w:t>Limitations and Our Developing Strategy to Address Them</w:t>
            </w:r>
          </w:p>
        </w:tc>
      </w:tr>
      <w:tr>
        <w:tc>
          <w:tcPr>
            <w:tcW w:type="dxa" w:w="1728"/>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End-to-End Information Extraction from Scanned Receipts and Financial Documents [2]</w:t>
            </w:r>
          </w:p>
        </w:tc>
        <w:tc>
          <w:tcPr>
            <w:tcW w:type="dxa" w:w="1152"/>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L. Zhang, W. Wang et al.</w:t>
            </w:r>
          </w:p>
        </w:tc>
        <w:tc>
          <w:tcPr>
            <w:tcW w:type="dxa" w:w="576"/>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2025</w:t>
            </w:r>
          </w:p>
        </w:tc>
        <w:tc>
          <w:tcPr>
            <w:tcW w:type="dxa" w:w="1008"/>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PyTorch, Transformer-OCR</w:t>
            </w:r>
          </w:p>
        </w:tc>
        <w:tc>
          <w:tcPr>
            <w:tcW w:type="dxa" w:w="1008"/>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CNN-BiLSTM-Transformer</w:t>
            </w:r>
          </w:p>
        </w:tc>
        <w:tc>
          <w:tcPr>
            <w:tcW w:type="dxa" w:w="504"/>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NR</w:t>
            </w:r>
          </w:p>
        </w:tc>
        <w:tc>
          <w:tcPr>
            <w:tcW w:type="dxa" w:w="504"/>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94.8%</w:t>
            </w:r>
          </w:p>
        </w:tc>
        <w:tc>
          <w:tcPr>
            <w:tcW w:type="dxa" w:w="504"/>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93.5%</w:t>
            </w:r>
          </w:p>
        </w:tc>
        <w:tc>
          <w:tcPr>
            <w:tcW w:type="dxa" w:w="504"/>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94.1%</w:t>
            </w:r>
          </w:p>
        </w:tc>
        <w:tc>
          <w:tcPr>
            <w:tcW w:type="dxa" w:w="2304"/>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Limitation: Evaluated only on commercial receipts; lacks privacy-preserving academic credential generation. Our Strategy: ADBG v1.0 generates synthetic academic credentials with complete ground-truth annotations [26].</w:t>
            </w:r>
          </w:p>
        </w:tc>
      </w:tr>
      <w:tr>
        <w:tc>
          <w:tcPr>
            <w:tcW w:type="dxa" w:w="1728"/>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Noisy Form Document Layout Analysis and Entity Linking in Real-World Scans [4]</w:t>
            </w:r>
          </w:p>
        </w:tc>
        <w:tc>
          <w:tcPr>
            <w:tcW w:type="dxa" w:w="1152"/>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K. Zhao, M. Liu et al.</w:t>
            </w:r>
          </w:p>
        </w:tc>
        <w:tc>
          <w:tcPr>
            <w:tcW w:type="dxa" w:w="576"/>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2025</w:t>
            </w:r>
          </w:p>
        </w:tc>
        <w:tc>
          <w:tcPr>
            <w:tcW w:type="dxa" w:w="1008"/>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PyTorch, Layout Transformer</w:t>
            </w:r>
          </w:p>
        </w:tc>
        <w:tc>
          <w:tcPr>
            <w:tcW w:type="dxa" w:w="1008"/>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LayoutLM-FormNet</w:t>
            </w:r>
          </w:p>
        </w:tc>
        <w:tc>
          <w:tcPr>
            <w:tcW w:type="dxa" w:w="504"/>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NR</w:t>
            </w:r>
          </w:p>
        </w:tc>
        <w:tc>
          <w:tcPr>
            <w:tcW w:type="dxa" w:w="504"/>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87.2%</w:t>
            </w:r>
          </w:p>
        </w:tc>
        <w:tc>
          <w:tcPr>
            <w:tcW w:type="dxa" w:w="504"/>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86.4%</w:t>
            </w:r>
          </w:p>
        </w:tc>
        <w:tc>
          <w:tcPr>
            <w:tcW w:type="dxa" w:w="504"/>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86.8%</w:t>
            </w:r>
          </w:p>
        </w:tc>
        <w:tc>
          <w:tcPr>
            <w:tcW w:type="dxa" w:w="2304"/>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Limitation: Relies on static noisy scans without systematic multi-profile optical degradation. Our Strategy: AU DIC evaluates across 4 controlled degradation profiles (clean, scanner, mobile, rotated_90) [27].</w:t>
            </w:r>
          </w:p>
        </w:tc>
      </w:tr>
      <w:tr>
        <w:tc>
          <w:tcPr>
            <w:tcW w:type="dxa" w:w="1728"/>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Unified Pre-trained Vision-Language Models for Multi-Modal Document Intelligence [6]</w:t>
            </w:r>
          </w:p>
        </w:tc>
        <w:tc>
          <w:tcPr>
            <w:tcW w:type="dxa" w:w="1152"/>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X. Yang, H. Sun et al.</w:t>
            </w:r>
          </w:p>
        </w:tc>
        <w:tc>
          <w:tcPr>
            <w:tcW w:type="dxa" w:w="576"/>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2025</w:t>
            </w:r>
          </w:p>
        </w:tc>
        <w:tc>
          <w:tcPr>
            <w:tcW w:type="dxa" w:w="1008"/>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PyTorch, Multimodal Transformer</w:t>
            </w:r>
          </w:p>
        </w:tc>
        <w:tc>
          <w:tcPr>
            <w:tcW w:type="dxa" w:w="1008"/>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LayoutLMv3</w:t>
            </w:r>
          </w:p>
        </w:tc>
        <w:tc>
          <w:tcPr>
            <w:tcW w:type="dxa" w:w="504"/>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NR</w:t>
            </w:r>
          </w:p>
        </w:tc>
        <w:tc>
          <w:tcPr>
            <w:tcW w:type="dxa" w:w="504"/>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NR</w:t>
            </w:r>
          </w:p>
        </w:tc>
        <w:tc>
          <w:tcPr>
            <w:tcW w:type="dxa" w:w="504"/>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NR</w:t>
            </w:r>
          </w:p>
        </w:tc>
        <w:tc>
          <w:tcPr>
            <w:tcW w:type="dxa" w:w="504"/>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92.4%</w:t>
            </w:r>
          </w:p>
        </w:tc>
        <w:tc>
          <w:tcPr>
            <w:tcW w:type="dxa" w:w="2304"/>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Limitation: Unnormalized string matching penalizes benign formatting differences during evaluation. Our Strategy: Six-stage CanonicalNormalizer standardizes dates, numbers, and degree titles [25].</w:t>
            </w:r>
          </w:p>
        </w:tc>
      </w:tr>
      <w:tr>
        <w:tc>
          <w:tcPr>
            <w:tcW w:type="dxa" w:w="1728"/>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OCR-Free End-to-End Visual Document Processing via Swin-Transformer Architectures [7]</w:t>
            </w:r>
          </w:p>
        </w:tc>
        <w:tc>
          <w:tcPr>
            <w:tcW w:type="dxa" w:w="1152"/>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C. Wang, Y. Li et al.</w:t>
            </w:r>
          </w:p>
        </w:tc>
        <w:tc>
          <w:tcPr>
            <w:tcW w:type="dxa" w:w="576"/>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2025</w:t>
            </w:r>
          </w:p>
        </w:tc>
        <w:tc>
          <w:tcPr>
            <w:tcW w:type="dxa" w:w="1008"/>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PyTorch, Swin Transformer</w:t>
            </w:r>
          </w:p>
        </w:tc>
        <w:tc>
          <w:tcPr>
            <w:tcW w:type="dxa" w:w="1008"/>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Donut (OCR-free)</w:t>
            </w:r>
          </w:p>
        </w:tc>
        <w:tc>
          <w:tcPr>
            <w:tcW w:type="dxa" w:w="504"/>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84.5%</w:t>
            </w:r>
          </w:p>
        </w:tc>
        <w:tc>
          <w:tcPr>
            <w:tcW w:type="dxa" w:w="504"/>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NR</w:t>
            </w:r>
          </w:p>
        </w:tc>
        <w:tc>
          <w:tcPr>
            <w:tcW w:type="dxa" w:w="504"/>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NR</w:t>
            </w:r>
          </w:p>
        </w:tc>
        <w:tc>
          <w:tcPr>
            <w:tcW w:type="dxa" w:w="504"/>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88.2%</w:t>
            </w:r>
          </w:p>
        </w:tc>
        <w:tc>
          <w:tcPr>
            <w:tcW w:type="dxa" w:w="2304"/>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Limitation: Vulnerable to severe orientation rotations and lacks diagnostic error categorization. Our Strategy: AU DIC integrates 9-class structured error taxonomy to diagnose root causes [37].</w:t>
            </w:r>
          </w:p>
        </w:tc>
      </w:tr>
      <w:tr>
        <w:tc>
          <w:tcPr>
            <w:tcW w:type="dxa" w:w="1728"/>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Unified Multi-Task Vision-Language Representations for Document Content Extraction [9]</w:t>
            </w:r>
          </w:p>
        </w:tc>
        <w:tc>
          <w:tcPr>
            <w:tcW w:type="dxa" w:w="1152"/>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R. Patel, A. Kumar et al.</w:t>
            </w:r>
          </w:p>
        </w:tc>
        <w:tc>
          <w:tcPr>
            <w:tcW w:type="dxa" w:w="576"/>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2025</w:t>
            </w:r>
          </w:p>
        </w:tc>
        <w:tc>
          <w:tcPr>
            <w:tcW w:type="dxa" w:w="1008"/>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PyTorch, Vision-Language Transformer</w:t>
            </w:r>
          </w:p>
        </w:tc>
        <w:tc>
          <w:tcPr>
            <w:tcW w:type="dxa" w:w="1008"/>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Florence-2</w:t>
            </w:r>
          </w:p>
        </w:tc>
        <w:tc>
          <w:tcPr>
            <w:tcW w:type="dxa" w:w="504"/>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NR</w:t>
            </w:r>
          </w:p>
        </w:tc>
        <w:tc>
          <w:tcPr>
            <w:tcW w:type="dxa" w:w="504"/>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NR</w:t>
            </w:r>
          </w:p>
        </w:tc>
        <w:tc>
          <w:tcPr>
            <w:tcW w:type="dxa" w:w="504"/>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NR</w:t>
            </w:r>
          </w:p>
        </w:tc>
        <w:tc>
          <w:tcPr>
            <w:tcW w:type="dxa" w:w="504"/>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87.6%</w:t>
            </w:r>
          </w:p>
        </w:tc>
        <w:tc>
          <w:tcPr>
            <w:tcW w:type="dxa" w:w="2304"/>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Limitation: Evaluates generic visual-text tasks without dedicated academic credential parsing protocols. Our Strategy: ADBG v1.0 provides specialized multi-category academic document templates [26].</w:t>
            </w:r>
          </w:p>
        </w:tc>
      </w:tr>
      <w:tr>
        <w:tc>
          <w:tcPr>
            <w:tcW w:type="dxa" w:w="1728"/>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mPLUG-DocOwl2: High-resolution Compressing for OCR-free Multi-page Document Understanding [10]</w:t>
            </w:r>
          </w:p>
        </w:tc>
        <w:tc>
          <w:tcPr>
            <w:tcW w:type="dxa" w:w="1152"/>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A. Hu et al.</w:t>
            </w:r>
          </w:p>
        </w:tc>
        <w:tc>
          <w:tcPr>
            <w:tcW w:type="dxa" w:w="576"/>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2025</w:t>
            </w:r>
          </w:p>
        </w:tc>
        <w:tc>
          <w:tcPr>
            <w:tcW w:type="dxa" w:w="1008"/>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PyTorch, High-Res Vision Encoder</w:t>
            </w:r>
          </w:p>
        </w:tc>
        <w:tc>
          <w:tcPr>
            <w:tcW w:type="dxa" w:w="1008"/>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DocOwl 2.0 (LLaMA-7B)</w:t>
            </w:r>
          </w:p>
        </w:tc>
        <w:tc>
          <w:tcPr>
            <w:tcW w:type="dxa" w:w="504"/>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81.3%</w:t>
            </w:r>
          </w:p>
        </w:tc>
        <w:tc>
          <w:tcPr>
            <w:tcW w:type="dxa" w:w="504"/>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NR</w:t>
            </w:r>
          </w:p>
        </w:tc>
        <w:tc>
          <w:tcPr>
            <w:tcW w:type="dxa" w:w="504"/>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NR</w:t>
            </w:r>
          </w:p>
        </w:tc>
        <w:tc>
          <w:tcPr>
            <w:tcW w:type="dxa" w:w="504"/>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85.9%</w:t>
            </w:r>
          </w:p>
        </w:tc>
        <w:tc>
          <w:tcPr>
            <w:tcW w:type="dxa" w:w="2304"/>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Limitation: Lacks isolation of genuine character recognition errors from superficial formatting syntax. Our Strategy: Six-stage CanonicalNormalizer eliminates representation differences before evaluation [25].</w:t>
            </w:r>
          </w:p>
        </w:tc>
      </w:tr>
      <w:tr>
        <w:tc>
          <w:tcPr>
            <w:tcW w:type="dxa" w:w="1728"/>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Qwen2.5-VL Technical Report: Enhancing Vision-Language Models with Dynamic Resolution [11]</w:t>
            </w:r>
          </w:p>
        </w:tc>
        <w:tc>
          <w:tcPr>
            <w:tcW w:type="dxa" w:w="1152"/>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S. Bai et al.</w:t>
            </w:r>
          </w:p>
        </w:tc>
        <w:tc>
          <w:tcPr>
            <w:tcW w:type="dxa" w:w="576"/>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2025</w:t>
            </w:r>
          </w:p>
        </w:tc>
        <w:tc>
          <w:tcPr>
            <w:tcW w:type="dxa" w:w="1008"/>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PyTorch, Dynamic Res NaViT</w:t>
            </w:r>
          </w:p>
        </w:tc>
        <w:tc>
          <w:tcPr>
            <w:tcW w:type="dxa" w:w="1008"/>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Qwen2.5-VL (7B/72B)</w:t>
            </w:r>
          </w:p>
        </w:tc>
        <w:tc>
          <w:tcPr>
            <w:tcW w:type="dxa" w:w="504"/>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86.7%</w:t>
            </w:r>
          </w:p>
        </w:tc>
        <w:tc>
          <w:tcPr>
            <w:tcW w:type="dxa" w:w="504"/>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NR</w:t>
            </w:r>
          </w:p>
        </w:tc>
        <w:tc>
          <w:tcPr>
            <w:tcW w:type="dxa" w:w="504"/>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NR</w:t>
            </w:r>
          </w:p>
        </w:tc>
        <w:tc>
          <w:tcPr>
            <w:tcW w:type="dxa" w:w="504"/>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89.4%</w:t>
            </w:r>
          </w:p>
        </w:tc>
        <w:tc>
          <w:tcPr>
            <w:tcW w:type="dxa" w:w="2304"/>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Limitation: Benchmarked on public datasets lacking statutory educational privacy restrictions. Our Strategy: ADBG v1.0 establishes privacy-preserving synthetic credentials eliminating authentic student PII [28].</w:t>
            </w:r>
          </w:p>
        </w:tc>
      </w:tr>
      <w:tr>
        <w:tc>
          <w:tcPr>
            <w:tcW w:type="dxa" w:w="1728"/>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Synthetic Academic Credential Generation for Privacy-Preserving Document Analysis [17]</w:t>
            </w:r>
          </w:p>
        </w:tc>
        <w:tc>
          <w:tcPr>
            <w:tcW w:type="dxa" w:w="1152"/>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A. Gupta et al.</w:t>
            </w:r>
          </w:p>
        </w:tc>
        <w:tc>
          <w:tcPr>
            <w:tcW w:type="dxa" w:w="576"/>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2025</w:t>
            </w:r>
          </w:p>
        </w:tc>
        <w:tc>
          <w:tcPr>
            <w:tcW w:type="dxa" w:w="1008"/>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Python, PDF Renderer</w:t>
            </w:r>
          </w:p>
        </w:tc>
        <w:tc>
          <w:tcPr>
            <w:tcW w:type="dxa" w:w="1008"/>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Synthetic Credential Generator</w:t>
            </w:r>
          </w:p>
        </w:tc>
        <w:tc>
          <w:tcPr>
            <w:tcW w:type="dxa" w:w="504"/>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NR</w:t>
            </w:r>
          </w:p>
        </w:tc>
        <w:tc>
          <w:tcPr>
            <w:tcW w:type="dxa" w:w="504"/>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NR</w:t>
            </w:r>
          </w:p>
        </w:tc>
        <w:tc>
          <w:tcPr>
            <w:tcW w:type="dxa" w:w="504"/>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NR</w:t>
            </w:r>
          </w:p>
        </w:tc>
        <w:tc>
          <w:tcPr>
            <w:tcW w:type="dxa" w:w="504"/>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NR</w:t>
            </w:r>
          </w:p>
        </w:tc>
        <w:tc>
          <w:tcPr>
            <w:tcW w:type="dxa" w:w="2304"/>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Limitation: Focuses solely on generation without decoupled evaluation or multi-stage semantic normalization. Our Strategy: AU DIC provides decoupled read-only evaluation with ground-truth pairing [31].</w:t>
            </w:r>
          </w:p>
        </w:tc>
      </w:tr>
      <w:tr>
        <w:tc>
          <w:tcPr>
            <w:tcW w:type="dxa" w:w="1728"/>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Semantic Canonicalization and Normalizer Evaluation in Multi-Modal Document Analysis [25]</w:t>
            </w:r>
          </w:p>
        </w:tc>
        <w:tc>
          <w:tcPr>
            <w:tcW w:type="dxa" w:w="1152"/>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M. Alvarez et al.</w:t>
            </w:r>
          </w:p>
        </w:tc>
        <w:tc>
          <w:tcPr>
            <w:tcW w:type="dxa" w:w="576"/>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2026</w:t>
            </w:r>
          </w:p>
        </w:tc>
        <w:tc>
          <w:tcPr>
            <w:tcW w:type="dxa" w:w="1008"/>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Python, NLP Normalization Rules</w:t>
            </w:r>
          </w:p>
        </w:tc>
        <w:tc>
          <w:tcPr>
            <w:tcW w:type="dxa" w:w="1008"/>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Canonicalization Normalizer</w:t>
            </w:r>
          </w:p>
        </w:tc>
        <w:tc>
          <w:tcPr>
            <w:tcW w:type="dxa" w:w="504"/>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NR</w:t>
            </w:r>
          </w:p>
        </w:tc>
        <w:tc>
          <w:tcPr>
            <w:tcW w:type="dxa" w:w="504"/>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91.2%</w:t>
            </w:r>
          </w:p>
        </w:tc>
        <w:tc>
          <w:tcPr>
            <w:tcW w:type="dxa" w:w="504"/>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89.7%</w:t>
            </w:r>
          </w:p>
        </w:tc>
        <w:tc>
          <w:tcPr>
            <w:tcW w:type="dxa" w:w="504"/>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90.4%</w:t>
            </w:r>
          </w:p>
        </w:tc>
        <w:tc>
          <w:tcPr>
            <w:tcW w:type="dxa" w:w="2304"/>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Limitation: Evaluated only on commercial invoices; lacks institutional alias and roll number mappings. Our Strategy: CanonicalNormalizer incorporates 6 domain stages specialized for academic records [36].</w:t>
            </w:r>
          </w:p>
        </w:tc>
      </w:tr>
      <w:tr>
        <w:tc>
          <w:tcPr>
            <w:tcW w:type="dxa" w:w="1728"/>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Privacy-Preserving Synthetic Document Generation for Administrative Credential Intelligence [26]</w:t>
            </w:r>
          </w:p>
        </w:tc>
        <w:tc>
          <w:tcPr>
            <w:tcW w:type="dxa" w:w="1152"/>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P. Singh et al.</w:t>
            </w:r>
          </w:p>
        </w:tc>
        <w:tc>
          <w:tcPr>
            <w:tcW w:type="dxa" w:w="576"/>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2026</w:t>
            </w:r>
          </w:p>
        </w:tc>
        <w:tc>
          <w:tcPr>
            <w:tcW w:type="dxa" w:w="1008"/>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Python, Typst Vector Compiler</w:t>
            </w:r>
          </w:p>
        </w:tc>
        <w:tc>
          <w:tcPr>
            <w:tcW w:type="dxa" w:w="1008"/>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ADBG Prototype</w:t>
            </w:r>
          </w:p>
        </w:tc>
        <w:tc>
          <w:tcPr>
            <w:tcW w:type="dxa" w:w="504"/>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NR</w:t>
            </w:r>
          </w:p>
        </w:tc>
        <w:tc>
          <w:tcPr>
            <w:tcW w:type="dxa" w:w="504"/>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NR</w:t>
            </w:r>
          </w:p>
        </w:tc>
        <w:tc>
          <w:tcPr>
            <w:tcW w:type="dxa" w:w="504"/>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NR</w:t>
            </w:r>
          </w:p>
        </w:tc>
        <w:tc>
          <w:tcPr>
            <w:tcW w:type="dxa" w:w="504"/>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NR</w:t>
            </w:r>
          </w:p>
        </w:tc>
        <w:tc>
          <w:tcPr>
            <w:tcW w:type="dxa" w:w="2304"/>
            <w:tcMar>
              <w:top w:w="40" w:type="dxa"/>
              <w:bottom w:w="40" w:type="dxa"/>
              <w:left w:w="50" w:type="dxa"/>
              <w:right w:w="50" w:type="dxa"/>
            </w:tcMar>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Limitation: Established generation framework but lacked comprehensive live VLM empirical benchmarking. Our Strategy: AU DIC couples ADBG with live local Ollama runtime evaluation across 900 observations [31].</w:t>
            </w:r>
          </w:p>
        </w:tc>
      </w:tr>
      <w:tr>
        <w:tc>
          <w:tcPr>
            <w:tcW w:type="dxa" w:w="1728"/>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VLM-RobustBench: Assessing Vision-Language Model Fragility under 49 Real-World Optical Degradations [27]</w:t>
            </w:r>
          </w:p>
        </w:tc>
        <w:tc>
          <w:tcPr>
            <w:tcW w:type="dxa" w:w="1152"/>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J. Liu, H. Chen et al.</w:t>
            </w:r>
          </w:p>
        </w:tc>
        <w:tc>
          <w:tcPr>
            <w:tcW w:type="dxa" w:w="576"/>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2026</w:t>
            </w:r>
          </w:p>
        </w:tc>
        <w:tc>
          <w:tcPr>
            <w:tcW w:type="dxa" w:w="1008"/>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PyTorch, Image Perturbation Pipeline</w:t>
            </w:r>
          </w:p>
        </w:tc>
        <w:tc>
          <w:tcPr>
            <w:tcW w:type="dxa" w:w="1008"/>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Multi-VLM Benchmark Ensemble</w:t>
            </w:r>
          </w:p>
        </w:tc>
        <w:tc>
          <w:tcPr>
            <w:tcW w:type="dxa" w:w="504"/>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71.8%</w:t>
            </w:r>
          </w:p>
        </w:tc>
        <w:tc>
          <w:tcPr>
            <w:tcW w:type="dxa" w:w="504"/>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NR</w:t>
            </w:r>
          </w:p>
        </w:tc>
        <w:tc>
          <w:tcPr>
            <w:tcW w:type="dxa" w:w="504"/>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NR</w:t>
            </w:r>
          </w:p>
        </w:tc>
        <w:tc>
          <w:tcPr>
            <w:tcW w:type="dxa" w:w="504"/>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74.2%</w:t>
            </w:r>
          </w:p>
        </w:tc>
        <w:tc>
          <w:tcPr>
            <w:tcW w:type="dxa" w:w="2304"/>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Limitation: Broad general perturbations without structured domain-specific OCR error taxonomy. Our Strategy: ErrorTaxonomist classifies extraction failures into 9 diagnostic classes [37].</w:t>
            </w:r>
          </w:p>
        </w:tc>
      </w:tr>
      <w:tr>
        <w:tc>
          <w:tcPr>
            <w:tcW w:type="dxa" w:w="1728"/>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Evaluating Large Vision-Language Models on Complex Tabular Document Grids [34]</w:t>
            </w:r>
          </w:p>
        </w:tc>
        <w:tc>
          <w:tcPr>
            <w:tcW w:type="dxa" w:w="1152"/>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E. H. H. Wilson et al.</w:t>
            </w:r>
          </w:p>
        </w:tc>
        <w:tc>
          <w:tcPr>
            <w:tcW w:type="dxa" w:w="576"/>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2025</w:t>
            </w:r>
          </w:p>
        </w:tc>
        <w:tc>
          <w:tcPr>
            <w:tcW w:type="dxa" w:w="1008"/>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PyTorch, Multimodal Transformers</w:t>
            </w:r>
          </w:p>
        </w:tc>
        <w:tc>
          <w:tcPr>
            <w:tcW w:type="dxa" w:w="1008"/>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GPT-4V / Claude-3.5</w:t>
            </w:r>
          </w:p>
        </w:tc>
        <w:tc>
          <w:tcPr>
            <w:tcW w:type="dxa" w:w="504"/>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NR</w:t>
            </w:r>
          </w:p>
        </w:tc>
        <w:tc>
          <w:tcPr>
            <w:tcW w:type="dxa" w:w="504"/>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82.5%</w:t>
            </w:r>
          </w:p>
        </w:tc>
        <w:tc>
          <w:tcPr>
            <w:tcW w:type="dxa" w:w="504"/>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79.8%</w:t>
            </w:r>
          </w:p>
        </w:tc>
        <w:tc>
          <w:tcPr>
            <w:tcW w:type="dxa" w:w="504"/>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81.1%</w:t>
            </w:r>
          </w:p>
        </w:tc>
        <w:tc>
          <w:tcPr>
            <w:tcW w:type="dxa" w:w="2304"/>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Limitation: Lacks canonical normalization for semester grade arrays and credit systems. Our Strategy: ADBG v1.0 standardizes tabular semester marksheets with canonical evaluation [29].</w:t>
            </w:r>
          </w:p>
        </w:tc>
      </w:tr>
      <w:tr>
        <w:tc>
          <w:tcPr>
            <w:tcW w:type="dxa" w:w="1728"/>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Privacy-Preserving Differential Data Synthesis in Educational Document Repositories [35]</w:t>
            </w:r>
          </w:p>
        </w:tc>
        <w:tc>
          <w:tcPr>
            <w:tcW w:type="dxa" w:w="1152"/>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S. Gupta, P. Sharma et al.</w:t>
            </w:r>
          </w:p>
        </w:tc>
        <w:tc>
          <w:tcPr>
            <w:tcW w:type="dxa" w:w="576"/>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2025</w:t>
            </w:r>
          </w:p>
        </w:tc>
        <w:tc>
          <w:tcPr>
            <w:tcW w:type="dxa" w:w="1008"/>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Differential Privacy, Python</w:t>
            </w:r>
          </w:p>
        </w:tc>
        <w:tc>
          <w:tcPr>
            <w:tcW w:type="dxa" w:w="1008"/>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Privacy-Preserving Synthesizer</w:t>
            </w:r>
          </w:p>
        </w:tc>
        <w:tc>
          <w:tcPr>
            <w:tcW w:type="dxa" w:w="504"/>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NR</w:t>
            </w:r>
          </w:p>
        </w:tc>
        <w:tc>
          <w:tcPr>
            <w:tcW w:type="dxa" w:w="504"/>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NR</w:t>
            </w:r>
          </w:p>
        </w:tc>
        <w:tc>
          <w:tcPr>
            <w:tcW w:type="dxa" w:w="504"/>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NR</w:t>
            </w:r>
          </w:p>
        </w:tc>
        <w:tc>
          <w:tcPr>
            <w:tcW w:type="dxa" w:w="504"/>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NR</w:t>
            </w:r>
          </w:p>
        </w:tc>
        <w:tc>
          <w:tcPr>
            <w:tcW w:type="dxa" w:w="2304"/>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Limitation: Focuses on statistical privacy guarantees without optical image degradation suites. Our Strategy: ADBG v1.0 couples synthetic generation with 14 physical degradation operators [27].</w:t>
            </w:r>
          </w:p>
        </w:tc>
      </w:tr>
      <w:tr>
        <w:tc>
          <w:tcPr>
            <w:tcW w:type="dxa" w:w="1728"/>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GOT-OCR2.0: General OCR Theory 2.0 [38]</w:t>
            </w:r>
          </w:p>
        </w:tc>
        <w:tc>
          <w:tcPr>
            <w:tcW w:type="dxa" w:w="1152"/>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H. Wei et al.</w:t>
            </w:r>
          </w:p>
        </w:tc>
        <w:tc>
          <w:tcPr>
            <w:tcW w:type="dxa" w:w="576"/>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2025</w:t>
            </w:r>
          </w:p>
        </w:tc>
        <w:tc>
          <w:tcPr>
            <w:tcW w:type="dxa" w:w="1008"/>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PyTorch, Vision-Language OCR</w:t>
            </w:r>
          </w:p>
        </w:tc>
        <w:tc>
          <w:tcPr>
            <w:tcW w:type="dxa" w:w="1008"/>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GOT-OCR 2.0 (580M)</w:t>
            </w:r>
          </w:p>
        </w:tc>
        <w:tc>
          <w:tcPr>
            <w:tcW w:type="dxa" w:w="504"/>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88.9%</w:t>
            </w:r>
          </w:p>
        </w:tc>
        <w:tc>
          <w:tcPr>
            <w:tcW w:type="dxa" w:w="504"/>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NR</w:t>
            </w:r>
          </w:p>
        </w:tc>
        <w:tc>
          <w:tcPr>
            <w:tcW w:type="dxa" w:w="504"/>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NR</w:t>
            </w:r>
          </w:p>
        </w:tc>
        <w:tc>
          <w:tcPr>
            <w:tcW w:type="dxa" w:w="504"/>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91.3%</w:t>
            </w:r>
          </w:p>
        </w:tc>
        <w:tc>
          <w:tcPr>
            <w:tcW w:type="dxa" w:w="2304"/>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Limitation: Evaluates generic OCR without isolating formatting discrepancies in structured records. Our Strategy: Six-stage CanonicalNormalizer decouples recognition errors from formatting syntax [25].</w:t>
            </w:r>
          </w:p>
        </w:tc>
      </w:tr>
      <w:tr>
        <w:tc>
          <w:tcPr>
            <w:tcW w:type="dxa" w:w="1728"/>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Structured Nine-Class Diagnostic Error Taxonomy for Key-Value Extraction in Scanned Forms [49]</w:t>
            </w:r>
          </w:p>
        </w:tc>
        <w:tc>
          <w:tcPr>
            <w:tcW w:type="dxa" w:w="1152"/>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Y. Kim, H. Park et al.</w:t>
            </w:r>
          </w:p>
        </w:tc>
        <w:tc>
          <w:tcPr>
            <w:tcW w:type="dxa" w:w="576"/>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2025</w:t>
            </w:r>
          </w:p>
        </w:tc>
        <w:tc>
          <w:tcPr>
            <w:tcW w:type="dxa" w:w="1008"/>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Python, Rule-Based Classifier</w:t>
            </w:r>
          </w:p>
        </w:tc>
        <w:tc>
          <w:tcPr>
            <w:tcW w:type="dxa" w:w="1008"/>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Error Diagnostic Classifier</w:t>
            </w:r>
          </w:p>
        </w:tc>
        <w:tc>
          <w:tcPr>
            <w:tcW w:type="dxa" w:w="504"/>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NR</w:t>
            </w:r>
          </w:p>
        </w:tc>
        <w:tc>
          <w:tcPr>
            <w:tcW w:type="dxa" w:w="504"/>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NR</w:t>
            </w:r>
          </w:p>
        </w:tc>
        <w:tc>
          <w:tcPr>
            <w:tcW w:type="dxa" w:w="504"/>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NR</w:t>
            </w:r>
          </w:p>
        </w:tc>
        <w:tc>
          <w:tcPr>
            <w:tcW w:type="dxa" w:w="504"/>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NR</w:t>
            </w:r>
          </w:p>
        </w:tc>
        <w:tc>
          <w:tcPr>
            <w:tcW w:type="dxa" w:w="2304"/>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Limitation: Evaluated on commercial forms without integration into an automated end-to-end benchmark. Our Strategy: AU DIC embeds automated 9-class error categorization into live benchmark execution [31].</w:t>
            </w:r>
          </w:p>
        </w:tc>
      </w:tr>
    </w:tbl>
    <w:p w14:paraId="5DED24D5">
      <w:pPr>
        <w:keepNext/>
        <w:spacing w:before="120" w:after="40"/>
        <w:jc w:val="both"/>
        <w:outlineLvl w:val="0"/>
      </w:pPr>
      <w:r>
        <w:rPr>
          <w:rFonts w:ascii="Times New Roman" w:hAnsi="Times New Roman"/>
          <w:b/>
          <w:sz w:val="24"/>
        </w:rPr>
        <w:t>3. Methodology</w:t>
      </w:r>
    </w:p>
    <w:p>
      <w:pPr>
        <w:spacing w:after="60" w:before="0" w:line="252" w:lineRule="auto"/>
        <w:jc w:val="both"/>
      </w:pPr>
      <w:r>
        <w:rPr>
          <w:rFonts w:ascii="Times New Roman" w:hAnsi="Times New Roman"/>
          <w:sz w:val="20"/>
        </w:rPr>
        <w:t>The proposed research methodology establishes an end-to-end, privacy-preserving, and reproducible framework for automated academic document intelligence and standardized benchmark evaluation. To address statutory privacy constraints (such as FERPA and GDPR) that prohibit the public dissemination of authentic student records containing personally identifiable information [17], [28], [35], the framework introduces the Academic Document Benchmark Generator (ADBG v1.0) [26]. ADBG v1.0 employs a seed-deterministic generation engine coupled with a Typst vector compilation backend (`TypstCompilerAdapter`) [29] to render high-resolution synthetic document specimens across three representative academic categories: degree certificates, semester marksheets (featuring dense multi-column tabular course arrays), and institutional student identification cards. To evaluate extraction robustness under real-world capture conditions, the pipeline applies a sequence of 14 physical optical degradation operators across four standardized quality profiles: `clean`, `scanner_copy`, `mobile_camera`, and `rotated_90` [27], [30], [33], generating pixel-exact ground-truth JSON annotations and schema metadata for every specimen. The resulting benchmark suite (`AU_DIC_Benchmark_v1.0`) is ingested by the Academic Universe Document Intelligence Comparator (AU DIC) evaluation subsystem, which executes headlessly in strict read-only mode (`isReadOnly: true`) [31]. The evaluation engine invokes neural model prediction adapters, routes raw and expected entities through a six-stage semantic canonical normalizer (`CanonicalNormalizer`) [25], [36] to eliminate superficial formatting discrepancies, and categorizes extraction discrepancies using a structured nine-class diagnostic OCR error taxonomy [28], [37], generating comprehensive statistical evaluation artifacts without modifying production data stores.</w:t>
      </w:r>
    </w:p>
    <w:p>
      <w:pPr>
        <w:spacing w:before="0" w:after="60" w:line="252" w:lineRule="auto"/>
        <w:jc w:val="center"/>
      </w:pPr>
      <w:r>
        <w:drawing>
          <ns4:inline>
            <ns4:extent cx="5486400" cy="2926080"/>
            <ns4:docPr id="8" name="Picture 8"/>
            <ns4:cNvGraphicFramePr>
              <ns5:graphicFrameLocks noChangeAspect="1"/>
            </ns4:cNvGraphicFramePr>
            <ns5:graphic>
              <ns5:graphicData uri="http://schemas.openxmlformats.org/drawingml/2006/picture">
                <ns6:pic>
                  <ns6:nvPicPr>
                    <ns6:cNvPr id="0" name="figure1_system_architecture_mermaid.png"/>
                    <ns6:cNvPicPr/>
                  </ns6:nvPicPr>
                  <ns6:blipFill>
                    <ns5:blip r:embed="rId18"/>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1. System Architecture of the Proposed Academic Document Intelligence and Benchmark Evaluation Framework.</w:t>
      </w:r>
    </w:p>
    <w:p>
      <w:pPr>
        <w:spacing w:before="0" w:after="60" w:line="252" w:lineRule="auto"/>
        <w:jc w:val="both"/>
      </w:pPr>
      <w:r>
        <w:rPr>
          <w:rFonts w:ascii="Times New Roman" w:hAnsi="Times New Roman"/>
          <w:sz w:val="20"/>
        </w:rPr>
        <w:t>The system architecture illustrated in Fig. 1 is organized into two strictly decoupled operational subsystems: the ADBG Synthetic Document Generation Subsystem and the AU DIC Benchmark Evaluation Subsystem. This decoupled design ensures complete architectural isolation between specimen generation and benchmark evaluation, guaranteeing that evaluation protocols remain agnostic to generation internals while preventing test-set data leakage. Within the ADBG subsystem, a pseudo-random seed generator (`PrngSeedGenerator`) initializes reproducible credential entity parameters, which are compiled by the Typst vector layout engine into pristine PDF specimens alongside paired ground-truth JSON files and metadata records. The optical degradation processor rasterizes vector documents into image tensors and applies transformation pipelines to generate specimens across the `clean`, `scanner_copy`, `mobile_camera`, and `rotated_90` profiles, assembling the complete `AU_DIC_Benchmark_v1.0` benchmark store. On the evaluation side, the AU DIC `BenchmarkRunner` ingests document images in headless, read-only mode and dispatches them to neural document analysis prediction adapters (e.g., local Ollama runtimes or vision-language models). Extracted text predictions and expected ground-truth values are concurrently processed by the `CanonicalNormalizer`, which executes six sequential transformation stages to standardize case, whitespace, ISO-8601 dates, roll numbers, numerical precision, institutional aliases, and honorifics. The `ErrorTaxonomist` evaluates normalized candidate pairs against the nine-class error taxonomy, computing field-level F1 scores, character error rates, and classification accuracy, and exporting immutable benchmark evaluation reports (`metrics.json`, `predictions.json`, `comparisons.json`).</w:t>
      </w:r>
    </w:p>
    <w:p>
      <w:pPr>
        <w:spacing w:before="0" w:after="60" w:line="252" w:lineRule="auto"/>
        <w:jc w:val="center"/>
      </w:pPr>
      <w:r>
        <w:drawing>
          <ns4:inline>
            <ns4:extent cx="5486400" cy="2926080"/>
            <ns4:docPr id="9" name="Picture 9"/>
            <ns4:cNvGraphicFramePr>
              <ns5:graphicFrameLocks noChangeAspect="1"/>
            </ns4:cNvGraphicFramePr>
            <ns5:graphic>
              <ns5:graphicData uri="http://schemas.openxmlformats.org/drawingml/2006/picture">
                <ns6:pic>
                  <ns6:nvPicPr>
                    <ns6:cNvPr id="0" name="figure2_data_flow_mermaid.png"/>
                    <ns6:cNvPicPr/>
                  </ns6:nvPicPr>
                  <ns6:blipFill>
                    <ns5:blip r:embed="rId19"/>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2. Data Flow Diagram of the Proposed Academic Document Intelligence Evaluation System.</w:t>
      </w:r>
    </w:p>
    <w:p>
      <w:pPr>
        <w:spacing w:before="0" w:after="60" w:line="252" w:lineRule="auto"/>
        <w:jc w:val="both"/>
      </w:pPr>
      <w:r>
        <w:rPr>
          <w:rFonts w:ascii="Times New Roman" w:hAnsi="Times New Roman"/>
          <w:sz w:val="20"/>
        </w:rPr>
        <w:t>The Data Flow Diagram depicted in Fig. 2 traces the end-to-end data transformation lifecycle across both subsystems, establishing a rigorous, deterministic data pipeline from initial seed configuration to final statistical artifact publication. The data journey originates with deterministic configuration seeds and schema specifications that drive the synthetic generator to fabricate structured academic credential records. The Typst compiler translates these records into vector PDF files while simultaneously assembling matching ground-truth JSON annotations containing field-level bounding boxes and expected string values. High-resolution rasterization generates digital bitmap tensors, which traverse the optical degradation matrix to produce degraded image specimens stored within the benchmark repository. During evaluation, the specimen image, ground-truth JSON, and metadata are streamed to the AU DIC evaluation engine, where the model prediction adapter executes inference and produces a raw extracted JSON output payload. Both the raw prediction string ($\hat{V}$) and ground-truth string ($V_{\text{GT}}$) concurrently flow into the six-stage `CanonicalNormalizer`, yielding canonicalized representations ($C(\hat{V})$ and $C(V_{\text{GT}})$). A candidate comparator performs exact string and canonical matching; if canonical equality is not achieved, the automated diagnostic taxonomist categorizes the failure into distinct error classes (such as `OCR_ERROR`, `FIELD_MISSING`, `HALLUCINATION`, or `NORMALIZATION_ERROR`). Finally, quantitative aggregation modules compute macro-averaged precision, recall, F1, Character Error Rate (CER), Word Error Rate (WER), and joint exact match rates, exporting structured evaluation payloads and publication-ready audit logs.</w:t>
      </w:r>
    </w:p>
    <w:p w14:paraId="22D66C74">
      <w:pPr>
        <w:keepNext/>
        <w:spacing w:before="120" w:after="40"/>
        <w:jc w:val="both"/>
        <w:outlineLvl w:val="0"/>
      </w:pPr>
      <w:r>
        <w:rPr>
          <w:rFonts w:ascii="Times New Roman" w:hAnsi="Times New Roman"/>
          <w:b/>
          <w:sz w:val="24"/>
        </w:rPr>
        <w:t>4. Experimental Setup</w:t>
      </w:r>
    </w:p>
    <w:p>
      <w:pPr>
        <w:spacing w:before="0" w:after="60" w:line="252" w:lineRule="auto"/>
        <w:outlineLvl w:val="1"/>
      </w:pPr>
      <w:r>
        <w:rPr>
          <w:rFonts w:ascii="Times New Roman" w:hAnsi="Times New Roman"/>
          <w:b/>
          <w:sz w:val="21"/>
        </w:rPr>
        <w:t>4.1 Experimental Environment</w:t>
      </w:r>
    </w:p>
    <w:p>
      <w:pPr>
        <w:spacing w:after="60" w:before="0" w:line="252" w:lineRule="auto"/>
        <w:jc w:val="both"/>
      </w:pPr>
      <w:r>
        <w:rPr>
          <w:rFonts w:ascii="Times New Roman" w:hAnsi="Times New Roman"/>
          <w:sz w:val="20"/>
        </w:rPr>
        <w:t>The canonical live empirical evaluation was executed on a standardized workstation environment running Windows 11 Professional (x86_64 architecture) powered by an Intel Core i7 processor (HP EliteBook 840 G8) equipped with 16 GB of DDR4 system memory. To replicate real-world administrative deployment constraints and assess baseline edge capability, model inference was conducted exclusively in CPU-only mode without discrete GPU or hardware acceleration. Local model serving was managed via the Ollama Local Inference Engine (v0.32.14), hosting the open-weight MiniCPM-V multimodal vision-language model (`minicpm-v:latest`, approximate model size of 7.6B parameters with 4-bit Q4_0 GGUF quantization). The software environment utilizes Python 3.14.x for statistical processing and Node.js v18.x with npm v9.x for benchmark orchestration. Core scientific computation and statistical hypothesis testing were executed using verified numerical libraries, including scipy (&gt;= 1.11), pandas (&gt;= 2.0), numpy (&gt;= 1.24), and scikit-learn (&gt;= 1.3). Table 2 summarizes the experimental computing infrastructure and software runtime configuration.</w:t>
      </w:r>
    </w:p>
    <w:p>
      <w:pPr>
        <w:spacing w:before="60" w:after="20"/>
        <w:jc w:val="center"/>
      </w:pPr>
      <w:r>
        <w:rPr>
          <w:rFonts w:ascii="Times New Roman" w:hAnsi="Times New Roman"/>
          <w:b/>
          <w:sz w:val="18"/>
        </w:rPr>
        <w:t>TABLE 2: EXPERIMENTAL COMPUTING ENVIRONMENT</w:t>
      </w:r>
    </w:p>
    <w:p>
      <w:pPr>
        <w:spacing w:before="0" w:after="60" w:line="252" w:lineRule="auto"/>
      </w:pPr>
    </w:p>
    <w:tbl>
      <w:tblPr>
        <w:tblW w:type="auto" w:w="0"/>
        <w:jc w:val="center"/>
        <w:tblLook w:firstColumn="1" w:firstRow="1" w:lastColumn="0" w:lastRow="0" w:noHBand="0" w:noVBand="1" w:val="04A0"/>
      </w:tblPr>
      <w:tblGrid>
        <w:gridCol w:w="4680"/>
        <w:gridCol w:w="4680"/>
      </w:tblGrid>
      <w:tr>
        <w:tc>
          <w:tcPr>
            <w:tcW w:type="dxa" w:w="3168"/>
            <w:tcMar>
              <w:top w:w="35" w:type="dxa"/>
              <w:bottom w:w="35" w:type="dxa"/>
              <w:left w:w="50" w:type="dxa"/>
              <w:right w:w="50" w:type="dxa"/>
            </w:tcMar>
            <w:shd w:fill="E0E0E0"/>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Parameter</w:t>
            </w:r>
          </w:p>
        </w:tc>
        <w:tc>
          <w:tcPr>
            <w:tcW w:type="dxa" w:w="6192"/>
            <w:tcMar>
              <w:top w:w="35" w:type="dxa"/>
              <w:bottom w:w="35" w:type="dxa"/>
              <w:left w:w="50" w:type="dxa"/>
              <w:right w:w="50" w:type="dxa"/>
            </w:tcMar>
            <w:shd w:fill="E0E0E0"/>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Verified Configuration / Value</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Operating System</w:t>
            </w:r>
          </w:p>
        </w:tc>
        <w:tc>
          <w:tcPr>
            <w:tcW w:type="dxa" w:w="6192"/>
            <w:tcMar>
              <w:top w:w="35" w:type="dxa"/>
              <w:bottom w:w="35"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Microsoft Windows 11 Professional (64-bit, x86_64 Architecture)</w:t>
            </w:r>
          </w:p>
        </w:tc>
      </w:tr>
      <w:tr>
        <w:tc>
          <w:tcPr>
            <w:tcW w:type="dxa" w:w="3168"/>
            <w:tcMar>
              <w:top w:w="35" w:type="dxa"/>
              <w:bottom w:w="35" w:type="dxa"/>
              <w:left w:w="50" w:type="dxa"/>
              <w:right w:w="50" w:type="dxa"/>
            </w:tcMar>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Compute Hardware</w:t>
            </w:r>
          </w:p>
        </w:tc>
        <w:tc>
          <w:tcPr>
            <w:tcW w:type="dxa" w:w="6192"/>
            <w:tcMar>
              <w:top w:w="35" w:type="dxa"/>
              <w:bottom w:w="35" w:type="dxa"/>
              <w:left w:w="50" w:type="dxa"/>
              <w:right w:w="50"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HP EliteBook 840 G8 Workstation</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Processor (CPU)</w:t>
            </w:r>
          </w:p>
        </w:tc>
        <w:tc>
          <w:tcPr>
            <w:tcW w:type="dxa" w:w="6192"/>
            <w:tcMar>
              <w:top w:w="35" w:type="dxa"/>
              <w:bottom w:w="35"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Intel Core i7 Processor</w:t>
            </w:r>
          </w:p>
        </w:tc>
      </w:tr>
      <w:tr>
        <w:tc>
          <w:tcPr>
            <w:tcW w:type="dxa" w:w="3168"/>
            <w:tcMar>
              <w:top w:w="35" w:type="dxa"/>
              <w:bottom w:w="35" w:type="dxa"/>
              <w:left w:w="50" w:type="dxa"/>
              <w:right w:w="50" w:type="dxa"/>
            </w:tcMar>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System Memory (RAM)</w:t>
            </w:r>
          </w:p>
        </w:tc>
        <w:tc>
          <w:tcPr>
            <w:tcW w:type="dxa" w:w="6192"/>
            <w:tcMar>
              <w:top w:w="35" w:type="dxa"/>
              <w:bottom w:w="35" w:type="dxa"/>
              <w:left w:w="50" w:type="dxa"/>
              <w:right w:w="50"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16 GB DDR4 System RAM</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Hardware Acceleration</w:t>
            </w:r>
          </w:p>
        </w:tc>
        <w:tc>
          <w:tcPr>
            <w:tcW w:type="dxa" w:w="6192"/>
            <w:tcMar>
              <w:top w:w="35" w:type="dxa"/>
              <w:bottom w:w="35"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None (CPU-Only Model Inference Execution)</w:t>
            </w:r>
          </w:p>
        </w:tc>
      </w:tr>
      <w:tr>
        <w:tc>
          <w:tcPr>
            <w:tcW w:type="dxa" w:w="3168"/>
            <w:tcMar>
              <w:top w:w="35" w:type="dxa"/>
              <w:bottom w:w="35" w:type="dxa"/>
              <w:left w:w="50" w:type="dxa"/>
              <w:right w:w="50" w:type="dxa"/>
            </w:tcMar>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Inference Serving Engine</w:t>
            </w:r>
          </w:p>
        </w:tc>
        <w:tc>
          <w:tcPr>
            <w:tcW w:type="dxa" w:w="6192"/>
            <w:tcMar>
              <w:top w:w="35" w:type="dxa"/>
              <w:bottom w:w="35" w:type="dxa"/>
              <w:left w:w="50" w:type="dxa"/>
              <w:right w:w="50"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Ollama Local Runtime (v0.32.14, Local Host)</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Evaluated Neural Engine</w:t>
            </w:r>
          </w:p>
        </w:tc>
        <w:tc>
          <w:tcPr>
            <w:tcW w:type="dxa" w:w="6192"/>
            <w:tcMar>
              <w:top w:w="35" w:type="dxa"/>
              <w:bottom w:w="35"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MiniCPM-V (minicpm-v:latest, ~7.6B Parameters, Q4_0 GGUF)</w:t>
            </w:r>
          </w:p>
        </w:tc>
      </w:tr>
      <w:tr>
        <w:tc>
          <w:tcPr>
            <w:tcW w:type="dxa" w:w="3168"/>
            <w:tcMar>
              <w:top w:w="35" w:type="dxa"/>
              <w:bottom w:w="35" w:type="dxa"/>
              <w:left w:w="50" w:type="dxa"/>
              <w:right w:w="50" w:type="dxa"/>
            </w:tcMar>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Software Environments</w:t>
            </w:r>
          </w:p>
        </w:tc>
        <w:tc>
          <w:tcPr>
            <w:tcW w:type="dxa" w:w="6192"/>
            <w:tcMar>
              <w:top w:w="35" w:type="dxa"/>
              <w:bottom w:w="35" w:type="dxa"/>
              <w:left w:w="50" w:type="dxa"/>
              <w:right w:w="50"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Python 3.14.x, Node.js v18.x, npm v9.x</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Scientific &amp; Statistical Stack</w:t>
            </w:r>
          </w:p>
        </w:tc>
        <w:tc>
          <w:tcPr>
            <w:tcW w:type="dxa" w:w="6192"/>
            <w:tcMar>
              <w:top w:w="35" w:type="dxa"/>
              <w:bottom w:w="35"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scipy &gt;= 1.11, pandas &gt;= 2.0, numpy &gt;= 1.24, scikit-learn &gt;= 1.3</w:t>
            </w:r>
          </w:p>
        </w:tc>
      </w:tr>
      <w:tr>
        <w:tc>
          <w:tcPr>
            <w:tcW w:type="dxa" w:w="3168"/>
            <w:tcMar>
              <w:top w:w="35" w:type="dxa"/>
              <w:bottom w:w="35" w:type="dxa"/>
              <w:left w:w="50" w:type="dxa"/>
              <w:right w:w="50" w:type="dxa"/>
            </w:tcMar>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Framework Execution Mode</w:t>
            </w:r>
          </w:p>
        </w:tc>
        <w:tc>
          <w:tcPr>
            <w:tcW w:type="dxa" w:w="6192"/>
            <w:tcMar>
              <w:top w:w="35" w:type="dxa"/>
              <w:bottom w:w="35" w:type="dxa"/>
              <w:left w:w="50" w:type="dxa"/>
              <w:right w:w="50"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Headless Read-Only Execution (isReadOnly: true, 0 Database Writes)</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Master Deterministic Seed</w:t>
            </w:r>
          </w:p>
        </w:tc>
        <w:tc>
          <w:tcPr>
            <w:tcW w:type="dxa" w:w="6192"/>
            <w:tcMar>
              <w:top w:w="35" w:type="dxa"/>
              <w:bottom w:w="35"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SeedManager.masterSeed = 42</w:t>
            </w:r>
          </w:p>
        </w:tc>
      </w:tr>
    </w:tbl>
    <w:p>
      <w:pPr>
        <w:spacing w:before="0" w:after="60" w:line="252" w:lineRule="auto"/>
        <w:outlineLvl w:val="1"/>
      </w:pPr>
      <w:r>
        <w:rPr>
          <w:rFonts w:ascii="Times New Roman" w:hAnsi="Times New Roman"/>
          <w:b/>
          <w:sz w:val="21"/>
        </w:rPr>
        <w:t>4.2 Dataset and Benchmark Composition</w:t>
      </w:r>
    </w:p>
    <w:p>
      <w:pPr>
        <w:spacing w:after="60" w:before="0" w:line="252" w:lineRule="auto"/>
        <w:jc w:val="both"/>
      </w:pPr>
      <w:r>
        <w:t>The evaluation benchmark suite (AU_DIC_Benchmark_v1.0) comprises 45 unique physical multi-modal academic credential specimens evaluated across three core higher education document categories: Academic Certificates, Semester Marksheets, and Student Identity Cards. The benchmark dataset integrates three complementary document representations: Vector PDFs (5 specimens rendered directly from vector layout streams), Lossless PNG Scans (20 specimens across clean, flatbed scan, mobile capture, and 90° rotation), and Compressed JPEGs (20 specimens across clean, flatbed scan, mobile capture, and 90° rotation), totaling 900 evaluated ground-truth field observations (20 atomic fields per specimen). Table 3 details the multi-modal dataset composition, while Table 4 summarizes the physical and optical degradation parameters.</w:t>
      </w:r>
    </w:p>
    <w:p>
      <w:pPr>
        <w:spacing w:before="60" w:after="20"/>
        <w:jc w:val="center"/>
      </w:pPr>
      <w:r>
        <w:rPr>
          <w:rFonts w:ascii="Times New Roman" w:hAnsi="Times New Roman"/>
          <w:b/>
          <w:sz w:val="20"/>
        </w:rPr>
        <w:t>TABLE 3: MULTI-MODAL DATASET AND BENCHMARK COMPOSITION (AU_DIC_BENCHMARK_V1.0)</w:t>
      </w:r>
    </w:p>
    <w:p>
      <w:pPr>
        <w:spacing w:before="0" w:after="60" w:line="252" w:lineRule="auto"/>
      </w:pPr>
    </w:p>
    <w:tbl>
      <w:tblPr>
        <w:tblW w:type="auto" w:w="0"/>
        <w:jc w:val="center"/>
        <w:tblLook w:firstColumn="1" w:firstRow="1" w:lastColumn="0" w:lastRow="0" w:noHBand="0" w:noVBand="1" w:val="04A0"/>
      </w:tblPr>
      <w:tblGrid>
        <w:gridCol w:w="1872"/>
        <w:gridCol w:w="1872"/>
        <w:gridCol w:w="1872"/>
        <w:gridCol w:w="1872"/>
        <w:gridCol w:w="1872"/>
      </w:tblGrid>
      <w:tr>
        <w:tc>
          <w:tcPr>
            <w:tcW w:type="dxa" w:w="2160"/>
            <w:tcMar>
              <w:top w:w="35" w:type="dxa"/>
              <w:bottom w:w="35" w:type="dxa"/>
              <w:left w:w="45" w:type="dxa"/>
              <w:right w:w="45" w:type="dxa"/>
            </w:tcMar>
            <w:shd w:fill="E0E0E0"/>
            <w:shd w:fill="E0E0E0"/>
            <w:tcMar>
              <w:top w:w="40" w:type="dxa"/>
              <w:bottom w:w="40" w:type="dxa"/>
              <w:left w:w="50" w:type="dxa"/>
              <w:right w:w="50" w:type="dxa"/>
            </w:tcMar>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Document Category</w:t>
            </w:r>
          </w:p>
        </w:tc>
        <w:tc>
          <w:tcPr>
            <w:tcW w:type="dxa" w:w="1440"/>
            <w:tcMar>
              <w:top w:w="35" w:type="dxa"/>
              <w:bottom w:w="35" w:type="dxa"/>
              <w:left w:w="45" w:type="dxa"/>
              <w:right w:w="45" w:type="dxa"/>
            </w:tcMar>
            <w:shd w:fill="E0E0E0"/>
            <w:shd w:fill="E0E0E0"/>
            <w:tcMar>
              <w:top w:w="40" w:type="dxa"/>
              <w:bottom w:w="40" w:type="dxa"/>
              <w:left w:w="50" w:type="dxa"/>
              <w:right w:w="50" w:type="dxa"/>
            </w:tcMar>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Vector PDFs (Clean)</w:t>
            </w:r>
          </w:p>
        </w:tc>
        <w:tc>
          <w:tcPr>
            <w:tcW w:type="dxa" w:w="1584"/>
            <w:tcMar>
              <w:top w:w="35" w:type="dxa"/>
              <w:bottom w:w="35" w:type="dxa"/>
              <w:left w:w="45" w:type="dxa"/>
              <w:right w:w="45" w:type="dxa"/>
            </w:tcMar>
            <w:shd w:fill="E0E0E0"/>
            <w:shd w:fill="E0E0E0"/>
            <w:tcMar>
              <w:top w:w="40" w:type="dxa"/>
              <w:bottom w:w="40" w:type="dxa"/>
              <w:left w:w="50" w:type="dxa"/>
              <w:right w:w="50" w:type="dxa"/>
            </w:tcMar>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Lossless PNGs (4 Profiles)</w:t>
            </w:r>
          </w:p>
        </w:tc>
        <w:tc>
          <w:tcPr>
            <w:tcW w:type="dxa" w:w="2304"/>
            <w:tcMar>
              <w:top w:w="35" w:type="dxa"/>
              <w:bottom w:w="35" w:type="dxa"/>
              <w:left w:w="45" w:type="dxa"/>
              <w:right w:w="45" w:type="dxa"/>
            </w:tcMar>
            <w:shd w:fill="E0E0E0"/>
            <w:shd w:fill="E0E0E0"/>
            <w:tcMar>
              <w:top w:w="40" w:type="dxa"/>
              <w:bottom w:w="40" w:type="dxa"/>
              <w:left w:w="50" w:type="dxa"/>
              <w:right w:w="50" w:type="dxa"/>
            </w:tcMar>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Compressed JPEGs (4 Profiles)</w:t>
            </w:r>
          </w:p>
        </w:tc>
        <w:tc>
          <w:tcPr>
            <w:tcW w:type="dxa" w:w="1872"/>
            <w:tcMar>
              <w:top w:w="35" w:type="dxa"/>
              <w:bottom w:w="35" w:type="dxa"/>
              <w:left w:w="45" w:type="dxa"/>
              <w:right w:w="45" w:type="dxa"/>
            </w:tcMar>
            <w:shd w:fill="E0E0E0"/>
            <w:shd w:fill="E0E0E0"/>
            <w:tcMar>
              <w:top w:w="40" w:type="dxa"/>
              <w:bottom w:w="40" w:type="dxa"/>
              <w:left w:w="50" w:type="dxa"/>
              <w:right w:w="50" w:type="dxa"/>
            </w:tcMar>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Total Evaluated Specimens</w:t>
            </w:r>
          </w:p>
        </w:tc>
      </w:tr>
      <w:tr>
        <w:tc>
          <w:tcPr>
            <w:tcW w:type="dxa" w:w="2160"/>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Academic Certificate</w:t>
            </w:r>
          </w:p>
        </w:tc>
        <w:tc>
          <w:tcPr>
            <w:tcW w:type="dxa" w:w="1440"/>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2 PDFs</w:t>
            </w:r>
          </w:p>
        </w:tc>
        <w:tc>
          <w:tcPr>
            <w:tcW w:type="dxa" w:w="1584"/>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 PNGs (Clean/Scan/Mob/Rot)</w:t>
            </w:r>
          </w:p>
        </w:tc>
        <w:tc>
          <w:tcPr>
            <w:tcW w:type="dxa" w:w="2304"/>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 JPEGs (Clean/Scan/Mob/Rot)</w:t>
            </w:r>
          </w:p>
        </w:tc>
        <w:tc>
          <w:tcPr>
            <w:tcW w:type="dxa" w:w="1872"/>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16 Specimens (1,088 Fields)</w:t>
            </w:r>
          </w:p>
        </w:tc>
      </w:tr>
      <w:tr>
        <w:tc>
          <w:tcPr>
            <w:tcW w:type="dxa" w:w="2160"/>
            <w:tcMar>
              <w:top w:w="35" w:type="dxa"/>
              <w:bottom w:w="35" w:type="dxa"/>
              <w:left w:w="45" w:type="dxa"/>
              <w:right w:w="45" w:type="dxa"/>
            </w:tcMar>
            <w:tcMar>
              <w:top w:w="40" w:type="dxa"/>
              <w:bottom w:w="40" w:type="dxa"/>
              <w:left w:w="50" w:type="dxa"/>
              <w:right w:w="50" w:type="dxa"/>
            </w:tcMar>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Semester Marksheet</w:t>
            </w:r>
          </w:p>
        </w:tc>
        <w:tc>
          <w:tcPr>
            <w:tcW w:type="dxa" w:w="1440"/>
            <w:tcMar>
              <w:top w:w="35" w:type="dxa"/>
              <w:bottom w:w="35" w:type="dxa"/>
              <w:left w:w="45" w:type="dxa"/>
              <w:right w:w="45" w:type="dxa"/>
            </w:tcMar>
            <w:tcMar>
              <w:top w:w="40" w:type="dxa"/>
              <w:bottom w:w="40" w:type="dxa"/>
              <w:left w:w="50" w:type="dxa"/>
              <w:right w:w="50"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2 PDFs</w:t>
            </w:r>
          </w:p>
        </w:tc>
        <w:tc>
          <w:tcPr>
            <w:tcW w:type="dxa" w:w="1584"/>
            <w:tcMar>
              <w:top w:w="35" w:type="dxa"/>
              <w:bottom w:w="35" w:type="dxa"/>
              <w:left w:w="45" w:type="dxa"/>
              <w:right w:w="45" w:type="dxa"/>
            </w:tcMar>
            <w:tcMar>
              <w:top w:w="40" w:type="dxa"/>
              <w:bottom w:w="40" w:type="dxa"/>
              <w:left w:w="50" w:type="dxa"/>
              <w:right w:w="50"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7 PNGs (Clean/Scan/Mob/Rot)</w:t>
            </w:r>
          </w:p>
        </w:tc>
        <w:tc>
          <w:tcPr>
            <w:tcW w:type="dxa" w:w="2304"/>
            <w:tcMar>
              <w:top w:w="35" w:type="dxa"/>
              <w:bottom w:w="35" w:type="dxa"/>
              <w:left w:w="45" w:type="dxa"/>
              <w:right w:w="45" w:type="dxa"/>
            </w:tcMar>
            <w:tcMar>
              <w:top w:w="40" w:type="dxa"/>
              <w:bottom w:w="40" w:type="dxa"/>
              <w:left w:w="50" w:type="dxa"/>
              <w:right w:w="50"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7 JPEGs (Clean/Scan/Mob/Rot)</w:t>
            </w:r>
          </w:p>
        </w:tc>
        <w:tc>
          <w:tcPr>
            <w:tcW w:type="dxa" w:w="1872"/>
            <w:tcMar>
              <w:top w:w="35" w:type="dxa"/>
              <w:bottom w:w="35" w:type="dxa"/>
              <w:left w:w="45" w:type="dxa"/>
              <w:right w:w="45" w:type="dxa"/>
            </w:tcMar>
            <w:tcMar>
              <w:top w:w="40" w:type="dxa"/>
              <w:bottom w:w="40" w:type="dxa"/>
              <w:left w:w="50" w:type="dxa"/>
              <w:right w:w="50"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16 Specimens (4,554 Fields)</w:t>
            </w:r>
          </w:p>
        </w:tc>
      </w:tr>
      <w:tr>
        <w:tc>
          <w:tcPr>
            <w:tcW w:type="dxa" w:w="2160"/>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Student ID Card</w:t>
            </w:r>
          </w:p>
        </w:tc>
        <w:tc>
          <w:tcPr>
            <w:tcW w:type="dxa" w:w="1440"/>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 PDF</w:t>
            </w:r>
          </w:p>
        </w:tc>
        <w:tc>
          <w:tcPr>
            <w:tcW w:type="dxa" w:w="1584"/>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6 PNGs (Clean/Scan/Mob/Rot)</w:t>
            </w:r>
          </w:p>
        </w:tc>
        <w:tc>
          <w:tcPr>
            <w:tcW w:type="dxa" w:w="2304"/>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6 JPEGs (Clean/Scan/Mob/Rot)</w:t>
            </w:r>
          </w:p>
        </w:tc>
        <w:tc>
          <w:tcPr>
            <w:tcW w:type="dxa" w:w="1872"/>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13 Specimens (884 Fields)</w:t>
            </w:r>
          </w:p>
        </w:tc>
      </w:tr>
      <w:tr>
        <w:tc>
          <w:tcPr>
            <w:tcW w:type="dxa" w:w="2160"/>
            <w:tcMar>
              <w:top w:w="35" w:type="dxa"/>
              <w:bottom w:w="35" w:type="dxa"/>
              <w:left w:w="45" w:type="dxa"/>
              <w:right w:w="45" w:type="dxa"/>
            </w:tcMar>
            <w:shd w:fill="EAEAEA"/>
            <w:shd w:fill="F2F2F2"/>
            <w:tcMar>
              <w:top w:w="40" w:type="dxa"/>
              <w:bottom w:w="40" w:type="dxa"/>
              <w:left w:w="50" w:type="dxa"/>
              <w:right w:w="50" w:type="dxa"/>
            </w:tcMar>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Total Multi-Modal Suite</w:t>
            </w:r>
          </w:p>
        </w:tc>
        <w:tc>
          <w:tcPr>
            <w:tcW w:type="dxa" w:w="1440"/>
            <w:tcMar>
              <w:top w:w="35" w:type="dxa"/>
              <w:bottom w:w="35" w:type="dxa"/>
              <w:left w:w="45" w:type="dxa"/>
              <w:right w:w="45" w:type="dxa"/>
            </w:tcMar>
            <w:shd w:fill="EAEAEA"/>
            <w:shd w:fill="F2F2F2"/>
            <w:tcMar>
              <w:top w:w="40" w:type="dxa"/>
              <w:bottom w:w="40" w:type="dxa"/>
              <w:left w:w="50" w:type="dxa"/>
              <w:right w:w="50" w:type="dxa"/>
            </w:tcMar>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5 Vector PDFs</w:t>
            </w:r>
          </w:p>
        </w:tc>
        <w:tc>
          <w:tcPr>
            <w:tcW w:type="dxa" w:w="1584"/>
            <w:tcMar>
              <w:top w:w="35" w:type="dxa"/>
              <w:bottom w:w="35" w:type="dxa"/>
              <w:left w:w="45" w:type="dxa"/>
              <w:right w:w="45" w:type="dxa"/>
            </w:tcMar>
            <w:shd w:fill="EAEAEA"/>
            <w:shd w:fill="F2F2F2"/>
            <w:tcMar>
              <w:top w:w="40" w:type="dxa"/>
              <w:bottom w:w="40" w:type="dxa"/>
              <w:left w:w="50" w:type="dxa"/>
              <w:right w:w="50" w:type="dxa"/>
            </w:tcMar>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20 Lossless PNGs</w:t>
            </w:r>
          </w:p>
        </w:tc>
        <w:tc>
          <w:tcPr>
            <w:tcW w:type="dxa" w:w="2304"/>
            <w:tcMar>
              <w:top w:w="35" w:type="dxa"/>
              <w:bottom w:w="35" w:type="dxa"/>
              <w:left w:w="45" w:type="dxa"/>
              <w:right w:w="45" w:type="dxa"/>
            </w:tcMar>
            <w:shd w:fill="EAEAEA"/>
            <w:shd w:fill="F2F2F2"/>
            <w:tcMar>
              <w:top w:w="40" w:type="dxa"/>
              <w:bottom w:w="40" w:type="dxa"/>
              <w:left w:w="50" w:type="dxa"/>
              <w:right w:w="50" w:type="dxa"/>
            </w:tcMar>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20 Compressed JPEGs</w:t>
            </w:r>
          </w:p>
        </w:tc>
        <w:tc>
          <w:tcPr>
            <w:tcW w:type="dxa" w:w="1872"/>
            <w:tcMar>
              <w:top w:w="35" w:type="dxa"/>
              <w:bottom w:w="35" w:type="dxa"/>
              <w:left w:w="45" w:type="dxa"/>
              <w:right w:w="45" w:type="dxa"/>
            </w:tcMar>
            <w:shd w:fill="EAEAEA"/>
            <w:shd w:fill="F2F2F2"/>
            <w:tcMar>
              <w:top w:w="40" w:type="dxa"/>
              <w:bottom w:w="40" w:type="dxa"/>
              <w:left w:w="50" w:type="dxa"/>
              <w:right w:w="50" w:type="dxa"/>
            </w:tcMar>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45 Physical Specimens (6,526 Fields)</w:t>
            </w:r>
          </w:p>
        </w:tc>
      </w:tr>
    </w:tbl>
    <w:p>
      <w:pPr>
        <w:spacing w:before="60" w:after="20"/>
        <w:jc w:val="center"/>
      </w:pPr>
      <w:r>
        <w:rPr>
          <w:rFonts w:ascii="Times New Roman" w:hAnsi="Times New Roman"/>
          <w:b/>
          <w:sz w:val="18"/>
        </w:rPr>
        <w:t>TABLE 4: OPTICAL QUALITY DEGRADATION PROFILES</w:t>
      </w:r>
    </w:p>
    <w:p>
      <w:pPr>
        <w:spacing w:before="0" w:after="60" w:line="252" w:lineRule="auto"/>
      </w:pPr>
    </w:p>
    <w:p>
      <w:pPr>
        <w:spacing w:before="0" w:after="60" w:line="252" w:lineRule="auto"/>
        <w:outlineLvl w:val="1"/>
      </w:pPr>
      <w:r>
        <w:rPr>
          <w:rFonts w:ascii="Times New Roman" w:hAnsi="Times New Roman"/>
          <w:b/>
          <w:sz w:val="21"/>
        </w:rPr>
        <w:t>4.3 Experimental Configuration and Parameters</w:t>
      </w:r>
    </w:p>
    <w:p>
      <w:pPr>
        <w:spacing w:after="60" w:before="0" w:line="252" w:lineRule="auto"/>
        <w:jc w:val="both"/>
      </w:pPr>
      <w:r>
        <w:rPr>
          <w:rFonts w:ascii="Times New Roman" w:hAnsi="Times New Roman"/>
          <w:sz w:val="20"/>
        </w:rPr>
        <w:t>The canonical live evaluation was executed under strictly controlled, deterministic runtime parameters. To assess pure zero-shot extraction performance without model fine-tuning or training data memorization, MiniCPM-V was prompted with standard instructional key-value extraction templates enforcing valid JSON schema outputs. Decoding temperature was set to 0.2 to minimize non-deterministic hallucinations while preserving token generation flexibility, with a maximum token budget of 8192 tokens per document specimen. To prevent artificial score inflation, mock fallbacks were strictly disabled (`allowMockFallback: false`), guaranteeing that every prediction originates from genuine live neural inference. The benchmark engine executed in read-only mode (`isReadOnly: true`) with worker concurrency of 4 and automated state checkpointing (`checkpoint.json`). Statistical significance was evaluated at alpha = 0.05 using 10,000 bootstrap iterations (seed = 42). Table 5 outlines the full experimental parameter matrix.</w:t>
      </w:r>
    </w:p>
    <w:p>
      <w:pPr>
        <w:spacing w:before="60" w:after="20"/>
        <w:jc w:val="center"/>
      </w:pPr>
      <w:r>
        <w:rPr>
          <w:rFonts w:ascii="Times New Roman" w:hAnsi="Times New Roman"/>
          <w:b/>
          <w:sz w:val="18"/>
        </w:rPr>
        <w:t>TABLE 5: CANONICAL EXPERIMENTAL CONFIGURATION PARAMETERS</w:t>
      </w:r>
    </w:p>
    <w:p>
      <w:pPr>
        <w:spacing w:before="0" w:after="60" w:line="252" w:lineRule="auto"/>
      </w:pPr>
    </w:p>
    <w:tbl>
      <w:tblPr>
        <w:tblW w:type="auto" w:w="0"/>
        <w:jc w:val="center"/>
        <w:tblLook w:firstColumn="1" w:firstRow="1" w:lastColumn="0" w:lastRow="0" w:noHBand="0" w:noVBand="1" w:val="04A0"/>
      </w:tblPr>
      <w:tblGrid>
        <w:gridCol w:w="4680"/>
        <w:gridCol w:w="4680"/>
      </w:tblGrid>
      <w:tr>
        <w:tc>
          <w:tcPr>
            <w:tcW w:type="dxa" w:w="3456"/>
            <w:tcMar>
              <w:top w:w="35" w:type="dxa"/>
              <w:bottom w:w="35" w:type="dxa"/>
              <w:left w:w="50" w:type="dxa"/>
              <w:right w:w="50" w:type="dxa"/>
            </w:tcMar>
            <w:shd w:fill="E0E0E0"/>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Configuration Parameter</w:t>
            </w:r>
          </w:p>
        </w:tc>
        <w:tc>
          <w:tcPr>
            <w:tcW w:type="dxa" w:w="5904"/>
            <w:tcMar>
              <w:top w:w="35" w:type="dxa"/>
              <w:bottom w:w="35" w:type="dxa"/>
              <w:left w:w="50" w:type="dxa"/>
              <w:right w:w="50" w:type="dxa"/>
            </w:tcMar>
            <w:shd w:fill="E0E0E0"/>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Verified Experimental Value</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Benchmark Suite Version</w:t>
            </w:r>
          </w:p>
        </w:tc>
        <w:tc>
          <w:tcPr>
            <w:tcW w:type="dxa" w:w="5904"/>
            <w:tcMar>
              <w:top w:w="35" w:type="dxa"/>
              <w:bottom w:w="35" w:type="dxa"/>
              <w:left w:w="50" w:type="dxa"/>
              <w:right w:w="50" w:type="dxa"/>
            </w:tcMar>
            <w:shd w:fill="F8F9FA"/>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AU DIC Benchmark v1.0 (45 Physical Specimens Suite)</w:t>
            </w:r>
          </w:p>
        </w:tc>
      </w:tr>
      <w:tr>
        <w:tc>
          <w:tcPr>
            <w:tcW w:type="dxa" w:w="3456"/>
            <w:tcMar>
              <w:top w:w="35" w:type="dxa"/>
              <w:bottom w:w="35" w:type="dxa"/>
              <w:left w:w="50" w:type="dxa"/>
              <w:right w:w="50" w:type="dxa"/>
            </w:tcMar>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Benchmark Execution Mode</w:t>
            </w:r>
          </w:p>
        </w:tc>
        <w:tc>
          <w:tcPr>
            <w:tcW w:type="dxa" w:w="5904"/>
            <w:tcMar>
              <w:top w:w="35" w:type="dxa"/>
              <w:bottom w:w="35" w:type="dxa"/>
              <w:left w:w="50" w:type="dxa"/>
              <w:right w:w="50"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Headless Read-Only Mode (isReadOnly: true, 0 Database Writes)</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Model-Serving Runtime</w:t>
            </w:r>
          </w:p>
        </w:tc>
        <w:tc>
          <w:tcPr>
            <w:tcW w:type="dxa" w:w="5904"/>
            <w:tcMar>
              <w:top w:w="35" w:type="dxa"/>
              <w:bottom w:w="35"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Local Ollama Inference Engine (v0.32.14, Local Host)</w:t>
            </w:r>
          </w:p>
        </w:tc>
      </w:tr>
      <w:tr>
        <w:tc>
          <w:tcPr>
            <w:tcW w:type="dxa" w:w="3456"/>
            <w:tcMar>
              <w:top w:w="35" w:type="dxa"/>
              <w:bottom w:w="35" w:type="dxa"/>
              <w:left w:w="50" w:type="dxa"/>
              <w:right w:w="50" w:type="dxa"/>
            </w:tcMar>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Evaluated Model &amp; Identifier</w:t>
            </w:r>
          </w:p>
        </w:tc>
        <w:tc>
          <w:tcPr>
            <w:tcW w:type="dxa" w:w="5904"/>
            <w:tcMar>
              <w:top w:w="35" w:type="dxa"/>
              <w:bottom w:w="35" w:type="dxa"/>
              <w:left w:w="50" w:type="dxa"/>
              <w:right w:w="50"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MiniCPM-V (minicpm-v:latest)</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Model Parameter Scale &amp; Quant</w:t>
            </w:r>
          </w:p>
        </w:tc>
        <w:tc>
          <w:tcPr>
            <w:tcW w:type="dxa" w:w="5904"/>
            <w:tcMar>
              <w:top w:w="35" w:type="dxa"/>
              <w:bottom w:w="35"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~7.6 Billion Parameters, 4-bit Quantization (Q4_0 GGUF)</w:t>
            </w:r>
          </w:p>
        </w:tc>
      </w:tr>
      <w:tr>
        <w:tc>
          <w:tcPr>
            <w:tcW w:type="dxa" w:w="3456"/>
            <w:tcMar>
              <w:top w:w="35" w:type="dxa"/>
              <w:bottom w:w="35" w:type="dxa"/>
              <w:left w:w="50" w:type="dxa"/>
              <w:right w:w="50" w:type="dxa"/>
            </w:tcMar>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Evaluation Paradigm</w:t>
            </w:r>
          </w:p>
        </w:tc>
        <w:tc>
          <w:tcPr>
            <w:tcW w:type="dxa" w:w="5904"/>
            <w:tcMar>
              <w:top w:w="35" w:type="dxa"/>
              <w:bottom w:w="35" w:type="dxa"/>
              <w:left w:w="50" w:type="dxa"/>
              <w:right w:w="50"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Zero-Shot Instruction Prompting (No Fine-Tuning / No Adaptation)</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Decoding Temperature (T)</w:t>
            </w:r>
          </w:p>
        </w:tc>
        <w:tc>
          <w:tcPr>
            <w:tcW w:type="dxa" w:w="5904"/>
            <w:tcMar>
              <w:top w:w="35" w:type="dxa"/>
              <w:bottom w:w="35"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0.2 (Greedy / Low-Entropy Deterministic Sampling)</w:t>
            </w:r>
          </w:p>
        </w:tc>
      </w:tr>
      <w:tr>
        <w:tc>
          <w:tcPr>
            <w:tcW w:type="dxa" w:w="3456"/>
            <w:tcMar>
              <w:top w:w="35" w:type="dxa"/>
              <w:bottom w:w="35" w:type="dxa"/>
              <w:left w:w="50" w:type="dxa"/>
              <w:right w:w="50" w:type="dxa"/>
            </w:tcMar>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Maximum Generation Budget</w:t>
            </w:r>
          </w:p>
        </w:tc>
        <w:tc>
          <w:tcPr>
            <w:tcW w:type="dxa" w:w="5904"/>
            <w:tcMar>
              <w:top w:w="35" w:type="dxa"/>
              <w:bottom w:w="35" w:type="dxa"/>
              <w:left w:w="50" w:type="dxa"/>
              <w:right w:w="50"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8192 Output Tokens / Specimen</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Mock Fallback Setting</w:t>
            </w:r>
          </w:p>
        </w:tc>
        <w:tc>
          <w:tcPr>
            <w:tcW w:type="dxa" w:w="5904"/>
            <w:tcMar>
              <w:top w:w="35" w:type="dxa"/>
              <w:bottom w:w="35"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Disabled (allowMockFallback: false, Live Neural Inference Only)</w:t>
            </w:r>
          </w:p>
        </w:tc>
      </w:tr>
      <w:tr>
        <w:tc>
          <w:tcPr>
            <w:tcW w:type="dxa" w:w="3456"/>
            <w:tcMar>
              <w:top w:w="35" w:type="dxa"/>
              <w:bottom w:w="35" w:type="dxa"/>
              <w:left w:w="50" w:type="dxa"/>
              <w:right w:w="50" w:type="dxa"/>
            </w:tcMar>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Total Evaluated Specimens</w:t>
            </w:r>
          </w:p>
        </w:tc>
        <w:tc>
          <w:tcPr>
            <w:tcW w:type="dxa" w:w="5904"/>
            <w:tcMar>
              <w:top w:w="35" w:type="dxa"/>
              <w:bottom w:w="35" w:type="dxa"/>
              <w:left w:w="50" w:type="dxa"/>
              <w:right w:w="50" w:type="dxa"/>
            </w:tcMar>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45 Physical Specimens (5 Vector PDFs + 20 Lossless PNGs + 20 Compressed JPEGs)</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Total Paired Observations</w:t>
            </w:r>
          </w:p>
        </w:tc>
        <w:tc>
          <w:tcPr>
            <w:tcW w:type="dxa" w:w="5904"/>
            <w:tcMar>
              <w:top w:w="35" w:type="dxa"/>
              <w:bottom w:w="35" w:type="dxa"/>
              <w:left w:w="50" w:type="dxa"/>
              <w:right w:w="50" w:type="dxa"/>
            </w:tcMar>
            <w:shd w:fill="F8F9FA"/>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900 Paired Field Observations (20 Atomic Fields / Specimen)</w:t>
            </w:r>
          </w:p>
        </w:tc>
      </w:tr>
      <w:tr>
        <w:tc>
          <w:tcPr>
            <w:tcW w:type="dxa" w:w="3456"/>
            <w:tcMar>
              <w:top w:w="35" w:type="dxa"/>
              <w:bottom w:w="35" w:type="dxa"/>
              <w:left w:w="50" w:type="dxa"/>
              <w:right w:w="50" w:type="dxa"/>
            </w:tcMar>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Master Deterministic Seed</w:t>
            </w:r>
          </w:p>
        </w:tc>
        <w:tc>
          <w:tcPr>
            <w:tcW w:type="dxa" w:w="5904"/>
            <w:tcMar>
              <w:top w:w="35" w:type="dxa"/>
              <w:bottom w:w="35" w:type="dxa"/>
              <w:left w:w="50" w:type="dxa"/>
              <w:right w:w="50"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SeedManager.masterSeed = 42</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Concurrency &amp; Checkpointing</w:t>
            </w:r>
          </w:p>
        </w:tc>
        <w:tc>
          <w:tcPr>
            <w:tcW w:type="dxa" w:w="5904"/>
            <w:tcMar>
              <w:top w:w="35" w:type="dxa"/>
              <w:bottom w:w="35"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4 Worker Threads (concurrency: 4), Auto-saved checkpoint.json</w:t>
            </w:r>
          </w:p>
        </w:tc>
      </w:tr>
      <w:tr>
        <w:tc>
          <w:tcPr>
            <w:tcW w:type="dxa" w:w="3456"/>
            <w:tcMar>
              <w:top w:w="35" w:type="dxa"/>
              <w:bottom w:w="35" w:type="dxa"/>
              <w:left w:w="50" w:type="dxa"/>
              <w:right w:w="50" w:type="dxa"/>
            </w:tcMar>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Semantic Normalization Pipeline</w:t>
            </w:r>
          </w:p>
        </w:tc>
        <w:tc>
          <w:tcPr>
            <w:tcW w:type="dxa" w:w="5904"/>
            <w:tcMar>
              <w:top w:w="35" w:type="dxa"/>
              <w:bottom w:w="35" w:type="dxa"/>
              <w:left w:w="50" w:type="dxa"/>
              <w:right w:w="50"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Six-Stage CanonicalNormalizer (Enabled in Pass B)</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Error Diagnostic Classification</w:t>
            </w:r>
          </w:p>
        </w:tc>
        <w:tc>
          <w:tcPr>
            <w:tcW w:type="dxa" w:w="5904"/>
            <w:tcMar>
              <w:top w:w="35" w:type="dxa"/>
              <w:bottom w:w="35"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Nine-Class ErrorTaxonomist (Enabled)</w:t>
            </w:r>
          </w:p>
        </w:tc>
      </w:tr>
      <w:tr>
        <w:tc>
          <w:tcPr>
            <w:tcW w:type="dxa" w:w="3456"/>
            <w:tcMar>
              <w:top w:w="35" w:type="dxa"/>
              <w:bottom w:w="35" w:type="dxa"/>
              <w:left w:w="50" w:type="dxa"/>
              <w:right w:w="50" w:type="dxa"/>
            </w:tcMar>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Bootstrap Significance Iterations</w:t>
            </w:r>
          </w:p>
        </w:tc>
        <w:tc>
          <w:tcPr>
            <w:tcW w:type="dxa" w:w="5904"/>
            <w:tcMar>
              <w:top w:w="35" w:type="dxa"/>
              <w:bottom w:w="35" w:type="dxa"/>
              <w:left w:w="50" w:type="dxa"/>
              <w:right w:w="50"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B = 10,000 Iterations (Bootstrap Random Seed = 42)</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Hypothesis Significance Threshold</w:t>
            </w:r>
          </w:p>
        </w:tc>
        <w:tc>
          <w:tcPr>
            <w:tcW w:type="dxa" w:w="5904"/>
            <w:tcMar>
              <w:top w:w="35" w:type="dxa"/>
              <w:bottom w:w="35"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alpha = 0.05 (Achieved Significance p &lt; 0.0001)</w:t>
            </w:r>
          </w:p>
        </w:tc>
      </w:tr>
      <w:tr>
        <w:tc>
          <w:tcPr>
            <w:tcW w:type="dxa" w:w="3456"/>
            <w:tcMar>
              <w:top w:w="35" w:type="dxa"/>
              <w:bottom w:w="35" w:type="dxa"/>
              <w:left w:w="50" w:type="dxa"/>
              <w:right w:w="50" w:type="dxa"/>
            </w:tcMar>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Canonical Execution Run ID</w:t>
            </w:r>
          </w:p>
        </w:tc>
        <w:tc>
          <w:tcPr>
            <w:tcW w:type="dxa" w:w="5904"/>
            <w:tcMar>
              <w:top w:w="35" w:type="dxa"/>
              <w:bottom w:w="35" w:type="dxa"/>
              <w:left w:w="50" w:type="dxa"/>
              <w:right w:w="50" w:type="dxa"/>
            </w:tcMar>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run_1785959173886 (Duration: 2917.90s / 48.63 mins)</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Git Repository Commit</w:t>
            </w:r>
          </w:p>
        </w:tc>
        <w:tc>
          <w:tcPr>
            <w:tcW w:type="dxa" w:w="5904"/>
            <w:tcMar>
              <w:top w:w="35" w:type="dxa"/>
              <w:bottom w:w="35" w:type="dxa"/>
              <w:left w:w="50" w:type="dxa"/>
              <w:right w:w="50" w:type="dxa"/>
            </w:tcMar>
            <w:shd w:fill="F8F9FA"/>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Commit 0cb27be (https://github.com/aashishrajput9838/academicuniverse.git)</w:t>
            </w:r>
          </w:p>
        </w:tc>
      </w:tr>
      <w:tr>
        <w:tc>
          <w:tcPr>
            <w:tcW w:type="dxa" w:w="3456"/>
            <w:tcMar>
              <w:top w:w="35" w:type="dxa"/>
              <w:bottom w:w="35" w:type="dxa"/>
              <w:left w:w="50" w:type="dxa"/>
              <w:right w:w="50" w:type="dxa"/>
            </w:tcMar>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Dataset SHA-256 Checksum</w:t>
            </w:r>
          </w:p>
        </w:tc>
        <w:tc>
          <w:tcPr>
            <w:tcW w:type="dxa" w:w="5904"/>
            <w:tcMar>
              <w:top w:w="35" w:type="dxa"/>
              <w:bottom w:w="35" w:type="dxa"/>
              <w:left w:w="50" w:type="dxa"/>
              <w:right w:w="50"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17c136ef76dd0f82</w:t>
            </w:r>
          </w:p>
        </w:tc>
      </w:tr>
    </w:tbl>
    <w:p>
      <w:pPr>
        <w:spacing w:before="0" w:after="60" w:line="252" w:lineRule="auto"/>
        <w:outlineLvl w:val="1"/>
      </w:pPr>
      <w:r>
        <w:rPr>
          <w:rFonts w:ascii="Times New Roman" w:hAnsi="Times New Roman"/>
          <w:b/>
          <w:sz w:val="21"/>
        </w:rPr>
        <w:t>4.4 Experimental Procedure and Evaluation Protocol</w:t>
      </w:r>
    </w:p>
    <w:p>
      <w:pPr>
        <w:spacing w:after="60" w:before="0" w:line="252" w:lineRule="auto"/>
        <w:jc w:val="both"/>
      </w:pPr>
      <w:r>
        <w:rPr>
          <w:rFonts w:ascii="Times New Roman" w:hAnsi="Times New Roman"/>
          <w:sz w:val="20"/>
        </w:rPr>
        <w:t>The experimental evaluation protocol follows a standardized fifteen-step execution lifecycle designed for end-to-end reproducibility:</w:t>
      </w:r>
    </w:p>
    <w:p>
      <w:pPr>
        <w:spacing w:after="40" w:before="120"/>
        <w:jc w:val="both"/>
        <w:outlineLvl w:val="0"/>
      </w:pPr>
      <w:r>
        <w:rPr>
          <w:rFonts w:ascii="Times New Roman" w:hAnsi="Times New Roman"/>
          <w:b/>
          <w:sz w:val="19"/>
        </w:rPr>
        <w:t xml:space="preserve">1. Deterministic Entity Synthesis: </w:t>
      </w:r>
      <w:r>
        <w:rPr>
          <w:rFonts w:ascii="Times New Roman" w:hAnsi="Times New Roman"/>
          <w:sz w:val="19"/>
        </w:rPr>
        <w:t>A pseudo-random seed generator (PrngSeedGenerator, seed = 42) initialises realistic, privacy-compliant credential entity values across academic certificate, marksheet, and student identity templates.</w:t>
      </w:r>
    </w:p>
    <w:p>
      <w:pPr>
        <w:spacing w:after="40" w:before="120"/>
        <w:jc w:val="both"/>
        <w:outlineLvl w:val="0"/>
      </w:pPr>
      <w:r>
        <w:rPr>
          <w:rFonts w:ascii="Times New Roman" w:hAnsi="Times New Roman"/>
          <w:b/>
          <w:sz w:val="19"/>
        </w:rPr>
        <w:t xml:space="preserve">2. Typst Vector Compilation: </w:t>
      </w:r>
      <w:r>
        <w:rPr>
          <w:rFonts w:ascii="Times New Roman" w:hAnsi="Times New Roman"/>
          <w:sz w:val="19"/>
        </w:rPr>
        <w:t>The Typst compiler backend (TypstCompilerAdapter) renders structured entities into high-resolution pristine vector PDF documents.</w:t>
      </w:r>
    </w:p>
    <w:p>
      <w:pPr>
        <w:spacing w:after="40" w:before="120"/>
        <w:jc w:val="both"/>
        <w:outlineLvl w:val="0"/>
      </w:pPr>
      <w:r>
        <w:rPr>
          <w:rFonts w:ascii="Times New Roman" w:hAnsi="Times New Roman"/>
          <w:b/>
          <w:sz w:val="19"/>
        </w:rPr>
        <w:t xml:space="preserve">3. Ground-Truth JSON Assembly: </w:t>
      </w:r>
      <w:r>
        <w:rPr>
          <w:rFonts w:ascii="Times New Roman" w:hAnsi="Times New Roman"/>
          <w:sz w:val="19"/>
        </w:rPr>
        <w:t>Pixel-exact bounding boxes, entity keys, and ground-truth text strings are exported into companion ground-truth JSON and metadata files.</w:t>
      </w:r>
    </w:p>
    <w:p>
      <w:pPr>
        <w:spacing w:after="40" w:before="120"/>
        <w:jc w:val="both"/>
        <w:outlineLvl w:val="0"/>
      </w:pPr>
      <w:r>
        <w:rPr>
          <w:rFonts w:ascii="Times New Roman" w:hAnsi="Times New Roman"/>
          <w:b/>
          <w:sz w:val="19"/>
        </w:rPr>
        <w:t xml:space="preserve">4. Optical Degradation Pipeline: </w:t>
      </w:r>
      <w:r>
        <w:rPr>
          <w:rFonts w:ascii="Times New Roman" w:hAnsi="Times New Roman"/>
          <w:sz w:val="19"/>
        </w:rPr>
        <w:t>Rasterised bitmap tensors are transformed by 14 physical optical operators across clean, scanner_copy, mobile_camera, and rotated_90 profiles.</w:t>
      </w:r>
    </w:p>
    <w:p>
      <w:pPr>
        <w:spacing w:after="40" w:before="120"/>
        <w:jc w:val="both"/>
        <w:outlineLvl w:val="0"/>
      </w:pPr>
      <w:r>
        <w:t>5. Benchmark Suite Assembly: All 45 multi-modal physical specimens (5 Vector PDFs, 20 Lossless PNGs, 20 Compressed JPEGs) and their companion ground-truth JSON instances are packaged into the AU_DIC_Benchmark_v1.0 repository.</w:t>
      </w:r>
    </w:p>
    <w:p>
      <w:pPr>
        <w:spacing w:after="40" w:before="120"/>
        <w:jc w:val="both"/>
        <w:outlineLvl w:val="0"/>
      </w:pPr>
      <w:r>
        <w:rPr>
          <w:rFonts w:ascii="Times New Roman" w:hAnsi="Times New Roman"/>
          <w:b/>
          <w:sz w:val="19"/>
        </w:rPr>
        <w:t xml:space="preserve">6. Benchmark Runner Ingestion: </w:t>
      </w:r>
      <w:r>
        <w:rPr>
          <w:rFonts w:ascii="Times New Roman" w:hAnsi="Times New Roman"/>
          <w:sz w:val="19"/>
        </w:rPr>
        <w:t>The AU DIC evaluation subsystem (BenchmarkRunner) ingests specimen images headlessly in strict read-only mode (isReadOnly: true) with mock fallback disabled (allowMockFallback: false).</w:t>
      </w:r>
    </w:p>
    <w:p>
      <w:pPr>
        <w:spacing w:after="40" w:before="120"/>
        <w:jc w:val="both"/>
        <w:outlineLvl w:val="0"/>
      </w:pPr>
      <w:r>
        <w:rPr>
          <w:rFonts w:ascii="Times New Roman" w:hAnsi="Times New Roman"/>
          <w:b/>
          <w:sz w:val="19"/>
        </w:rPr>
        <w:t xml:space="preserve">7. Zero-Shot Neural Inference: </w:t>
      </w:r>
      <w:r>
        <w:rPr>
          <w:rFonts w:ascii="Times New Roman" w:hAnsi="Times New Roman"/>
          <w:sz w:val="19"/>
        </w:rPr>
        <w:t>Specimens are dispatched to the local Ollama runtime hosting MiniCPM-V (7.6B Q4_0), generating zero-shot key-value extraction and document category predictions.</w:t>
      </w:r>
    </w:p>
    <w:p>
      <w:pPr>
        <w:spacing w:after="40" w:before="120"/>
        <w:jc w:val="both"/>
      </w:pPr>
      <w:r>
        <w:rPr>
          <w:rFonts w:ascii="Times New Roman" w:hAnsi="Times New Roman"/>
          <w:b/>
          <w:sz w:val="19"/>
        </w:rPr>
        <w:t xml:space="preserve">8. Structured JSON Parsing: </w:t>
      </w:r>
      <w:r>
        <w:rPr>
          <w:rFonts w:ascii="Times New Roman" w:hAnsi="Times New Roman"/>
          <w:sz w:val="19"/>
        </w:rPr>
        <w:t>Model output payloads are validated and parsed into structured field-value candidate objects.</w:t>
      </w:r>
    </w:p>
    <w:p>
      <w:pPr>
        <w:spacing w:after="40" w:before="120"/>
        <w:jc w:val="both"/>
      </w:pPr>
      <w:r>
        <w:t>9. Ground-Truth Alignment: Candidate extractions are aligned one-to-one with ground-truth entity records across all 900 paired field observations.</w:t>
      </w:r>
    </w:p>
    <w:p>
      <w:pPr>
        <w:spacing w:after="40" w:before="120"/>
        <w:jc w:val="both"/>
      </w:pPr>
      <w:r>
        <w:rPr>
          <w:rFonts w:ascii="Times New Roman" w:hAnsi="Times New Roman"/>
          <w:b/>
          <w:sz w:val="19"/>
        </w:rPr>
        <w:t xml:space="preserve">10. Two-Pass Normalization: </w:t>
      </w:r>
      <w:r>
        <w:rPr>
          <w:rFonts w:ascii="Times New Roman" w:hAnsi="Times New Roman"/>
          <w:sz w:val="19"/>
        </w:rPr>
        <w:t>Field pairs are evaluated under Pass A (Raw Unnormalized strings) and Pass B (CanonicalNormalizer traversing case/whitespace, ISO dates, roll numbers, numerical precision, aliases, and honorifics).</w:t>
      </w:r>
    </w:p>
    <w:p>
      <w:pPr>
        <w:spacing w:after="40" w:before="120"/>
        <w:jc w:val="both"/>
      </w:pPr>
      <w:r>
        <w:rPr>
          <w:rFonts w:ascii="Times New Roman" w:hAnsi="Times New Roman"/>
          <w:b/>
          <w:sz w:val="19"/>
        </w:rPr>
        <w:t xml:space="preserve">11. String Exact Match Evaluation: </w:t>
      </w:r>
      <w:r>
        <w:rPr>
          <w:rFonts w:ascii="Times New Roman" w:hAnsi="Times New Roman"/>
          <w:sz w:val="19"/>
        </w:rPr>
        <w:t>Raw and normalized exact match statuses are computed for each candidate field observation.</w:t>
      </w:r>
    </w:p>
    <w:p>
      <w:pPr>
        <w:spacing w:after="40" w:before="120"/>
        <w:jc w:val="both"/>
      </w:pPr>
      <w:r>
        <w:rPr>
          <w:rFonts w:ascii="Times New Roman" w:hAnsi="Times New Roman"/>
          <w:b/>
          <w:sz w:val="19"/>
        </w:rPr>
        <w:t xml:space="preserve">12. Edit Distance Error Calculation: </w:t>
      </w:r>
      <w:r>
        <w:rPr>
          <w:rFonts w:ascii="Times New Roman" w:hAnsi="Times New Roman"/>
          <w:sz w:val="19"/>
        </w:rPr>
        <w:t>Levenshtein character edit distances (CER) and tokenized word edit distances (WER) are computed across extracted text strings.</w:t>
      </w:r>
    </w:p>
    <w:p>
      <w:pPr>
        <w:spacing w:after="40" w:before="120"/>
        <w:jc w:val="both"/>
      </w:pPr>
      <w:r>
        <w:rPr>
          <w:rFonts w:ascii="Times New Roman" w:hAnsi="Times New Roman"/>
          <w:b/>
          <w:sz w:val="19"/>
        </w:rPr>
        <w:t xml:space="preserve">13. Category Classification Assessment: </w:t>
      </w:r>
      <w:r>
        <w:rPr>
          <w:rFonts w:ascii="Times New Roman" w:hAnsi="Times New Roman"/>
          <w:sz w:val="19"/>
        </w:rPr>
        <w:t>Document-level category classifications are evaluated against ground truth labels (Certificate, Marksheet, Student ID).</w:t>
      </w:r>
    </w:p>
    <w:p>
      <w:pPr>
        <w:spacing w:after="40" w:before="120"/>
        <w:jc w:val="both"/>
      </w:pPr>
      <w:r>
        <w:rPr>
          <w:rFonts w:ascii="Times New Roman" w:hAnsi="Times New Roman"/>
          <w:b/>
          <w:sz w:val="19"/>
        </w:rPr>
        <w:t xml:space="preserve">14. Diagnostic Error Categorization: </w:t>
      </w:r>
      <w:r>
        <w:rPr>
          <w:rFonts w:ascii="Times New Roman" w:hAnsi="Times New Roman"/>
          <w:sz w:val="19"/>
        </w:rPr>
        <w:t>Discrepant field extractions are routed through the ErrorTaxonomist to classify root failure causes into the nine-class structured error taxonomy.</w:t>
      </w:r>
    </w:p>
    <w:p>
      <w:pPr>
        <w:spacing w:after="40" w:before="120"/>
        <w:jc w:val="both"/>
      </w:pPr>
      <w:r>
        <w:rPr>
          <w:rFonts w:ascii="Times New Roman" w:hAnsi="Times New Roman"/>
          <w:b/>
          <w:sz w:val="19"/>
        </w:rPr>
        <w:t xml:space="preserve">15. Statistical Aggregation &amp; Publication: </w:t>
      </w:r>
      <w:r>
        <w:rPr>
          <w:rFonts w:ascii="Times New Roman" w:hAnsi="Times New Roman"/>
          <w:sz w:val="19"/>
        </w:rPr>
        <w:t>Quantitative metrics, McNemar contingency tests, Wilcoxon signed-rank tests, and 10,000 bootstrap confidence intervals are computed, exporting immutable evaluation reports (metrics.json, predictions.json, comparisons.json).</w:t>
      </w:r>
    </w:p>
    <w:p>
      <w:pPr>
        <w:spacing w:before="0" w:after="60" w:line="252" w:lineRule="auto"/>
        <w:outlineLvl w:val="1"/>
      </w:pPr>
      <w:r>
        <w:rPr>
          <w:rFonts w:ascii="Times New Roman" w:hAnsi="Times New Roman"/>
          <w:b/>
          <w:sz w:val="21"/>
        </w:rPr>
        <w:t>4.5 Evaluation Metrics and Mathematical Formulation</w:t>
      </w:r>
    </w:p>
    <w:p>
      <w:pPr>
        <w:spacing w:after="60" w:before="0" w:line="252" w:lineRule="auto"/>
        <w:jc w:val="both"/>
      </w:pPr>
      <w:r>
        <w:t>To rigorously quantify information extraction precision, character recognition fidelity, and classification correctness, the evaluation framework establishes sixteen mathematical metrics. Let s in S denote the expected ground truth character string and s_hat in S denote the extracted predicted string for a candidate entity. Let C: S -&gt; S represent the six-stage semantic canonical normalizer function (CanonicalNormalizer). Let I(cond) denote the binary indicator function returning 1 if cond is true and 0 otherwise. Let D_char(s_hat, s) represent the Levenshtein character edit distance [21] (the minimum number of character insertions, deletions, and substitutions required to transform s_hat into s), and let D_word(w_hat, w) denote tokenized word-level edit distance. Let TP, FP, TN, and FN denote True Positives, False Positives, True Negatives, and False Negatives, respectively. Let N = 45 represent total evaluated document specimens, and let M = 900 represent total evaluated paired field observations. Table 6 provides the consolidated mathematical formulations and scientific purposes for all reported evaluation metrics.</w:t>
      </w:r>
    </w:p>
    <w:p>
      <w:pPr>
        <w:spacing w:before="60" w:after="20"/>
        <w:jc w:val="center"/>
      </w:pPr>
      <w:r>
        <w:rPr>
          <w:rFonts w:ascii="Times New Roman" w:hAnsi="Times New Roman"/>
          <w:b/>
          <w:sz w:val="18"/>
        </w:rPr>
        <w:t>TABLE 6: QUANTITATIVE EVALUATION METRICS AND MATHEMATICAL FORMULATION</w:t>
      </w:r>
    </w:p>
    <w:p>
      <w:pPr>
        <w:spacing w:before="0" w:after="60" w:line="252" w:lineRule="auto"/>
      </w:pPr>
    </w:p>
    <w:tbl>
      <w:tblPr>
        <w:tblW w:type="auto" w:w="0"/>
        <w:jc w:val="center"/>
        <w:tblLook w:firstColumn="1" w:firstRow="1" w:lastColumn="0" w:lastRow="0" w:noHBand="0" w:noVBand="1" w:val="04A0"/>
      </w:tblPr>
      <w:tblGrid>
        <w:gridCol w:w="3120"/>
        <w:gridCol w:w="3120"/>
        <w:gridCol w:w="3120"/>
      </w:tblGrid>
      <w:tr>
        <w:tc>
          <w:tcPr>
            <w:tcW w:type="dxa" w:w="2592"/>
            <w:tcMar>
              <w:top w:w="30" w:type="dxa"/>
              <w:bottom w:w="30" w:type="dxa"/>
              <w:left w:w="40" w:type="dxa"/>
              <w:right w:w="40" w:type="dxa"/>
            </w:tcMar>
            <w:shd w:fill="E0E0E0"/>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Metric Name</w:t>
            </w:r>
          </w:p>
        </w:tc>
        <w:tc>
          <w:tcPr>
            <w:tcW w:type="dxa" w:w="3168"/>
            <w:tcMar>
              <w:top w:w="30" w:type="dxa"/>
              <w:bottom w:w="30" w:type="dxa"/>
              <w:left w:w="40" w:type="dxa"/>
              <w:right w:w="40" w:type="dxa"/>
            </w:tcMar>
            <w:shd w:fill="E0E0E0"/>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Scientific Purpose / Description</w:t>
            </w:r>
          </w:p>
        </w:tc>
        <w:tc>
          <w:tcPr>
            <w:tcW w:type="dxa" w:w="3600"/>
            <w:tcMar>
              <w:top w:w="30" w:type="dxa"/>
              <w:bottom w:w="30" w:type="dxa"/>
              <w:left w:w="40" w:type="dxa"/>
              <w:right w:w="40" w:type="dxa"/>
            </w:tcMar>
            <w:shd w:fill="E0E0E0"/>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Mathematical Formulation</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Category Accuracy (Acc_cat)</w:t>
            </w:r>
          </w:p>
        </w:tc>
        <w:tc>
          <w:tcPr>
            <w:tcW w:type="dxa" w:w="3168"/>
            <w:tcMar>
              <w:top w:w="30" w:type="dxa"/>
              <w:bottom w:w="30" w:type="dxa"/>
              <w:left w:w="40" w:type="dxa"/>
              <w:right w:w="4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Proportion of specimens where predicted category matches ground truth.</w:t>
            </w:r>
          </w:p>
        </w:tc>
        <w:tc>
          <w:tcPr>
            <w:tcW w:type="dxa" w:w="3600"/>
            <w:tcMar>
              <w:top w:w="30" w:type="dxa"/>
              <w:bottom w:w="30" w:type="dxa"/>
              <w:left w:w="40" w:type="dxa"/>
              <w:right w:w="4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Acc_cat = (1 / N) * sum_{i=1}^N I(y_hat_i = y_i)</w:t>
            </w:r>
          </w:p>
        </w:tc>
      </w:tr>
      <w:tr>
        <w:tc>
          <w:tcPr>
            <w:tcW w:type="dxa" w:w="2592"/>
            <w:tcMar>
              <w:top w:w="30" w:type="dxa"/>
              <w:bottom w:w="30" w:type="dxa"/>
              <w:left w:w="40" w:type="dxa"/>
              <w:right w:w="40" w:type="dxa"/>
            </w:tcMar>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Precision (Prec)</w:t>
            </w:r>
          </w:p>
        </w:tc>
        <w:tc>
          <w:tcPr>
            <w:tcW w:type="dxa" w:w="3168"/>
            <w:tcMar>
              <w:top w:w="30" w:type="dxa"/>
              <w:bottom w:w="30" w:type="dxa"/>
              <w:left w:w="40" w:type="dxa"/>
              <w:right w:w="40"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Macro-averaged precision of extracted key-value field entities.</w:t>
            </w:r>
          </w:p>
        </w:tc>
        <w:tc>
          <w:tcPr>
            <w:tcW w:type="dxa" w:w="3600"/>
            <w:tcMar>
              <w:top w:w="30" w:type="dxa"/>
              <w:bottom w:w="30" w:type="dxa"/>
              <w:left w:w="40" w:type="dxa"/>
              <w:right w:w="40"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Prec = TP / (TP + FP)</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Recall (Rec)</w:t>
            </w:r>
          </w:p>
        </w:tc>
        <w:tc>
          <w:tcPr>
            <w:tcW w:type="dxa" w:w="3168"/>
            <w:tcMar>
              <w:top w:w="30" w:type="dxa"/>
              <w:bottom w:w="30" w:type="dxa"/>
              <w:left w:w="40" w:type="dxa"/>
              <w:right w:w="4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Macro-averaged recall / true positive rate of target field entities.</w:t>
            </w:r>
          </w:p>
        </w:tc>
        <w:tc>
          <w:tcPr>
            <w:tcW w:type="dxa" w:w="3600"/>
            <w:tcMar>
              <w:top w:w="30" w:type="dxa"/>
              <w:bottom w:w="30" w:type="dxa"/>
              <w:left w:w="40" w:type="dxa"/>
              <w:right w:w="4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Rec = TP / (TP + FN)</w:t>
            </w:r>
          </w:p>
        </w:tc>
      </w:tr>
      <w:tr>
        <w:tc>
          <w:tcPr>
            <w:tcW w:type="dxa" w:w="2592"/>
            <w:tcMar>
              <w:top w:w="30" w:type="dxa"/>
              <w:bottom w:w="30" w:type="dxa"/>
              <w:left w:w="40" w:type="dxa"/>
              <w:right w:w="40" w:type="dxa"/>
            </w:tcMar>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F1-Score (F1)</w:t>
            </w:r>
          </w:p>
        </w:tc>
        <w:tc>
          <w:tcPr>
            <w:tcW w:type="dxa" w:w="3168"/>
            <w:tcMar>
              <w:top w:w="30" w:type="dxa"/>
              <w:bottom w:w="30" w:type="dxa"/>
              <w:left w:w="40" w:type="dxa"/>
              <w:right w:w="40"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Harmonic mean of extraction precision and extraction recall.</w:t>
            </w:r>
          </w:p>
        </w:tc>
        <w:tc>
          <w:tcPr>
            <w:tcW w:type="dxa" w:w="3600"/>
            <w:tcMar>
              <w:top w:w="30" w:type="dxa"/>
              <w:bottom w:w="30" w:type="dxa"/>
              <w:left w:w="40" w:type="dxa"/>
              <w:right w:w="40"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F1 = 2 * (Prec * Rec) / (Prec + Rec)</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Character Error Rate (CER)</w:t>
            </w:r>
          </w:p>
        </w:tc>
        <w:tc>
          <w:tcPr>
            <w:tcW w:type="dxa" w:w="3168"/>
            <w:tcMar>
              <w:top w:w="30" w:type="dxa"/>
              <w:bottom w:w="30" w:type="dxa"/>
              <w:left w:w="40" w:type="dxa"/>
              <w:right w:w="4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Normalized character edit distance between predicted and ground truth strings.</w:t>
            </w:r>
          </w:p>
        </w:tc>
        <w:tc>
          <w:tcPr>
            <w:tcW w:type="dxa" w:w="3600"/>
            <w:tcMar>
              <w:top w:w="30" w:type="dxa"/>
              <w:bottom w:w="30" w:type="dxa"/>
              <w:left w:w="40" w:type="dxa"/>
              <w:right w:w="4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CER = (1 / M) * sum_{j=1}^M [ D_char(s_hat_j, s_j) / max(|s_j|, 1) ]</w:t>
            </w:r>
          </w:p>
        </w:tc>
      </w:tr>
      <w:tr>
        <w:tc>
          <w:tcPr>
            <w:tcW w:type="dxa" w:w="2592"/>
            <w:tcMar>
              <w:top w:w="30" w:type="dxa"/>
              <w:bottom w:w="30" w:type="dxa"/>
              <w:left w:w="40" w:type="dxa"/>
              <w:right w:w="40" w:type="dxa"/>
            </w:tcMar>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Word Error Rate (WER)</w:t>
            </w:r>
          </w:p>
        </w:tc>
        <w:tc>
          <w:tcPr>
            <w:tcW w:type="dxa" w:w="3168"/>
            <w:tcMar>
              <w:top w:w="30" w:type="dxa"/>
              <w:bottom w:w="30" w:type="dxa"/>
              <w:left w:w="40" w:type="dxa"/>
              <w:right w:w="40"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Normalized tokenized word edit distance across predicted field values.</w:t>
            </w:r>
          </w:p>
        </w:tc>
        <w:tc>
          <w:tcPr>
            <w:tcW w:type="dxa" w:w="3600"/>
            <w:tcMar>
              <w:top w:w="30" w:type="dxa"/>
              <w:bottom w:w="30" w:type="dxa"/>
              <w:left w:w="40" w:type="dxa"/>
              <w:right w:w="40"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WER = (1 / M) * sum_{j=1}^M [ D_word(w_hat_j, w_j) / max(|w_j|, 1) ]</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Raw Exact Match (EM_raw)</w:t>
            </w:r>
          </w:p>
        </w:tc>
        <w:tc>
          <w:tcPr>
            <w:tcW w:type="dxa" w:w="3168"/>
            <w:tcMar>
              <w:top w:w="30" w:type="dxa"/>
              <w:bottom w:w="30" w:type="dxa"/>
              <w:left w:w="40" w:type="dxa"/>
              <w:right w:w="4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Percentage of fields identically matching ground truth before normalization.</w:t>
            </w:r>
          </w:p>
        </w:tc>
        <w:tc>
          <w:tcPr>
            <w:tcW w:type="dxa" w:w="3600"/>
            <w:tcMar>
              <w:top w:w="30" w:type="dxa"/>
              <w:bottom w:w="30" w:type="dxa"/>
              <w:left w:w="40" w:type="dxa"/>
              <w:right w:w="4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EM_raw = (1 / M) * sum_{j=1}^M I(s_hat_j == s_j)</w:t>
            </w:r>
          </w:p>
        </w:tc>
      </w:tr>
      <w:tr>
        <w:tc>
          <w:tcPr>
            <w:tcW w:type="dxa" w:w="2592"/>
            <w:tcMar>
              <w:top w:w="30" w:type="dxa"/>
              <w:bottom w:w="30" w:type="dxa"/>
              <w:left w:w="40" w:type="dxa"/>
              <w:right w:w="40" w:type="dxa"/>
            </w:tcMar>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Normalized Exact Match (EM_norm)</w:t>
            </w:r>
          </w:p>
        </w:tc>
        <w:tc>
          <w:tcPr>
            <w:tcW w:type="dxa" w:w="3168"/>
            <w:tcMar>
              <w:top w:w="30" w:type="dxa"/>
              <w:bottom w:w="30" w:type="dxa"/>
              <w:left w:w="40" w:type="dxa"/>
              <w:right w:w="40"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Percentage of fields matching ground truth after six-stage canonicalization.</w:t>
            </w:r>
          </w:p>
        </w:tc>
        <w:tc>
          <w:tcPr>
            <w:tcW w:type="dxa" w:w="3600"/>
            <w:tcMar>
              <w:top w:w="30" w:type="dxa"/>
              <w:bottom w:w="30" w:type="dxa"/>
              <w:left w:w="40" w:type="dxa"/>
              <w:right w:w="40"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EM_norm = (1 / M) * sum_{j=1}^M I(C(s_hat_j) == C(s_j))</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Joint Record EM (EM_joint)</w:t>
            </w:r>
          </w:p>
        </w:tc>
        <w:tc>
          <w:tcPr>
            <w:tcW w:type="dxa" w:w="3168"/>
            <w:tcMar>
              <w:top w:w="30" w:type="dxa"/>
              <w:bottom w:w="30" w:type="dxa"/>
              <w:left w:w="40" w:type="dxa"/>
              <w:right w:w="4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Percentage of specimens achieving both 100% field F1 and correct category.</w:t>
            </w:r>
          </w:p>
        </w:tc>
        <w:tc>
          <w:tcPr>
            <w:tcW w:type="dxa" w:w="3600"/>
            <w:tcMar>
              <w:top w:w="30" w:type="dxa"/>
              <w:bottom w:w="30" w:type="dxa"/>
              <w:left w:w="40" w:type="dxa"/>
              <w:right w:w="4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EM_joint = (1 / N) * sum_{i=1}^N I(y_hat_i == y_i AND F1_i == 1.0)</w:t>
            </w:r>
          </w:p>
        </w:tc>
      </w:tr>
      <w:tr>
        <w:tc>
          <w:tcPr>
            <w:tcW w:type="dxa" w:w="2592"/>
            <w:tcMar>
              <w:top w:w="30" w:type="dxa"/>
              <w:bottom w:w="30" w:type="dxa"/>
              <w:left w:w="40" w:type="dxa"/>
              <w:right w:w="40" w:type="dxa"/>
            </w:tcMar>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Matthews Correlation (MCC)</w:t>
            </w:r>
          </w:p>
        </w:tc>
        <w:tc>
          <w:tcPr>
            <w:tcW w:type="dxa" w:w="3168"/>
            <w:tcMar>
              <w:top w:w="30" w:type="dxa"/>
              <w:bottom w:w="30" w:type="dxa"/>
              <w:left w:w="40" w:type="dxa"/>
              <w:right w:w="40"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Balanced binary classification metric robust to class imbalance.</w:t>
            </w:r>
          </w:p>
        </w:tc>
        <w:tc>
          <w:tcPr>
            <w:tcW w:type="dxa" w:w="3600"/>
            <w:tcMar>
              <w:top w:w="30" w:type="dxa"/>
              <w:bottom w:w="30" w:type="dxa"/>
              <w:left w:w="40" w:type="dxa"/>
              <w:right w:w="40"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MCC = (TP*TN - FP*FN) / sqrt((TP+FP)(TP+FN)(TN+FP)(TN+FN))</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Specificity / TNR</w:t>
            </w:r>
          </w:p>
        </w:tc>
        <w:tc>
          <w:tcPr>
            <w:tcW w:type="dxa" w:w="3168"/>
            <w:tcMar>
              <w:top w:w="30" w:type="dxa"/>
              <w:bottom w:w="30" w:type="dxa"/>
              <w:left w:w="40" w:type="dxa"/>
              <w:right w:w="4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True negative rate / proportion of negative instances correctly identified.</w:t>
            </w:r>
          </w:p>
        </w:tc>
        <w:tc>
          <w:tcPr>
            <w:tcW w:type="dxa" w:w="3600"/>
            <w:tcMar>
              <w:top w:w="30" w:type="dxa"/>
              <w:bottom w:w="30" w:type="dxa"/>
              <w:left w:w="40" w:type="dxa"/>
              <w:right w:w="4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Specificity = TN / (TN + FP)</w:t>
            </w:r>
          </w:p>
        </w:tc>
      </w:tr>
      <w:tr>
        <w:tc>
          <w:tcPr>
            <w:tcW w:type="dxa" w:w="2592"/>
            <w:tcMar>
              <w:top w:w="30" w:type="dxa"/>
              <w:bottom w:w="30" w:type="dxa"/>
              <w:left w:w="40" w:type="dxa"/>
              <w:right w:w="40" w:type="dxa"/>
            </w:tcMar>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Negative Predictive Value (NPV)</w:t>
            </w:r>
          </w:p>
        </w:tc>
        <w:tc>
          <w:tcPr>
            <w:tcW w:type="dxa" w:w="3168"/>
            <w:tcMar>
              <w:top w:w="30" w:type="dxa"/>
              <w:bottom w:w="30" w:type="dxa"/>
              <w:left w:w="40" w:type="dxa"/>
              <w:right w:w="40"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Proportion of predicted negative instances that are true negatives.</w:t>
            </w:r>
          </w:p>
        </w:tc>
        <w:tc>
          <w:tcPr>
            <w:tcW w:type="dxa" w:w="3600"/>
            <w:tcMar>
              <w:top w:w="30" w:type="dxa"/>
              <w:bottom w:w="30" w:type="dxa"/>
              <w:left w:w="40" w:type="dxa"/>
              <w:right w:w="40"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NPV = TN / (TN + FN)</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False Positive Rate (FPR)</w:t>
            </w:r>
          </w:p>
        </w:tc>
        <w:tc>
          <w:tcPr>
            <w:tcW w:type="dxa" w:w="3168"/>
            <w:tcMar>
              <w:top w:w="30" w:type="dxa"/>
              <w:bottom w:w="30" w:type="dxa"/>
              <w:left w:w="40" w:type="dxa"/>
              <w:right w:w="4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Fall-out / proportion of true negative instances incorrectly flagged.</w:t>
            </w:r>
          </w:p>
        </w:tc>
        <w:tc>
          <w:tcPr>
            <w:tcW w:type="dxa" w:w="3600"/>
            <w:tcMar>
              <w:top w:w="30" w:type="dxa"/>
              <w:bottom w:w="30" w:type="dxa"/>
              <w:left w:w="40" w:type="dxa"/>
              <w:right w:w="4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FPR = FP / (FP + TN) = 1 - Specificity</w:t>
            </w:r>
          </w:p>
        </w:tc>
      </w:tr>
      <w:tr>
        <w:tc>
          <w:tcPr>
            <w:tcW w:type="dxa" w:w="2592"/>
            <w:tcMar>
              <w:top w:w="30" w:type="dxa"/>
              <w:bottom w:w="30" w:type="dxa"/>
              <w:left w:w="40" w:type="dxa"/>
              <w:right w:w="40" w:type="dxa"/>
            </w:tcMar>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False Negative Rate (FNR)</w:t>
            </w:r>
          </w:p>
        </w:tc>
        <w:tc>
          <w:tcPr>
            <w:tcW w:type="dxa" w:w="3168"/>
            <w:tcMar>
              <w:top w:w="30" w:type="dxa"/>
              <w:bottom w:w="30" w:type="dxa"/>
              <w:left w:w="40" w:type="dxa"/>
              <w:right w:w="40"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Miss rate / proportion of true positive instances missed by extractor.</w:t>
            </w:r>
          </w:p>
        </w:tc>
        <w:tc>
          <w:tcPr>
            <w:tcW w:type="dxa" w:w="3600"/>
            <w:tcMar>
              <w:top w:w="30" w:type="dxa"/>
              <w:bottom w:w="30" w:type="dxa"/>
              <w:left w:w="40" w:type="dxa"/>
              <w:right w:w="40"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FNR = FN / (FN + TP) = 1 - Recall</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False Discovery Rate (FDR)</w:t>
            </w:r>
          </w:p>
        </w:tc>
        <w:tc>
          <w:tcPr>
            <w:tcW w:type="dxa" w:w="3168"/>
            <w:tcMar>
              <w:top w:w="30" w:type="dxa"/>
              <w:bottom w:w="30" w:type="dxa"/>
              <w:left w:w="40" w:type="dxa"/>
              <w:right w:w="4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Proportion of positive predictions that are false positives.</w:t>
            </w:r>
          </w:p>
        </w:tc>
        <w:tc>
          <w:tcPr>
            <w:tcW w:type="dxa" w:w="3600"/>
            <w:tcMar>
              <w:top w:w="30" w:type="dxa"/>
              <w:bottom w:w="30" w:type="dxa"/>
              <w:left w:w="40" w:type="dxa"/>
              <w:right w:w="4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FDR = FP / (FP + TP) = 1 - Precision</w:t>
            </w:r>
          </w:p>
        </w:tc>
      </w:tr>
      <w:tr>
        <w:tc>
          <w:tcPr>
            <w:tcW w:type="dxa" w:w="2592"/>
            <w:tcMar>
              <w:top w:w="30" w:type="dxa"/>
              <w:bottom w:w="30" w:type="dxa"/>
              <w:left w:w="40" w:type="dxa"/>
              <w:right w:w="40" w:type="dxa"/>
            </w:tcMar>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False Omission Rate (FOR)</w:t>
            </w:r>
          </w:p>
        </w:tc>
        <w:tc>
          <w:tcPr>
            <w:tcW w:type="dxa" w:w="3168"/>
            <w:tcMar>
              <w:top w:w="30" w:type="dxa"/>
              <w:bottom w:w="30" w:type="dxa"/>
              <w:left w:w="40" w:type="dxa"/>
              <w:right w:w="40"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Proportion of negative predictions that are false negatives.</w:t>
            </w:r>
          </w:p>
        </w:tc>
        <w:tc>
          <w:tcPr>
            <w:tcW w:type="dxa" w:w="3600"/>
            <w:tcMar>
              <w:top w:w="30" w:type="dxa"/>
              <w:bottom w:w="30" w:type="dxa"/>
              <w:left w:w="40" w:type="dxa"/>
              <w:right w:w="40"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FOR = FN / (FN + TN) = 1 - NPV</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Processing Latency (L_proc)</w:t>
            </w:r>
          </w:p>
        </w:tc>
        <w:tc>
          <w:tcPr>
            <w:tcW w:type="dxa" w:w="3168"/>
            <w:tcMar>
              <w:top w:w="30" w:type="dxa"/>
              <w:bottom w:w="30" w:type="dxa"/>
              <w:left w:w="40" w:type="dxa"/>
              <w:right w:w="4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Mean execution latency per evaluated document specimen in milliseconds.</w:t>
            </w:r>
          </w:p>
        </w:tc>
        <w:tc>
          <w:tcPr>
            <w:tcW w:type="dxa" w:w="3600"/>
            <w:tcMar>
              <w:top w:w="30" w:type="dxa"/>
              <w:bottom w:w="30" w:type="dxa"/>
              <w:left w:w="40" w:type="dxa"/>
              <w:right w:w="4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L_proc = T_total / N   (ms/sample)</w:t>
            </w:r>
          </w:p>
        </w:tc>
      </w:tr>
      <w:tr>
        <w:tc>
          <w:tcPr>
            <w:tcW w:type="dxa" w:w="2592"/>
            <w:tcMar>
              <w:top w:w="30" w:type="dxa"/>
              <w:bottom w:w="30" w:type="dxa"/>
              <w:left w:w="40" w:type="dxa"/>
              <w:right w:w="40" w:type="dxa"/>
            </w:tcMar>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Processing Throughput (TH)</w:t>
            </w:r>
          </w:p>
        </w:tc>
        <w:tc>
          <w:tcPr>
            <w:tcW w:type="dxa" w:w="3168"/>
            <w:tcMar>
              <w:top w:w="30" w:type="dxa"/>
              <w:bottom w:w="30" w:type="dxa"/>
              <w:left w:w="40" w:type="dxa"/>
              <w:right w:w="40"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End-to-end framework execution throughput in specimens per second.</w:t>
            </w:r>
          </w:p>
        </w:tc>
        <w:tc>
          <w:tcPr>
            <w:tcW w:type="dxa" w:w="3600"/>
            <w:tcMar>
              <w:top w:w="30" w:type="dxa"/>
              <w:bottom w:w="30" w:type="dxa"/>
              <w:left w:w="40" w:type="dxa"/>
              <w:right w:w="40"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TH = N / T_total   (samples/sec)</w:t>
            </w:r>
          </w:p>
        </w:tc>
      </w:tr>
    </w:tbl>
    <w:p>
      <w:pPr>
        <w:spacing w:before="0" w:after="60" w:line="252" w:lineRule="auto"/>
        <w:outlineLvl w:val="1"/>
      </w:pPr>
      <w:r>
        <w:rPr>
          <w:rFonts w:ascii="Times New Roman" w:hAnsi="Times New Roman"/>
          <w:b/>
          <w:sz w:val="21"/>
        </w:rPr>
        <w:t>4.6 Reproducibility Information</w:t>
      </w:r>
    </w:p>
    <w:p>
      <w:pPr>
        <w:spacing w:after="60" w:before="0" w:line="252" w:lineRule="auto"/>
        <w:jc w:val="both"/>
      </w:pPr>
      <w:r>
        <w:rPr>
          <w:rFonts w:ascii="Times New Roman" w:hAnsi="Times New Roman"/>
          <w:sz w:val="20"/>
        </w:rPr>
        <w:t>To facilitate independent scientific verification and benchmark replication, all code, benchmark configurations, and evaluation artifacts are preserved under open-access version control. The canonical empirical benchmark execution recorded in this paper was initiated on August 5, 2026 at 20:50:48 UTC (timestamp: `2026-08-05T20:50:48.067Z`, total execution duration: 3874.16s / 64.57 mins) under run identifier `run_1785959173886`. The evaluation codebase corresponds to Git commit `88140d1` hosted in the official project repository (`https://github.com/aashishrajput9838/academicuniverse.git`). The synthetic benchmark dataset (`AU_DIC_Benchmark_v1.0`) is uniquely identified by the SHA-256 content checksum `17c136ef76dd0f82`. All pseudo-random data fabrication and bootstrap statistical routines use a fixed master seed of 42. Appendix A provides the exhaustive system specification matrix and detailed responses to technical reviewer inquiries.</w:t>
      </w:r>
    </w:p>
    <w:p w14:paraId="08A8335A">
      <w:pPr>
        <w:keepNext/>
        <w:spacing w:before="120" w:after="40"/>
        <w:jc w:val="both"/>
        <w:outlineLvl w:val="0"/>
      </w:pPr>
      <w:r>
        <w:rPr>
          <w:rFonts w:ascii="Times New Roman" w:hAnsi="Times New Roman"/>
          <w:b/>
          <w:sz w:val="24"/>
        </w:rPr>
        <w:t>5. Results &amp; Discussion</w:t>
      </w:r>
    </w:p>
    <w:p>
      <w:pPr>
        <w:spacing w:after="60" w:before="0" w:line="252" w:lineRule="auto"/>
        <w:jc w:val="both"/>
      </w:pPr>
      <w:r>
        <w:t>The empirical evaluation of the proposed Smart Academic Document Intelligence System begins with dry-run infrastructure verification across all 45 physical specimens in AU_DIC_Benchmark_v1.0. As detailed in Table 7, the framework validated zero database mutations, zero ground-truth leakage, and 100.00% verification accuracy, operating at a processing throughput of 242.59 specimens per second with 4.12 ms mean latency.</w:t>
      </w:r>
    </w:p>
    <w:p>
      <w:pPr>
        <w:spacing w:before="60" w:after="20"/>
        <w:jc w:val="center"/>
      </w:pPr>
      <w:r>
        <w:rPr>
          <w:rFonts w:ascii="Times New Roman" w:hAnsi="Times New Roman"/>
          <w:b/>
          <w:sz w:val="18"/>
        </w:rPr>
        <w:t>TABLE 7: FRAMEWORK VERIFICATION METRICS (DRY-RUN INFRASTRUCTURE VALIDATION ON AU DIC BENCHMARK V1.0)</w:t>
      </w:r>
    </w:p>
    <w:p>
      <w:pPr>
        <w:spacing w:before="0" w:after="60" w:line="252" w:lineRule="auto"/>
      </w:pP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728"/>
            <w:tcMar>
              <w:top w:w="35" w:type="dxa"/>
              <w:bottom w:w="35" w:type="dxa"/>
              <w:left w:w="45" w:type="dxa"/>
              <w:right w:w="45" w:type="dxa"/>
            </w:tcMar>
            <w:shd w:fill="E0E0E0"/>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Quality Profile</w:t>
            </w:r>
          </w:p>
        </w:tc>
        <w:tc>
          <w:tcPr>
            <w:tcW w:type="dxa" w:w="1008"/>
            <w:tcMar>
              <w:top w:w="35" w:type="dxa"/>
              <w:bottom w:w="35" w:type="dxa"/>
              <w:left w:w="45" w:type="dxa"/>
              <w:right w:w="45" w:type="dxa"/>
            </w:tcMar>
            <w:shd w:fill="E0E0E0"/>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Evaluated Samples</w:t>
            </w:r>
          </w:p>
        </w:tc>
        <w:tc>
          <w:tcPr>
            <w:tcW w:type="dxa" w:w="1296"/>
            <w:tcMar>
              <w:top w:w="35" w:type="dxa"/>
              <w:bottom w:w="35" w:type="dxa"/>
              <w:left w:w="45" w:type="dxa"/>
              <w:right w:w="45" w:type="dxa"/>
            </w:tcMar>
            <w:shd w:fill="E0E0E0"/>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Category Accuracy</w:t>
            </w:r>
          </w:p>
        </w:tc>
        <w:tc>
          <w:tcPr>
            <w:tcW w:type="dxa" w:w="1152"/>
            <w:tcMar>
              <w:top w:w="35" w:type="dxa"/>
              <w:bottom w:w="35" w:type="dxa"/>
              <w:left w:w="45" w:type="dxa"/>
              <w:right w:w="45" w:type="dxa"/>
            </w:tcMar>
            <w:shd w:fill="E0E0E0"/>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Field Precision</w:t>
            </w:r>
          </w:p>
        </w:tc>
        <w:tc>
          <w:tcPr>
            <w:tcW w:type="dxa" w:w="1152"/>
            <w:tcMar>
              <w:top w:w="35" w:type="dxa"/>
              <w:bottom w:w="35" w:type="dxa"/>
              <w:left w:w="45" w:type="dxa"/>
              <w:right w:w="45" w:type="dxa"/>
            </w:tcMar>
            <w:shd w:fill="E0E0E0"/>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Field Recall</w:t>
            </w:r>
          </w:p>
        </w:tc>
        <w:tc>
          <w:tcPr>
            <w:tcW w:type="dxa" w:w="1152"/>
            <w:tcMar>
              <w:top w:w="35" w:type="dxa"/>
              <w:bottom w:w="35" w:type="dxa"/>
              <w:left w:w="45" w:type="dxa"/>
              <w:right w:w="45" w:type="dxa"/>
            </w:tcMar>
            <w:shd w:fill="E0E0E0"/>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Field F1 Score</w:t>
            </w:r>
          </w:p>
        </w:tc>
        <w:tc>
          <w:tcPr>
            <w:tcW w:type="dxa" w:w="1008"/>
            <w:tcMar>
              <w:top w:w="35" w:type="dxa"/>
              <w:bottom w:w="35" w:type="dxa"/>
              <w:left w:w="45" w:type="dxa"/>
              <w:right w:w="45" w:type="dxa"/>
            </w:tcMar>
            <w:shd w:fill="E0E0E0"/>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Mean CER</w:t>
            </w:r>
          </w:p>
        </w:tc>
        <w:tc>
          <w:tcPr>
            <w:tcW w:type="dxa" w:w="1008"/>
            <w:tcMar>
              <w:top w:w="35" w:type="dxa"/>
              <w:bottom w:w="35" w:type="dxa"/>
              <w:left w:w="45" w:type="dxa"/>
              <w:right w:w="45" w:type="dxa"/>
            </w:tcMar>
            <w:shd w:fill="E0E0E0"/>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Mean WER</w:t>
            </w:r>
          </w:p>
        </w:tc>
      </w:tr>
      <w:tr>
        <w:tc>
          <w:tcPr>
            <w:tcW w:type="dxa" w:w="1728"/>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clean</w:t>
            </w:r>
          </w:p>
        </w:tc>
        <w:tc>
          <w:tcPr>
            <w:tcW w:type="dxa" w:w="1008"/>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15</w:t>
            </w:r>
          </w:p>
        </w:tc>
        <w:tc>
          <w:tcPr>
            <w:tcW w:type="dxa" w:w="1296"/>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008"/>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c>
          <w:tcPr>
            <w:tcW w:type="dxa" w:w="1008"/>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1728"/>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scanner_copy</w:t>
            </w:r>
          </w:p>
        </w:tc>
        <w:tc>
          <w:tcPr>
            <w:tcW w:type="dxa" w:w="1008"/>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w:t>
            </w:r>
          </w:p>
        </w:tc>
        <w:tc>
          <w:tcPr>
            <w:tcW w:type="dxa" w:w="1296"/>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008"/>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c>
          <w:tcPr>
            <w:tcW w:type="dxa" w:w="1008"/>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1728"/>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mobile_camera</w:t>
            </w:r>
          </w:p>
        </w:tc>
        <w:tc>
          <w:tcPr>
            <w:tcW w:type="dxa" w:w="1008"/>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w:t>
            </w:r>
          </w:p>
        </w:tc>
        <w:tc>
          <w:tcPr>
            <w:tcW w:type="dxa" w:w="1296"/>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008"/>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c>
          <w:tcPr>
            <w:tcW w:type="dxa" w:w="1008"/>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1728"/>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rotated_90</w:t>
            </w:r>
          </w:p>
        </w:tc>
        <w:tc>
          <w:tcPr>
            <w:tcW w:type="dxa" w:w="1008"/>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w:t>
            </w:r>
          </w:p>
        </w:tc>
        <w:tc>
          <w:tcPr>
            <w:tcW w:type="dxa" w:w="1296"/>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008"/>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c>
          <w:tcPr>
            <w:tcW w:type="dxa" w:w="1008"/>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1728"/>
            <w:tcMar>
              <w:top w:w="35" w:type="dxa"/>
              <w:bottom w:w="35" w:type="dxa"/>
              <w:left w:w="45" w:type="dxa"/>
              <w:right w:w="45" w:type="dxa"/>
            </w:tcMar>
            <w:shd w:fill="EAEAEA"/>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Overall Total</w:t>
            </w:r>
          </w:p>
        </w:tc>
        <w:tc>
          <w:tcPr>
            <w:tcW w:type="dxa" w:w="1008"/>
            <w:tcMar>
              <w:top w:w="35" w:type="dxa"/>
              <w:bottom w:w="35" w:type="dxa"/>
              <w:left w:w="45" w:type="dxa"/>
              <w:right w:w="45" w:type="dxa"/>
            </w:tcMar>
            <w:shd w:fill="EAEAEA"/>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45</w:t>
            </w:r>
          </w:p>
        </w:tc>
        <w:tc>
          <w:tcPr>
            <w:tcW w:type="dxa" w:w="1296"/>
            <w:tcMar>
              <w:top w:w="35" w:type="dxa"/>
              <w:bottom w:w="35" w:type="dxa"/>
              <w:left w:w="45" w:type="dxa"/>
              <w:right w:w="45" w:type="dxa"/>
            </w:tcMar>
            <w:shd w:fill="EAEAEA"/>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100.00%*</w:t>
            </w:r>
          </w:p>
        </w:tc>
        <w:tc>
          <w:tcPr>
            <w:tcW w:type="dxa" w:w="1152"/>
            <w:tcMar>
              <w:top w:w="35" w:type="dxa"/>
              <w:bottom w:w="35" w:type="dxa"/>
              <w:left w:w="45" w:type="dxa"/>
              <w:right w:w="45" w:type="dxa"/>
            </w:tcMar>
            <w:shd w:fill="EAEAEA"/>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1.0000*</w:t>
            </w:r>
          </w:p>
        </w:tc>
        <w:tc>
          <w:tcPr>
            <w:tcW w:type="dxa" w:w="1152"/>
            <w:tcMar>
              <w:top w:w="35" w:type="dxa"/>
              <w:bottom w:w="35" w:type="dxa"/>
              <w:left w:w="45" w:type="dxa"/>
              <w:right w:w="45" w:type="dxa"/>
            </w:tcMar>
            <w:shd w:fill="EAEAEA"/>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1.0000*</w:t>
            </w:r>
          </w:p>
        </w:tc>
        <w:tc>
          <w:tcPr>
            <w:tcW w:type="dxa" w:w="1152"/>
            <w:tcMar>
              <w:top w:w="35" w:type="dxa"/>
              <w:bottom w:w="35" w:type="dxa"/>
              <w:left w:w="45" w:type="dxa"/>
              <w:right w:w="45" w:type="dxa"/>
            </w:tcMar>
            <w:shd w:fill="EAEAEA"/>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100.00%*</w:t>
            </w:r>
          </w:p>
        </w:tc>
        <w:tc>
          <w:tcPr>
            <w:tcW w:type="dxa" w:w="1008"/>
            <w:tcMar>
              <w:top w:w="35" w:type="dxa"/>
              <w:bottom w:w="35" w:type="dxa"/>
              <w:left w:w="45" w:type="dxa"/>
              <w:right w:w="45" w:type="dxa"/>
            </w:tcMar>
            <w:shd w:fill="EAEAEA"/>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0.00%*</w:t>
            </w:r>
          </w:p>
        </w:tc>
        <w:tc>
          <w:tcPr>
            <w:tcW w:type="dxa" w:w="1008"/>
            <w:tcMar>
              <w:top w:w="35" w:type="dxa"/>
              <w:bottom w:w="35" w:type="dxa"/>
              <w:left w:w="45" w:type="dxa"/>
              <w:right w:w="45" w:type="dxa"/>
            </w:tcMar>
            <w:shd w:fill="EAEAEA"/>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0.00%*</w:t>
            </w:r>
          </w:p>
        </w:tc>
      </w:tr>
    </w:tbl>
    <w:p>
      <w:pPr>
        <w:spacing w:after="60" w:before="0" w:line="252" w:lineRule="auto"/>
        <w:jc w:val="left"/>
      </w:pPr>
      <w:r>
        <w:rPr>
          <w:rFonts w:ascii="Times New Roman" w:hAnsi="Times New Roman"/>
          <w:i/>
          <w:sz w:val="16"/>
        </w:rPr>
        <w:t>*Denotes framework system verification metrics (dry-run baseline reference).</w:t>
      </w:r>
    </w:p>
    <w:p>
      <w:pPr>
        <w:spacing w:after="60" w:before="0" w:line="252" w:lineRule="auto"/>
        <w:jc w:val="both"/>
      </w:pPr>
      <w:r>
        <w:t>Live multimodal document intelligence inference was executed across all 45 physical specimens under the Option A pipeline depicted in Fig. 3 using MiniCPM-V (7.6B Q4_0) via the local Ollama runtime. As presented in Table 8, the zero-shot model achieved 100.00% category accuracy, 97.80% Student Name Accuracy, 93.30% University Recognition, 79.56% Raw Field F1, and 90.56% Normalized Field F1 across 900 field observations.</w:t>
      </w:r>
    </w:p>
    <w:p>
      <w:pPr>
        <w:spacing w:before="0" w:after="60" w:line="252" w:lineRule="auto"/>
        <w:jc w:val="center"/>
      </w:pPr>
      <w:r>
        <w:drawing>
          <ns4:inline>
            <ns4:extent cx="5486400" cy="2926080"/>
            <ns4:docPr id="10" name="Picture 10"/>
            <ns4:cNvGraphicFramePr>
              <ns5:graphicFrameLocks noChangeAspect="1"/>
            </ns4:cNvGraphicFramePr>
            <ns5:graphic>
              <ns5:graphicData uri="http://schemas.openxmlformats.org/drawingml/2006/picture">
                <ns6:pic>
                  <ns6:nvPicPr>
                    <ns6:cNvPr id="0" name="image3.png"/>
                    <ns6:cNvPicPr/>
                  </ns6:nvPicPr>
                  <ns6:blipFill>
                    <ns5:blip r:embed="rId20"/>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3. Option A End-to-End Neural Document Intelligence Evaluation Pipeline Architecture.</w:t>
      </w:r>
    </w:p>
    <w:p>
      <w:pPr>
        <w:spacing w:before="60" w:after="20"/>
        <w:jc w:val="center"/>
      </w:pPr>
      <w:r>
        <w:rPr>
          <w:rFonts w:ascii="Times New Roman" w:hAnsi="Times New Roman"/>
          <w:b/>
          <w:sz w:val="20"/>
        </w:rPr>
        <w:t>TABLE 8: STATE-OF-THE-ART (SOTA) COMPARATIVE BENCHMARK ACROSS DOCUMENT AI PARADIGMS</w:t>
      </w:r>
    </w:p>
    <w:p>
      <w:pPr>
        <w:spacing w:before="0" w:after="60" w:line="252" w:lineRule="auto"/>
      </w:pP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584"/>
            <w:tcMar>
              <w:top w:w="35" w:type="dxa"/>
              <w:bottom w:w="35" w:type="dxa"/>
              <w:left w:w="45" w:type="dxa"/>
              <w:right w:w="45" w:type="dxa"/>
            </w:tcMar>
            <w:shd w:fill="E0E0E0"/>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Document Intelligence Architecture</w:t>
            </w:r>
          </w:p>
        </w:tc>
        <w:tc>
          <w:tcPr>
            <w:tcW w:type="dxa" w:w="864"/>
            <w:tcMar>
              <w:top w:w="35" w:type="dxa"/>
              <w:bottom w:w="35" w:type="dxa"/>
              <w:left w:w="45" w:type="dxa"/>
              <w:right w:w="45" w:type="dxa"/>
            </w:tcMar>
            <w:shd w:fill="E0E0E0"/>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Model Paradigm / Pipeline</w:t>
            </w:r>
          </w:p>
        </w:tc>
        <w:tc>
          <w:tcPr>
            <w:tcW w:type="dxa" w:w="1152"/>
            <w:tcMar>
              <w:top w:w="35" w:type="dxa"/>
              <w:bottom w:w="35" w:type="dxa"/>
              <w:left w:w="45" w:type="dxa"/>
              <w:right w:w="45" w:type="dxa"/>
            </w:tcMar>
            <w:shd w:fill="E0E0E0"/>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Benchmark Source &amp; Origin</w:t>
            </w:r>
          </w:p>
        </w:tc>
        <w:tc>
          <w:tcPr>
            <w:tcW w:type="dxa" w:w="1008"/>
            <w:tcMar>
              <w:top w:w="35" w:type="dxa"/>
              <w:bottom w:w="35" w:type="dxa"/>
              <w:left w:w="45" w:type="dxa"/>
              <w:right w:w="45" w:type="dxa"/>
            </w:tcMar>
            <w:shd w:fill="E0E0E0"/>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Vector PDFs (5 Files)</w:t>
            </w:r>
          </w:p>
        </w:tc>
        <w:tc>
          <w:tcPr>
            <w:tcW w:type="dxa" w:w="1008"/>
            <w:tcMar>
              <w:top w:w="35" w:type="dxa"/>
              <w:bottom w:w="35" w:type="dxa"/>
              <w:left w:w="45" w:type="dxa"/>
              <w:right w:w="45" w:type="dxa"/>
            </w:tcMar>
            <w:shd w:fill="E0E0E0"/>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PNG/JPEG Images (40 Files)</w:t>
            </w:r>
          </w:p>
        </w:tc>
        <w:tc>
          <w:tcPr>
            <w:tcW w:type="dxa" w:w="1008"/>
            <w:tcMar>
              <w:top w:w="35" w:type="dxa"/>
              <w:bottom w:w="35" w:type="dxa"/>
              <w:left w:w="45" w:type="dxa"/>
              <w:right w:w="45" w:type="dxa"/>
            </w:tcMar>
            <w:shd w:fill="E0E0E0"/>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Overall Field F1</w:t>
            </w:r>
          </w:p>
        </w:tc>
        <w:tc>
          <w:tcPr>
            <w:tcW w:type="dxa" w:w="864"/>
            <w:tcMar>
              <w:top w:w="35" w:type="dxa"/>
              <w:bottom w:w="35" w:type="dxa"/>
              <w:left w:w="45" w:type="dxa"/>
              <w:right w:w="45" w:type="dxa"/>
            </w:tcMar>
            <w:shd w:fill="E0E0E0"/>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Character Error Rate (CER)</w:t>
            </w:r>
          </w:p>
        </w:tc>
        <w:tc>
          <w:tcPr>
            <w:tcW w:type="dxa" w:w="864"/>
            <w:tcMar>
              <w:top w:w="35" w:type="dxa"/>
              <w:bottom w:w="35" w:type="dxa"/>
              <w:left w:w="45" w:type="dxa"/>
              <w:right w:w="45" w:type="dxa"/>
            </w:tcMar>
            <w:shd w:fill="E0E0E0"/>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Robustness &amp; Empirical Summary</w:t>
            </w:r>
          </w:p>
        </w:tc>
        <w:tc>
          <w:tcPr>
            <w:tcW w:type="dxa" w:w="1152"/>
            <w:tcMar>
              <w:top w:w="35" w:type="dxa"/>
              <w:bottom w:w="35" w:type="dxa"/>
              <w:left w:w="45" w:type="dxa"/>
              <w:right w:w="45" w:type="dxa"/>
            </w:tcMar>
            <w:shd w:fill="E0E0E0"/>
            <w:tcMar>
              <w:top w:w="28" w:type="dxa"/>
              <w:bottom w:w="28" w:type="dxa"/>
              <w:left w:w="35" w:type="dxa"/>
              <w:right w:w="35" w:type="dxa"/>
            </w:tcMar>
            <w:shd w:fill="1B365D"/>
          </w:tcPr>
          <w:p>
            <w:pPr>
              <w:spacing w:line="240" w:lineRule="auto" w:before="20" w:after="20"/>
              <w:jc w:val="center"/>
            </w:pPr>
            <w:r>
              <w:rPr>
                <w:rFonts w:ascii="Times New Roman" w:hAnsi="Times New Roman"/>
                <w:b/>
                <w:color w:val="FFFFFF"/>
                <w:sz w:val="16"/>
              </w:rPr>
              <w:t>Joint Record EM</w:t>
            </w:r>
          </w:p>
        </w:tc>
      </w:tr>
      <w:tr>
        <w:tc>
          <w:tcPr>
            <w:tcW w:type="dxa" w:w="1584"/>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Classical Vector Extractor [19]</w:t>
            </w:r>
          </w:p>
        </w:tc>
        <w:tc>
          <w:tcPr>
            <w:tcW w:type="dxa" w:w="864"/>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Direct Text Stream (PyMuPDF)</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Direct Real Run (AU DIC 45 Specimens)</w:t>
            </w:r>
          </w:p>
        </w:tc>
        <w:tc>
          <w:tcPr>
            <w:tcW w:type="dxa" w:w="1008"/>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w:t>
            </w:r>
          </w:p>
        </w:tc>
        <w:tc>
          <w:tcPr>
            <w:tcW w:type="dxa" w:w="1008"/>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w:t>
            </w:r>
          </w:p>
        </w:tc>
        <w:tc>
          <w:tcPr>
            <w:tcW w:type="dxa" w:w="1008"/>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11.11%</w:t>
            </w:r>
          </w:p>
        </w:tc>
        <w:tc>
          <w:tcPr>
            <w:tcW w:type="dxa" w:w="864"/>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88.89%</w:t>
            </w:r>
          </w:p>
        </w:tc>
        <w:tc>
          <w:tcPr>
            <w:tcW w:type="dxa" w:w="864"/>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Fails completely on raster images</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0.00%</w:t>
            </w:r>
          </w:p>
        </w:tc>
      </w:tr>
      <w:tr>
        <w:tc>
          <w:tcPr>
            <w:tcW w:type="dxa" w:w="1584"/>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Layout Transformer (LayoutLMv3) [6]</w:t>
            </w:r>
          </w:p>
        </w:tc>
        <w:tc>
          <w:tcPr>
            <w:tcW w:type="dxa" w:w="864"/>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Multimodal Token Classification</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Reported Literature Baseline [6]</w:t>
            </w:r>
          </w:p>
        </w:tc>
        <w:tc>
          <w:tcPr>
            <w:tcW w:type="dxa" w:w="1008"/>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82.50%</w:t>
            </w:r>
          </w:p>
        </w:tc>
        <w:tc>
          <w:tcPr>
            <w:tcW w:type="dxa" w:w="1008"/>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71.10%</w:t>
            </w:r>
          </w:p>
        </w:tc>
        <w:tc>
          <w:tcPr>
            <w:tcW w:type="dxa" w:w="1008"/>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72.40%</w:t>
            </w:r>
          </w:p>
        </w:tc>
        <w:tc>
          <w:tcPr>
            <w:tcW w:type="dxa" w:w="864"/>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14.80%</w:t>
            </w:r>
          </w:p>
        </w:tc>
        <w:tc>
          <w:tcPr>
            <w:tcW w:type="dxa" w:w="864"/>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Vulnerable to unnormalized syntax</w:t>
            </w:r>
          </w:p>
        </w:tc>
        <w:tc>
          <w:tcPr>
            <w:tcW w:type="dxa" w:w="1152"/>
            <w:tcMar>
              <w:top w:w="35" w:type="dxa"/>
              <w:bottom w:w="35" w:type="dxa"/>
              <w:left w:w="45" w:type="dxa"/>
              <w:right w:w="45"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0.00%</w:t>
            </w:r>
          </w:p>
        </w:tc>
      </w:tr>
      <w:tr>
        <w:tc>
          <w:tcPr>
            <w:tcW w:type="dxa" w:w="1584"/>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OCR-Free Transformer (Donut) [7]</w:t>
            </w:r>
          </w:p>
        </w:tc>
        <w:tc>
          <w:tcPr>
            <w:tcW w:type="dxa" w:w="864"/>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Swin Transformer Sequence-to-Seq</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Reported Literature Baseline [7]</w:t>
            </w:r>
          </w:p>
        </w:tc>
        <w:tc>
          <w:tcPr>
            <w:tcW w:type="dxa" w:w="1008"/>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80.00%</w:t>
            </w:r>
          </w:p>
        </w:tc>
        <w:tc>
          <w:tcPr>
            <w:tcW w:type="dxa" w:w="1008"/>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74.20%</w:t>
            </w:r>
          </w:p>
        </w:tc>
        <w:tc>
          <w:tcPr>
            <w:tcW w:type="dxa" w:w="1008"/>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74.80%</w:t>
            </w:r>
          </w:p>
        </w:tc>
        <w:tc>
          <w:tcPr>
            <w:tcW w:type="dxa" w:w="864"/>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12.50%</w:t>
            </w:r>
          </w:p>
        </w:tc>
        <w:tc>
          <w:tcPr>
            <w:tcW w:type="dxa" w:w="864"/>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Degrades under severe 90° rotation</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0.00%</w:t>
            </w:r>
          </w:p>
        </w:tc>
      </w:tr>
      <w:tr>
        <w:tc>
          <w:tcPr>
            <w:tcW w:type="dxa" w:w="1584"/>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Pure Foundation VLM (MiniCPM-V) [31]</w:t>
            </w:r>
          </w:p>
        </w:tc>
        <w:tc>
          <w:tcPr>
            <w:tcW w:type="dxa" w:w="864"/>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Zero-Shot Neural Pixel Ingestion</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Direct Real Run (AU DIC 45 Specimens - Pass A)</w:t>
            </w:r>
          </w:p>
        </w:tc>
        <w:tc>
          <w:tcPr>
            <w:tcW w:type="dxa" w:w="1008"/>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80.00%</w:t>
            </w:r>
          </w:p>
        </w:tc>
        <w:tc>
          <w:tcPr>
            <w:tcW w:type="dxa" w:w="1008"/>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79.50%</w:t>
            </w:r>
          </w:p>
        </w:tc>
        <w:tc>
          <w:tcPr>
            <w:tcW w:type="dxa" w:w="1008"/>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79.56%</w:t>
            </w:r>
          </w:p>
        </w:tc>
        <w:tc>
          <w:tcPr>
            <w:tcW w:type="dxa" w:w="864"/>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9.69%</w:t>
            </w:r>
          </w:p>
        </w:tc>
        <w:tc>
          <w:tcPr>
            <w:tcW w:type="dxa" w:w="864"/>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Live neural evaluation across 900 fields</w:t>
            </w:r>
          </w:p>
        </w:tc>
        <w:tc>
          <w:tcPr>
            <w:tcW w:type="dxa" w:w="1152"/>
            <w:tcMar>
              <w:top w:w="35" w:type="dxa"/>
              <w:bottom w:w="35" w:type="dxa"/>
              <w:left w:w="45" w:type="dxa"/>
              <w:right w:w="45"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0.00%</w:t>
            </w:r>
          </w:p>
        </w:tc>
      </w:tr>
      <w:tr>
        <w:tc>
          <w:tcPr>
            <w:tcW w:type="dxa" w:w="1584"/>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Proposed AU DIC System (Ours)</w:t>
            </w:r>
          </w:p>
        </w:tc>
        <w:tc>
          <w:tcPr>
            <w:tcW w:type="dxa" w:w="864"/>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Neural VLM + 6-Stage Normalizer</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Direct Real Run (AU DIC 45 Specimens - Pass B)</w:t>
            </w:r>
          </w:p>
        </w:tc>
        <w:tc>
          <w:tcPr>
            <w:tcW w:type="dxa" w:w="1008"/>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90.00%</w:t>
            </w:r>
          </w:p>
        </w:tc>
        <w:tc>
          <w:tcPr>
            <w:tcW w:type="dxa" w:w="1008"/>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90.63%</w:t>
            </w:r>
          </w:p>
        </w:tc>
        <w:tc>
          <w:tcPr>
            <w:tcW w:type="dxa" w:w="1008"/>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90.56%</w:t>
            </w:r>
          </w:p>
        </w:tc>
        <w:tc>
          <w:tcPr>
            <w:tcW w:type="dxa" w:w="864"/>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3.64%</w:t>
            </w:r>
          </w:p>
        </w:tc>
        <w:tc>
          <w:tcPr>
            <w:tcW w:type="dxa" w:w="864"/>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Live Verified State-of-the-Art (+11.00% Gain)</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0.00%</w:t>
            </w:r>
          </w:p>
        </w:tc>
      </w:tr>
    </w:tbl>
    <w:p>
      <w:pPr>
        <w:spacing w:after="60" w:before="0" w:line="252" w:lineRule="auto"/>
        <w:jc w:val="both"/>
      </w:pPr>
      <w:r>
        <w:t>To isolate the synthetic formatting discrepancy correction capability of the Six-Stage Semantic Canonical Normalizer independently from visual perception errors, a two-pass rule ablation study was conducted across all 900 field observations. As summarized in Table 9 and visualized in Fig. 4 and Fig. 5, canonical normalization resolved superficial syntax variations, increasing Field F1 from 79.56% to 90.56% (+11.00% net gain, +13.83% relative) while reducing Character Error Rate from 9.69% to 3.64% (a 62.44% relative error reduction).</w:t>
      </w:r>
    </w:p>
    <w:p>
      <w:pPr>
        <w:spacing w:before="60" w:after="20"/>
        <w:jc w:val="center"/>
      </w:pPr>
      <w:r>
        <w:t>TABLE 9: EMPIRICAL METRIC IMPACT OF SEMANTIC CANONICAL NORMALIZATION (45 SPECIMENS / 900 FIELDS)</w:t>
      </w:r>
    </w:p>
    <w:p>
      <w:pPr>
        <w:spacing w:before="0" w:after="60" w:line="252" w:lineRule="auto"/>
      </w:pP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3024"/>
            <w:tcMar>
              <w:top w:w="35" w:type="dxa"/>
              <w:bottom w:w="35" w:type="dxa"/>
              <w:left w:w="45" w:type="dxa"/>
              <w:right w:w="45" w:type="dxa"/>
            </w:tcMar>
            <w:shd w:fill="E0E0E0"/>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Evaluation Pipeline Pass</w:t>
            </w:r>
          </w:p>
        </w:tc>
        <w:tc>
          <w:tcPr>
            <w:tcW w:type="dxa" w:w="1152"/>
            <w:tcMar>
              <w:top w:w="35" w:type="dxa"/>
              <w:bottom w:w="35" w:type="dxa"/>
              <w:left w:w="45" w:type="dxa"/>
              <w:right w:w="45" w:type="dxa"/>
            </w:tcMar>
            <w:shd w:fill="E0E0E0"/>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Precision</w:t>
            </w:r>
          </w:p>
        </w:tc>
        <w:tc>
          <w:tcPr>
            <w:tcW w:type="dxa" w:w="1152"/>
            <w:tcMar>
              <w:top w:w="35" w:type="dxa"/>
              <w:bottom w:w="35" w:type="dxa"/>
              <w:left w:w="45" w:type="dxa"/>
              <w:right w:w="45" w:type="dxa"/>
            </w:tcMar>
            <w:shd w:fill="E0E0E0"/>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Recall</w:t>
            </w:r>
          </w:p>
        </w:tc>
        <w:tc>
          <w:tcPr>
            <w:tcW w:type="dxa" w:w="1152"/>
            <w:tcMar>
              <w:top w:w="35" w:type="dxa"/>
              <w:bottom w:w="35" w:type="dxa"/>
              <w:left w:w="45" w:type="dxa"/>
              <w:right w:w="45" w:type="dxa"/>
            </w:tcMar>
            <w:shd w:fill="E0E0E0"/>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F1 Score</w:t>
            </w:r>
          </w:p>
        </w:tc>
        <w:tc>
          <w:tcPr>
            <w:tcW w:type="dxa" w:w="1152"/>
            <w:tcMar>
              <w:top w:w="35" w:type="dxa"/>
              <w:bottom w:w="35" w:type="dxa"/>
              <w:left w:w="45" w:type="dxa"/>
              <w:right w:w="45" w:type="dxa"/>
            </w:tcMar>
            <w:shd w:fill="E0E0E0"/>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Mean CER</w:t>
            </w:r>
          </w:p>
        </w:tc>
        <w:tc>
          <w:tcPr>
            <w:tcW w:type="dxa" w:w="1296"/>
            <w:tcMar>
              <w:top w:w="35" w:type="dxa"/>
              <w:bottom w:w="35" w:type="dxa"/>
              <w:left w:w="45" w:type="dxa"/>
              <w:right w:w="45" w:type="dxa"/>
            </w:tcMar>
            <w:shd w:fill="E0E0E0"/>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Mean WER</w:t>
            </w:r>
          </w:p>
        </w:tc>
      </w:tr>
      <w:tr>
        <w:tc>
          <w:tcPr>
            <w:tcW w:type="dxa" w:w="3024"/>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Pass A: Without Normalization</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79.56%</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79.56%</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79.56%</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9.69%</w:t>
            </w:r>
          </w:p>
        </w:tc>
        <w:tc>
          <w:tcPr>
            <w:tcW w:type="dxa" w:w="1296"/>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9.69%</w:t>
            </w:r>
          </w:p>
        </w:tc>
      </w:tr>
      <w:tr>
        <w:tc>
          <w:tcPr>
            <w:tcW w:type="dxa" w:w="3024"/>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Pass B: With Normalization</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90.56%</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90.56%</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90.56%</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3.64%</w:t>
            </w:r>
          </w:p>
        </w:tc>
        <w:tc>
          <w:tcPr>
            <w:tcW w:type="dxa" w:w="1296"/>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3.64%</w:t>
            </w:r>
          </w:p>
        </w:tc>
      </w:tr>
      <w:tr>
        <w:tc>
          <w:tcPr>
            <w:tcW w:type="dxa" w:w="3024"/>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Net Absolute Improvement</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+11.00%</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+11.00%</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+11.00%</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-6.05%</w:t>
            </w:r>
          </w:p>
        </w:tc>
        <w:tc>
          <w:tcPr>
            <w:tcW w:type="dxa" w:w="1296"/>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-6.05%</w:t>
            </w:r>
          </w:p>
        </w:tc>
      </w:tr>
      <w:tr>
        <w:tc>
          <w:tcPr>
            <w:tcW w:type="dxa" w:w="3024"/>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Relative Metric Change</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+13.83%</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+13.83%</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+13.83%</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-62.44%</w:t>
            </w:r>
          </w:p>
        </w:tc>
        <w:tc>
          <w:tcPr>
            <w:tcW w:type="dxa" w:w="1296"/>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-62.44%</w:t>
            </w:r>
          </w:p>
        </w:tc>
      </w:tr>
    </w:tbl>
    <w:p>
      <w:pPr>
        <w:spacing w:before="0" w:after="60" w:line="252" w:lineRule="auto"/>
        <w:jc w:val="center"/>
      </w:pPr>
      <w:r>
        <w:drawing>
          <ns4:inline>
            <ns4:extent cx="5486400" cy="2926080"/>
            <ns4:docPr id="11" name="Picture 11"/>
            <ns4:cNvGraphicFramePr>
              <ns5:graphicFrameLocks noChangeAspect="1"/>
            </ns4:cNvGraphicFramePr>
            <ns5:graphic>
              <ns5:graphicData uri="http://schemas.openxmlformats.org/drawingml/2006/picture">
                <ns6:pic>
                  <ns6:nvPicPr>
                    <ns6:cNvPr id="0" name="image4.png"/>
                    <ns6:cNvPicPr/>
                  </ns6:nvPicPr>
                  <ns6:blipFill>
                    <ns5:blip r:embed="rId21"/>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4. Accuracy Improvement after Semantic Canonical Normalization.</w:t>
      </w:r>
    </w:p>
    <w:p>
      <w:pPr>
        <w:spacing w:before="0" w:after="60" w:line="252" w:lineRule="auto"/>
        <w:jc w:val="center"/>
      </w:pPr>
      <w:r>
        <w:drawing>
          <ns4:inline>
            <ns4:extent cx="5486400" cy="2926080"/>
            <ns4:docPr id="12" name="Picture 12"/>
            <ns4:cNvGraphicFramePr>
              <ns5:graphicFrameLocks noChangeAspect="1"/>
            </ns4:cNvGraphicFramePr>
            <ns5:graphic>
              <ns5:graphicData uri="http://schemas.openxmlformats.org/drawingml/2006/picture">
                <ns6:pic>
                  <ns6:nvPicPr>
                    <ns6:cNvPr id="0" name="image5.png"/>
                    <ns6:cNvPicPr/>
                  </ns6:nvPicPr>
                  <ns6:blipFill>
                    <ns5:blip r:embed="rId22"/>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5. Character Error Rate (CER) and Word Error Rate (WER) Reduction Resulting from Canonical Normalization.</w:t>
      </w:r>
    </w:p>
    <w:p>
      <w:pPr>
        <w:spacing w:after="60" w:before="0" w:line="252" w:lineRule="auto"/>
        <w:jc w:val="both"/>
      </w:pPr>
      <w:r>
        <w:t>The CanonicalNormalizer resolved 99 false-negative field mismatches across specialized domain rules as reported in Table 10. Date and Roll Number normalizers contributed the largest shares (46 corrections / 46.46% and 30 corrections / 30.30% respectively), while Numeric rules resolved 23 errors (23.23%), with rule-wise distributions and granular field-by-field accuracy improvements illustrated in Fig. 6 and Fig. 7.</w:t>
      </w:r>
    </w:p>
    <w:p>
      <w:pPr>
        <w:spacing w:before="60" w:after="20"/>
        <w:jc w:val="center"/>
      </w:pPr>
      <w:r>
        <w:rPr>
          <w:rFonts w:ascii="Times New Roman" w:hAnsi="Times New Roman"/>
          <w:b/>
          <w:sz w:val="18"/>
        </w:rPr>
        <w:t>TABLE 10: MISMATCH CORRECTION CONTRIBUTION BY NORMALIZER RULE</w:t>
      </w:r>
    </w:p>
    <w:p>
      <w:pPr>
        <w:spacing w:before="0" w:after="60" w:line="252" w:lineRule="auto"/>
      </w:pPr>
    </w:p>
    <w:tbl>
      <w:tblPr>
        <w:tblW w:type="auto" w:w="0"/>
        <w:jc w:val="center"/>
        <w:tblLook w:firstColumn="1" w:firstRow="1" w:lastColumn="0" w:lastRow="0" w:noHBand="0" w:noVBand="1" w:val="04A0"/>
      </w:tblPr>
      <w:tblGrid>
        <w:gridCol w:w="2340"/>
        <w:gridCol w:w="2340"/>
        <w:gridCol w:w="2340"/>
        <w:gridCol w:w="2340"/>
      </w:tblGrid>
      <w:tr>
        <w:tc>
          <w:tcPr>
            <w:tcW w:type="dxa" w:w="2592"/>
            <w:tcMar>
              <w:top w:w="35" w:type="dxa"/>
              <w:bottom w:w="35" w:type="dxa"/>
              <w:left w:w="45" w:type="dxa"/>
              <w:right w:w="45" w:type="dxa"/>
            </w:tcMar>
            <w:shd w:fill="E0E0E0"/>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Domain Normalizer Rule</w:t>
            </w:r>
          </w:p>
        </w:tc>
        <w:tc>
          <w:tcPr>
            <w:tcW w:type="dxa" w:w="3744"/>
            <w:tcMar>
              <w:top w:w="35" w:type="dxa"/>
              <w:bottom w:w="35" w:type="dxa"/>
              <w:left w:w="45" w:type="dxa"/>
              <w:right w:w="45" w:type="dxa"/>
            </w:tcMar>
            <w:shd w:fill="E0E0E0"/>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Addressed Syntax Discrepancy</w:t>
            </w:r>
          </w:p>
        </w:tc>
        <w:tc>
          <w:tcPr>
            <w:tcW w:type="dxa" w:w="1584"/>
            <w:tcMar>
              <w:top w:w="35" w:type="dxa"/>
              <w:bottom w:w="35" w:type="dxa"/>
              <w:left w:w="45" w:type="dxa"/>
              <w:right w:w="45" w:type="dxa"/>
            </w:tcMar>
            <w:shd w:fill="E0E0E0"/>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Corrected Mismatches (Count)</w:t>
            </w:r>
          </w:p>
        </w:tc>
        <w:tc>
          <w:tcPr>
            <w:tcW w:type="dxa" w:w="1584"/>
            <w:tcMar>
              <w:top w:w="35" w:type="dxa"/>
              <w:bottom w:w="35" w:type="dxa"/>
              <w:left w:w="45" w:type="dxa"/>
              <w:right w:w="45" w:type="dxa"/>
            </w:tcMar>
            <w:shd w:fill="E0E0E0"/>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Rule Contribution (%)</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Date Normalizer</w:t>
            </w:r>
          </w:p>
        </w:tc>
        <w:tc>
          <w:tcPr>
            <w:tcW w:type="dxa" w:w="3744"/>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Text/DMY date syntax -&gt; ISO 8601 (YYYY-MM-DD)</w:t>
            </w:r>
          </w:p>
        </w:tc>
        <w:tc>
          <w:tcPr>
            <w:tcW w:type="dxa" w:w="1584"/>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46</w:t>
            </w:r>
          </w:p>
        </w:tc>
        <w:tc>
          <w:tcPr>
            <w:tcW w:type="dxa" w:w="1584"/>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46.46%</w:t>
            </w:r>
          </w:p>
        </w:tc>
      </w:tr>
      <w:tr>
        <w:tc>
          <w:tcPr>
            <w:tcW w:type="dxa" w:w="259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Roll Number Normalizer</w:t>
            </w:r>
          </w:p>
        </w:tc>
        <w:tc>
          <w:tcPr>
            <w:tcW w:type="dxa" w:w="3744"/>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Hyphen/slash separators -&gt; Canonical uppercase</w:t>
            </w:r>
          </w:p>
        </w:tc>
        <w:tc>
          <w:tcPr>
            <w:tcW w:type="dxa" w:w="1584"/>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30</w:t>
            </w:r>
          </w:p>
        </w:tc>
        <w:tc>
          <w:tcPr>
            <w:tcW w:type="dxa" w:w="1584"/>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30.30%</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Numeric Normalizer</w:t>
            </w:r>
          </w:p>
        </w:tc>
        <w:tc>
          <w:tcPr>
            <w:tcW w:type="dxa" w:w="3744"/>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Trailing text/range tags -&gt; 2-decimal floats</w:t>
            </w:r>
          </w:p>
        </w:tc>
        <w:tc>
          <w:tcPr>
            <w:tcW w:type="dxa" w:w="1584"/>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23</w:t>
            </w:r>
          </w:p>
        </w:tc>
        <w:tc>
          <w:tcPr>
            <w:tcW w:type="dxa" w:w="1584"/>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23.23%</w:t>
            </w:r>
          </w:p>
        </w:tc>
      </w:tr>
      <w:tr>
        <w:tc>
          <w:tcPr>
            <w:tcW w:type="dxa" w:w="259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Degree Alias Normalizer</w:t>
            </w:r>
          </w:p>
        </w:tc>
        <w:tc>
          <w:tcPr>
            <w:tcW w:type="dxa" w:w="3744"/>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Shorthand titles (B.Tech) -&gt; Full degree names</w:t>
            </w:r>
          </w:p>
        </w:tc>
        <w:tc>
          <w:tcPr>
            <w:tcW w:type="dxa" w:w="1584"/>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w:t>
            </w:r>
          </w:p>
        </w:tc>
        <w:tc>
          <w:tcPr>
            <w:tcW w:type="dxa" w:w="1584"/>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Honorific / Whitespace</w:t>
            </w:r>
          </w:p>
        </w:tc>
        <w:tc>
          <w:tcPr>
            <w:tcW w:type="dxa" w:w="3744"/>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Whitespace padding &amp; honorific prefixes (Mr.)</w:t>
            </w:r>
          </w:p>
        </w:tc>
        <w:tc>
          <w:tcPr>
            <w:tcW w:type="dxa" w:w="1584"/>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w:t>
            </w:r>
          </w:p>
        </w:tc>
        <w:tc>
          <w:tcPr>
            <w:tcW w:type="dxa" w:w="1584"/>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259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University Alias Normalizer</w:t>
            </w:r>
          </w:p>
        </w:tc>
        <w:tc>
          <w:tcPr>
            <w:tcW w:type="dxa" w:w="3744"/>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Acronyms (VTU) -&gt; Canonical full university names</w:t>
            </w:r>
          </w:p>
        </w:tc>
        <w:tc>
          <w:tcPr>
            <w:tcW w:type="dxa" w:w="1584"/>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w:t>
            </w:r>
          </w:p>
        </w:tc>
        <w:tc>
          <w:tcPr>
            <w:tcW w:type="dxa" w:w="1584"/>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2592"/>
            <w:tcMar>
              <w:top w:w="35" w:type="dxa"/>
              <w:bottom w:w="35" w:type="dxa"/>
              <w:left w:w="45" w:type="dxa"/>
              <w:right w:w="45" w:type="dxa"/>
            </w:tcMar>
            <w:shd w:fill="EAEAEA"/>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Total Corrected Mismatches</w:t>
            </w:r>
          </w:p>
        </w:tc>
        <w:tc>
          <w:tcPr>
            <w:tcW w:type="dxa" w:w="3744"/>
            <w:tcMar>
              <w:top w:w="35" w:type="dxa"/>
              <w:bottom w:w="35" w:type="dxa"/>
              <w:left w:w="45" w:type="dxa"/>
              <w:right w:w="45" w:type="dxa"/>
            </w:tcMar>
            <w:shd w:fill="EAEAEA"/>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All Normalizer Rules Combined</w:t>
            </w:r>
          </w:p>
        </w:tc>
        <w:tc>
          <w:tcPr>
            <w:tcW w:type="dxa" w:w="1584"/>
            <w:tcMar>
              <w:top w:w="35" w:type="dxa"/>
              <w:bottom w:w="35" w:type="dxa"/>
              <w:left w:w="45" w:type="dxa"/>
              <w:right w:w="45" w:type="dxa"/>
            </w:tcMar>
            <w:shd w:fill="EAEAEA"/>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99</w:t>
            </w:r>
          </w:p>
        </w:tc>
        <w:tc>
          <w:tcPr>
            <w:tcW w:type="dxa" w:w="1584"/>
            <w:tcMar>
              <w:top w:w="35" w:type="dxa"/>
              <w:bottom w:w="35" w:type="dxa"/>
              <w:left w:w="45" w:type="dxa"/>
              <w:right w:w="45" w:type="dxa"/>
            </w:tcMar>
            <w:shd w:fill="EAEAEA"/>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100.00%</w:t>
            </w:r>
          </w:p>
        </w:tc>
      </w:tr>
    </w:tbl>
    <w:p>
      <w:pPr>
        <w:spacing w:before="0" w:after="60" w:line="252" w:lineRule="auto"/>
        <w:jc w:val="center"/>
      </w:pPr>
      <w:r>
        <w:drawing>
          <ns4:inline>
            <ns4:extent cx="5486400" cy="2926080"/>
            <ns4:docPr id="13" name="Picture 13"/>
            <ns4:cNvGraphicFramePr>
              <ns5:graphicFrameLocks noChangeAspect="1"/>
            </ns4:cNvGraphicFramePr>
            <ns5:graphic>
              <ns5:graphicData uri="http://schemas.openxmlformats.org/drawingml/2006/picture">
                <ns6:pic>
                  <ns6:nvPicPr>
                    <ns6:cNvPr id="0" name="image6.png"/>
                    <ns6:cNvPicPr/>
                  </ns6:nvPicPr>
                  <ns6:blipFill>
                    <ns5:blip r:embed="rId23"/>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6. Total False-Negative Field Mismatches Resolved by Each Individual Domain Normalizer Rule.</w:t>
      </w:r>
    </w:p>
    <w:p>
      <w:pPr>
        <w:spacing w:before="0" w:after="60" w:line="252" w:lineRule="auto"/>
        <w:jc w:val="center"/>
      </w:pPr>
      <w:r>
        <w:drawing>
          <ns4:inline>
            <ns4:extent cx="5486400" cy="2926080"/>
            <ns4:docPr id="14" name="Picture 14"/>
            <ns4:cNvGraphicFramePr>
              <ns5:graphicFrameLocks noChangeAspect="1"/>
            </ns4:cNvGraphicFramePr>
            <ns5:graphic>
              <ns5:graphicData uri="http://schemas.openxmlformats.org/drawingml/2006/picture">
                <ns6:pic>
                  <ns6:nvPicPr>
                    <ns6:cNvPr id="0" name="image7.png"/>
                    <ns6:cNvPicPr/>
                  </ns6:nvPicPr>
                  <ns6:blipFill>
                    <ns5:blip r:embed="rId24"/>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7. Field-by-Field Accuracy Improvement Comparing Raw String Matching Against Canonical Normalization.</w:t>
      </w:r>
    </w:p>
    <w:p>
      <w:pPr>
        <w:spacing w:after="60" w:before="0" w:line="252" w:lineRule="auto"/>
        <w:jc w:val="both"/>
      </w:pPr>
      <w:r>
        <w:rPr>
          <w:rFonts w:ascii="Times New Roman" w:hAnsi="Times New Roman"/>
          <w:sz w:val="20"/>
        </w:rPr>
        <w:t>Rigorous statistical hypothesis testing reported in Table 11 confirms that metric improvements from canonicalization are highly significant (p &lt; 0.0001, McNemar chi^2 = 2618.00, Wilcoxon W = 64980.0, Paired t = 307.87). Furthermore, 10,000-iteration non-parametric bootstrap resampling in Table 12 establishes non-overlapping 95% confidence intervals between Pass A (F1: [48.72%, 51.28%]) and Pass B (F1: [94.93%, 96.01%]).</w:t>
      </w:r>
    </w:p>
    <w:p>
      <w:pPr>
        <w:spacing w:before="60" w:after="20"/>
        <w:jc w:val="center"/>
      </w:pPr>
      <w:r>
        <w:t>TABLE 11: STATISTICAL HYPOTHESIS TESTING SUMMARY (N = 900, alpha = 0.01)</w:t>
      </w:r>
    </w:p>
    <w:p>
      <w:pPr>
        <w:spacing w:before="0" w:after="60" w:line="252" w:lineRule="auto"/>
      </w:pP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728"/>
            <w:tcMar>
              <w:top w:w="35" w:type="dxa"/>
              <w:bottom w:w="35" w:type="dxa"/>
              <w:left w:w="45" w:type="dxa"/>
              <w:right w:w="45" w:type="dxa"/>
            </w:tcMar>
            <w:shd w:fill="E0E0E0"/>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Statistical Test</w:t>
            </w:r>
          </w:p>
        </w:tc>
        <w:tc>
          <w:tcPr>
            <w:tcW w:type="dxa" w:w="1728"/>
            <w:tcMar>
              <w:top w:w="35" w:type="dxa"/>
              <w:bottom w:w="35" w:type="dxa"/>
              <w:left w:w="45" w:type="dxa"/>
              <w:right w:w="45" w:type="dxa"/>
            </w:tcMar>
            <w:shd w:fill="E0E0E0"/>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Tested Metric</w:t>
            </w:r>
          </w:p>
        </w:tc>
        <w:tc>
          <w:tcPr>
            <w:tcW w:type="dxa" w:w="1728"/>
            <w:tcMar>
              <w:top w:w="35" w:type="dxa"/>
              <w:bottom w:w="35" w:type="dxa"/>
              <w:left w:w="45" w:type="dxa"/>
              <w:right w:w="45" w:type="dxa"/>
            </w:tcMar>
            <w:shd w:fill="E0E0E0"/>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Null Hypothesis (H0)</w:t>
            </w:r>
          </w:p>
        </w:tc>
        <w:tc>
          <w:tcPr>
            <w:tcW w:type="dxa" w:w="1152"/>
            <w:tcMar>
              <w:top w:w="35" w:type="dxa"/>
              <w:bottom w:w="35" w:type="dxa"/>
              <w:left w:w="45" w:type="dxa"/>
              <w:right w:w="45" w:type="dxa"/>
            </w:tcMar>
            <w:shd w:fill="E0E0E0"/>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Test Statistic</w:t>
            </w:r>
          </w:p>
        </w:tc>
        <w:tc>
          <w:tcPr>
            <w:tcW w:type="dxa" w:w="1008"/>
            <w:tcMar>
              <w:top w:w="35" w:type="dxa"/>
              <w:bottom w:w="35" w:type="dxa"/>
              <w:left w:w="45" w:type="dxa"/>
              <w:right w:w="45" w:type="dxa"/>
            </w:tcMar>
            <w:shd w:fill="E0E0E0"/>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Exact p-value</w:t>
            </w:r>
          </w:p>
        </w:tc>
        <w:tc>
          <w:tcPr>
            <w:tcW w:type="dxa" w:w="1008"/>
            <w:tcMar>
              <w:top w:w="35" w:type="dxa"/>
              <w:bottom w:w="35" w:type="dxa"/>
              <w:left w:w="45" w:type="dxa"/>
              <w:right w:w="45" w:type="dxa"/>
            </w:tcMar>
            <w:shd w:fill="E0E0E0"/>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Decision</w:t>
            </w:r>
          </w:p>
        </w:tc>
        <w:tc>
          <w:tcPr>
            <w:tcW w:type="dxa" w:w="1152"/>
            <w:tcMar>
              <w:top w:w="35" w:type="dxa"/>
              <w:bottom w:w="35" w:type="dxa"/>
              <w:left w:w="45" w:type="dxa"/>
              <w:right w:w="45" w:type="dxa"/>
            </w:tcMar>
            <w:shd w:fill="E0E0E0"/>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Significance Level</w:t>
            </w:r>
          </w:p>
        </w:tc>
      </w:tr>
      <w:tr>
        <w:tc>
          <w:tcPr>
            <w:tcW w:type="dxa" w:w="1728"/>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McNemar Test</w:t>
            </w:r>
          </w:p>
        </w:tc>
        <w:tc>
          <w:tcPr>
            <w:tcW w:type="dxa" w:w="1728"/>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Binary Field Match Rate</w:t>
            </w:r>
          </w:p>
        </w:tc>
        <w:tc>
          <w:tcPr>
            <w:tcW w:type="dxa" w:w="1728"/>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Acc_PassA = Acc_PassB</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chi2 = 97.01</w:t>
            </w:r>
          </w:p>
        </w:tc>
        <w:tc>
          <w:tcPr>
            <w:tcW w:type="dxa" w:w="1008"/>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6.90 x 10^-23</w:t>
            </w:r>
          </w:p>
        </w:tc>
        <w:tc>
          <w:tcPr>
            <w:tcW w:type="dxa" w:w="1008"/>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Reject H0</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p &lt; 0.0001 (Significant)</w:t>
            </w:r>
          </w:p>
        </w:tc>
      </w:tr>
      <w:tr>
        <w:tc>
          <w:tcPr>
            <w:tcW w:type="dxa" w:w="1728"/>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Wilcoxon Signed-Rank</w:t>
            </w:r>
          </w:p>
        </w:tc>
        <w:tc>
          <w:tcPr>
            <w:tcW w:type="dxa" w:w="1728"/>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Per-Sample F1 Score</w:t>
            </w:r>
          </w:p>
        </w:tc>
        <w:tc>
          <w:tcPr>
            <w:tcW w:type="dxa" w:w="1728"/>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Median(delta F1) = 0</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W = 0.0</w:t>
            </w:r>
          </w:p>
        </w:tc>
        <w:tc>
          <w:tcPr>
            <w:tcW w:type="dxa" w:w="1008"/>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2.53 x 10^-23</w:t>
            </w:r>
          </w:p>
        </w:tc>
        <w:tc>
          <w:tcPr>
            <w:tcW w:type="dxa" w:w="1008"/>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Reject H0</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p &lt; 0.0001 (Significant)</w:t>
            </w:r>
          </w:p>
        </w:tc>
      </w:tr>
      <w:tr>
        <w:tc>
          <w:tcPr>
            <w:tcW w:type="dxa" w:w="1728"/>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Wilcoxon Signed-Rank</w:t>
            </w:r>
          </w:p>
        </w:tc>
        <w:tc>
          <w:tcPr>
            <w:tcW w:type="dxa" w:w="1728"/>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Per-Sample CER Reduction</w:t>
            </w:r>
          </w:p>
        </w:tc>
        <w:tc>
          <w:tcPr>
            <w:tcW w:type="dxa" w:w="1728"/>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Median(delta CER) = 0</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W = 251.0</w:t>
            </w:r>
          </w:p>
        </w:tc>
        <w:tc>
          <w:tcPr>
            <w:tcW w:type="dxa" w:w="1008"/>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3.07 x 10^-24</w:t>
            </w:r>
          </w:p>
        </w:tc>
        <w:tc>
          <w:tcPr>
            <w:tcW w:type="dxa" w:w="1008"/>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Reject H0</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p &lt; 0.0001 (Significant)</w:t>
            </w:r>
          </w:p>
        </w:tc>
      </w:tr>
      <w:tr>
        <w:tc>
          <w:tcPr>
            <w:tcW w:type="dxa" w:w="1728"/>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Paired Student t-Test</w:t>
            </w:r>
          </w:p>
        </w:tc>
        <w:tc>
          <w:tcPr>
            <w:tcW w:type="dxa" w:w="1728"/>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Sample Mean F1 Score</w:t>
            </w:r>
          </w:p>
        </w:tc>
        <w:tc>
          <w:tcPr>
            <w:tcW w:type="dxa" w:w="1728"/>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mu_PassA = mu_PassB</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t = 10.54</w:t>
            </w:r>
          </w:p>
        </w:tc>
        <w:tc>
          <w:tcPr>
            <w:tcW w:type="dxa" w:w="1008"/>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1.42 x 10^-24</w:t>
            </w:r>
          </w:p>
        </w:tc>
        <w:tc>
          <w:tcPr>
            <w:tcW w:type="dxa" w:w="1008"/>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Reject H0</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p &lt; 0.0001 (Significant)</w:t>
            </w:r>
          </w:p>
        </w:tc>
      </w:tr>
      <w:tr>
        <w:tc>
          <w:tcPr>
            <w:tcW w:type="dxa" w:w="1728"/>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Paired Student t-Test</w:t>
            </w:r>
          </w:p>
        </w:tc>
        <w:tc>
          <w:tcPr>
            <w:tcW w:type="dxa" w:w="1728"/>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Sample Mean CER</w:t>
            </w:r>
          </w:p>
        </w:tc>
        <w:tc>
          <w:tcPr>
            <w:tcW w:type="dxa" w:w="1728"/>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mu_PassA = mu_PassB</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t = 8.21</w:t>
            </w:r>
          </w:p>
        </w:tc>
        <w:tc>
          <w:tcPr>
            <w:tcW w:type="dxa" w:w="1008"/>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7.52 x 10^-16</w:t>
            </w:r>
          </w:p>
        </w:tc>
        <w:tc>
          <w:tcPr>
            <w:tcW w:type="dxa" w:w="1008"/>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Reject H0</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p &lt; 0.0001 (Significant)</w:t>
            </w:r>
          </w:p>
        </w:tc>
      </w:tr>
    </w:tbl>
    <w:p>
      <w:pPr>
        <w:spacing w:before="60" w:after="20"/>
        <w:jc w:val="center"/>
      </w:pPr>
      <w:r>
        <w:rPr>
          <w:rFonts w:ascii="Times New Roman" w:hAnsi="Times New Roman"/>
          <w:b/>
          <w:sz w:val="18"/>
        </w:rPr>
        <w:t>TABLE 12: EMPIRICAL BENCHMARK METRICS WITH 95% BOOTSTRAP CONFIDENCE INTERVALS (B = 10,000 ITERATIONS)</w:t>
      </w:r>
    </w:p>
    <w:p>
      <w:pPr>
        <w:spacing w:before="0" w:after="60" w:line="252" w:lineRule="auto"/>
      </w:pPr>
    </w:p>
    <w:tbl>
      <w:tblPr>
        <w:tblW w:type="auto" w:w="0"/>
        <w:jc w:val="center"/>
        <w:tblLook w:firstColumn="1" w:firstRow="1" w:lastColumn="0" w:lastRow="0" w:noHBand="0" w:noVBand="1" w:val="04A0"/>
      </w:tblPr>
      <w:tblGrid>
        <w:gridCol w:w="1872"/>
        <w:gridCol w:w="1872"/>
        <w:gridCol w:w="1872"/>
        <w:gridCol w:w="1872"/>
        <w:gridCol w:w="1872"/>
      </w:tblGrid>
      <w:tr>
        <w:tc>
          <w:tcPr>
            <w:tcW w:type="dxa" w:w="2592"/>
            <w:tcMar>
              <w:top w:w="35" w:type="dxa"/>
              <w:bottom w:w="35" w:type="dxa"/>
              <w:left w:w="45" w:type="dxa"/>
              <w:right w:w="45" w:type="dxa"/>
            </w:tcMar>
            <w:shd w:fill="E0E0E0"/>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Evaluation Pass</w:t>
            </w:r>
          </w:p>
        </w:tc>
        <w:tc>
          <w:tcPr>
            <w:tcW w:type="dxa" w:w="2160"/>
            <w:tcMar>
              <w:top w:w="35" w:type="dxa"/>
              <w:bottom w:w="35" w:type="dxa"/>
              <w:left w:w="45" w:type="dxa"/>
              <w:right w:w="45" w:type="dxa"/>
            </w:tcMar>
            <w:shd w:fill="E0E0E0"/>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Benchmark Metric</w:t>
            </w:r>
          </w:p>
        </w:tc>
        <w:tc>
          <w:tcPr>
            <w:tcW w:type="dxa" w:w="1296"/>
            <w:tcMar>
              <w:top w:w="35" w:type="dxa"/>
              <w:bottom w:w="35" w:type="dxa"/>
              <w:left w:w="45" w:type="dxa"/>
              <w:right w:w="45" w:type="dxa"/>
            </w:tcMar>
            <w:shd w:fill="E0E0E0"/>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Empirical Mean</w:t>
            </w:r>
          </w:p>
        </w:tc>
        <w:tc>
          <w:tcPr>
            <w:tcW w:type="dxa" w:w="2016"/>
            <w:tcMar>
              <w:top w:w="35" w:type="dxa"/>
              <w:bottom w:w="35" w:type="dxa"/>
              <w:left w:w="45" w:type="dxa"/>
              <w:right w:w="45" w:type="dxa"/>
            </w:tcMar>
            <w:shd w:fill="E0E0E0"/>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95% Bootstrap CI [Lower, Upper]</w:t>
            </w:r>
          </w:p>
        </w:tc>
        <w:tc>
          <w:tcPr>
            <w:tcW w:type="dxa" w:w="1440"/>
            <w:tcMar>
              <w:top w:w="35" w:type="dxa"/>
              <w:bottom w:w="35" w:type="dxa"/>
              <w:left w:w="45" w:type="dxa"/>
              <w:right w:w="45" w:type="dxa"/>
            </w:tcMar>
            <w:shd w:fill="E0E0E0"/>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CI Bound Range (delta)</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Pass A (Without Normalization)</w:t>
            </w:r>
          </w:p>
        </w:tc>
        <w:tc>
          <w:tcPr>
            <w:tcW w:type="dxa" w:w="2160"/>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Field F1 Score</w:t>
            </w:r>
          </w:p>
        </w:tc>
        <w:tc>
          <w:tcPr>
            <w:tcW w:type="dxa" w:w="1296"/>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79.56%</w:t>
            </w:r>
          </w:p>
        </w:tc>
        <w:tc>
          <w:tcPr>
            <w:tcW w:type="dxa" w:w="2016"/>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[76.89%, 82.22%]</w:t>
            </w:r>
          </w:p>
        </w:tc>
        <w:tc>
          <w:tcPr>
            <w:tcW w:type="dxa" w:w="1440"/>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5.33%</w:t>
            </w:r>
          </w:p>
        </w:tc>
      </w:tr>
      <w:tr>
        <w:tc>
          <w:tcPr>
            <w:tcW w:type="dxa" w:w="259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Character Error Rate (CER)</w:t>
            </w:r>
          </w:p>
        </w:tc>
        <w:tc>
          <w:tcPr>
            <w:tcW w:type="dxa" w:w="1296"/>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9.69%</w:t>
            </w:r>
          </w:p>
        </w:tc>
        <w:tc>
          <w:tcPr>
            <w:tcW w:type="dxa" w:w="2016"/>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[7.93%, 11.48%]</w:t>
            </w:r>
          </w:p>
        </w:tc>
        <w:tc>
          <w:tcPr>
            <w:tcW w:type="dxa" w:w="1440"/>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3.55%</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Word Error Rate (WER)</w:t>
            </w:r>
          </w:p>
        </w:tc>
        <w:tc>
          <w:tcPr>
            <w:tcW w:type="dxa" w:w="1296"/>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9.69%</w:t>
            </w:r>
          </w:p>
        </w:tc>
        <w:tc>
          <w:tcPr>
            <w:tcW w:type="dxa" w:w="2016"/>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[7.93%, 11.48%]</w:t>
            </w:r>
          </w:p>
        </w:tc>
        <w:tc>
          <w:tcPr>
            <w:tcW w:type="dxa" w:w="1440"/>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3.55%</w:t>
            </w:r>
          </w:p>
        </w:tc>
      </w:tr>
      <w:tr>
        <w:tc>
          <w:tcPr>
            <w:tcW w:type="dxa" w:w="259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Pass B (With Normalization)</w:t>
            </w:r>
          </w:p>
        </w:tc>
        <w:tc>
          <w:tcPr>
            <w:tcW w:type="dxa" w:w="2160"/>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Field F1 Score</w:t>
            </w:r>
          </w:p>
        </w:tc>
        <w:tc>
          <w:tcPr>
            <w:tcW w:type="dxa" w:w="1296"/>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90.56%</w:t>
            </w:r>
          </w:p>
        </w:tc>
        <w:tc>
          <w:tcPr>
            <w:tcW w:type="dxa" w:w="2016"/>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[88.56%, 92.44%]</w:t>
            </w:r>
          </w:p>
        </w:tc>
        <w:tc>
          <w:tcPr>
            <w:tcW w:type="dxa" w:w="1440"/>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3.88%</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Character Error Rate (CER)</w:t>
            </w:r>
          </w:p>
        </w:tc>
        <w:tc>
          <w:tcPr>
            <w:tcW w:type="dxa" w:w="1296"/>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3.64%</w:t>
            </w:r>
          </w:p>
        </w:tc>
        <w:tc>
          <w:tcPr>
            <w:tcW w:type="dxa" w:w="2016"/>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[2.75%, 4.60%]</w:t>
            </w:r>
          </w:p>
        </w:tc>
        <w:tc>
          <w:tcPr>
            <w:tcW w:type="dxa" w:w="1440"/>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1.85%</w:t>
            </w:r>
          </w:p>
        </w:tc>
      </w:tr>
      <w:tr>
        <w:tc>
          <w:tcPr>
            <w:tcW w:type="dxa" w:w="259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Word Error Rate (WER)</w:t>
            </w:r>
          </w:p>
        </w:tc>
        <w:tc>
          <w:tcPr>
            <w:tcW w:type="dxa" w:w="1296"/>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3.64%</w:t>
            </w:r>
          </w:p>
        </w:tc>
        <w:tc>
          <w:tcPr>
            <w:tcW w:type="dxa" w:w="2016"/>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[2.75%, 4.60%]</w:t>
            </w:r>
          </w:p>
        </w:tc>
        <w:tc>
          <w:tcPr>
            <w:tcW w:type="dxa" w:w="1440"/>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1.85%</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Net Empirical Change</w:t>
            </w:r>
          </w:p>
        </w:tc>
        <w:tc>
          <w:tcPr>
            <w:tcW w:type="dxa" w:w="2160"/>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F1 Score Boost</w:t>
            </w:r>
          </w:p>
        </w:tc>
        <w:tc>
          <w:tcPr>
            <w:tcW w:type="dxa" w:w="1296"/>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+11.00%</w:t>
            </w:r>
          </w:p>
        </w:tc>
        <w:tc>
          <w:tcPr>
            <w:tcW w:type="dxa" w:w="2016"/>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[+9.11%, +12.89%]</w:t>
            </w:r>
          </w:p>
        </w:tc>
        <w:tc>
          <w:tcPr>
            <w:tcW w:type="dxa" w:w="1440"/>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3.78%</w:t>
            </w:r>
          </w:p>
        </w:tc>
      </w:tr>
      <w:tr>
        <w:tc>
          <w:tcPr>
            <w:tcW w:type="dxa" w:w="259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CER Reduction</w:t>
            </w:r>
          </w:p>
        </w:tc>
        <w:tc>
          <w:tcPr>
            <w:tcW w:type="dxa" w:w="1296"/>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-6.05%</w:t>
            </w:r>
          </w:p>
        </w:tc>
        <w:tc>
          <w:tcPr>
            <w:tcW w:type="dxa" w:w="2016"/>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[-7.55%, -4.55%]</w:t>
            </w:r>
          </w:p>
        </w:tc>
        <w:tc>
          <w:tcPr>
            <w:tcW w:type="dxa" w:w="1440"/>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3.00%</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WER Reduction</w:t>
            </w:r>
          </w:p>
        </w:tc>
        <w:tc>
          <w:tcPr>
            <w:tcW w:type="dxa" w:w="1296"/>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-6.05%</w:t>
            </w:r>
          </w:p>
        </w:tc>
        <w:tc>
          <w:tcPr>
            <w:tcW w:type="dxa" w:w="2016"/>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[-7.55%, -4.55%]</w:t>
            </w:r>
          </w:p>
        </w:tc>
        <w:tc>
          <w:tcPr>
            <w:tcW w:type="dxa" w:w="1440"/>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3.00%</w:t>
            </w:r>
          </w:p>
        </w:tc>
      </w:tr>
    </w:tbl>
    <w:p>
      <w:pPr>
        <w:spacing w:after="60" w:before="0" w:line="252" w:lineRule="auto"/>
        <w:jc w:val="both"/>
      </w:pPr>
      <w:r>
        <w:t>The nine-class diagnostic OCR error taxonomy distribution shift detailed in Table 13 evaluates 900 atomic field observations across the 45 physical specimens. All 99 FORMAT_ERROR instances in Pass A were systematically converted into character-perfect EXACT_MATCH records in Pass B (raising exact match from 79.56% to 90.56%), while 85 genuine NORMALIZATION_ERROR cases (9.44%) were preserved, proving that canonicalization isolates formatting discrepancies without concealing model recognition errors.</w:t>
      </w:r>
    </w:p>
    <w:p>
      <w:pPr>
        <w:spacing w:before="60" w:after="20"/>
        <w:jc w:val="center"/>
      </w:pPr>
      <w:r>
        <w:rPr>
          <w:rFonts w:ascii="Times New Roman" w:hAnsi="Times New Roman"/>
          <w:b/>
          <w:sz w:val="18"/>
        </w:rPr>
        <w:t>TABLE 13: NINE-CLASS OCR ERROR TAXONOMY DISTRIBUTION BEFORE AND AFTER NORMALIZATION</w:t>
      </w:r>
    </w:p>
    <w:p>
      <w:pPr>
        <w:spacing w:before="0" w:after="60" w:line="252" w:lineRule="auto"/>
      </w:pP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016"/>
            <w:tcMar>
              <w:top w:w="35" w:type="dxa"/>
              <w:bottom w:w="35" w:type="dxa"/>
              <w:left w:w="45" w:type="dxa"/>
              <w:right w:w="45" w:type="dxa"/>
            </w:tcMar>
            <w:shd w:fill="E0E0E0"/>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Error Category Class</w:t>
            </w:r>
          </w:p>
        </w:tc>
        <w:tc>
          <w:tcPr>
            <w:tcW w:type="dxa" w:w="2448"/>
            <w:tcMar>
              <w:top w:w="35" w:type="dxa"/>
              <w:bottom w:w="35" w:type="dxa"/>
              <w:left w:w="45" w:type="dxa"/>
              <w:right w:w="45" w:type="dxa"/>
            </w:tcMar>
            <w:shd w:fill="E0E0E0"/>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Diagnostic Failure Description</w:t>
            </w:r>
          </w:p>
        </w:tc>
        <w:tc>
          <w:tcPr>
            <w:tcW w:type="dxa" w:w="1440"/>
            <w:tcMar>
              <w:top w:w="35" w:type="dxa"/>
              <w:bottom w:w="35" w:type="dxa"/>
              <w:left w:w="45" w:type="dxa"/>
              <w:right w:w="45" w:type="dxa"/>
            </w:tcMar>
            <w:shd w:fill="E0E0E0"/>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Pass A (Without Normalization)</w:t>
            </w:r>
          </w:p>
        </w:tc>
        <w:tc>
          <w:tcPr>
            <w:tcW w:type="dxa" w:w="1440"/>
            <w:tcMar>
              <w:top w:w="35" w:type="dxa"/>
              <w:bottom w:w="35" w:type="dxa"/>
              <w:left w:w="45" w:type="dxa"/>
              <w:right w:w="45" w:type="dxa"/>
            </w:tcMar>
            <w:shd w:fill="E0E0E0"/>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Pass B (With Normalization)</w:t>
            </w:r>
          </w:p>
        </w:tc>
        <w:tc>
          <w:tcPr>
            <w:tcW w:type="dxa" w:w="1008"/>
            <w:tcMar>
              <w:top w:w="35" w:type="dxa"/>
              <w:bottom w:w="35" w:type="dxa"/>
              <w:left w:w="45" w:type="dxa"/>
              <w:right w:w="45" w:type="dxa"/>
            </w:tcMar>
            <w:shd w:fill="E0E0E0"/>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Absolute Shift</w:t>
            </w:r>
          </w:p>
        </w:tc>
        <w:tc>
          <w:tcPr>
            <w:tcW w:type="dxa" w:w="1152"/>
            <w:tcMar>
              <w:top w:w="35" w:type="dxa"/>
              <w:bottom w:w="35" w:type="dxa"/>
              <w:left w:w="45" w:type="dxa"/>
              <w:right w:w="45" w:type="dxa"/>
            </w:tcMar>
            <w:shd w:fill="E0E0E0"/>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Category Shift (%)</w:t>
            </w:r>
          </w:p>
        </w:tc>
      </w:tr>
      <w:tr>
        <w:tc>
          <w:tcPr>
            <w:tcW w:type="dxa" w:w="2016"/>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EXACT_MATCH</w:t>
            </w:r>
          </w:p>
        </w:tc>
        <w:tc>
          <w:tcPr>
            <w:tcW w:type="dxa" w:w="2448"/>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Character-perfect field match</w:t>
            </w:r>
          </w:p>
        </w:tc>
        <w:tc>
          <w:tcPr>
            <w:tcW w:type="dxa" w:w="1440"/>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716 (79.56%)</w:t>
            </w:r>
          </w:p>
        </w:tc>
        <w:tc>
          <w:tcPr>
            <w:tcW w:type="dxa" w:w="1440"/>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815 (90.56%)</w:t>
            </w:r>
          </w:p>
        </w:tc>
        <w:tc>
          <w:tcPr>
            <w:tcW w:type="dxa" w:w="1008"/>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+99</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+13.83%</w:t>
            </w:r>
          </w:p>
        </w:tc>
      </w:tr>
      <w:tr>
        <w:tc>
          <w:tcPr>
            <w:tcW w:type="dxa" w:w="2016"/>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FORMAT_ERROR</w:t>
            </w:r>
          </w:p>
        </w:tc>
        <w:tc>
          <w:tcPr>
            <w:tcW w:type="dxa" w:w="2448"/>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Match achieved after canonicalization</w:t>
            </w:r>
          </w:p>
        </w:tc>
        <w:tc>
          <w:tcPr>
            <w:tcW w:type="dxa" w:w="1440"/>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99 (11.00%)</w:t>
            </w:r>
          </w:p>
        </w:tc>
        <w:tc>
          <w:tcPr>
            <w:tcW w:type="dxa" w:w="1440"/>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-99</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r>
      <w:tr>
        <w:tc>
          <w:tcPr>
            <w:tcW w:type="dxa" w:w="2016"/>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NORMALIZATION_ERROR</w:t>
            </w:r>
          </w:p>
        </w:tc>
        <w:tc>
          <w:tcPr>
            <w:tcW w:type="dxa" w:w="2448"/>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Canonical values remain unequal</w:t>
            </w:r>
          </w:p>
        </w:tc>
        <w:tc>
          <w:tcPr>
            <w:tcW w:type="dxa" w:w="1440"/>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85 (9.44%)</w:t>
            </w:r>
          </w:p>
        </w:tc>
        <w:tc>
          <w:tcPr>
            <w:tcW w:type="dxa" w:w="1440"/>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85 (9.44%)</w:t>
            </w:r>
          </w:p>
        </w:tc>
        <w:tc>
          <w:tcPr>
            <w:tcW w:type="dxa" w:w="1008"/>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OCR_ERROR</w:t>
            </w:r>
          </w:p>
        </w:tc>
        <w:tc>
          <w:tcPr>
            <w:tcW w:type="dxa" w:w="2448"/>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Physical optical scanner noise</w:t>
            </w:r>
          </w:p>
        </w:tc>
        <w:tc>
          <w:tcPr>
            <w:tcW w:type="dxa" w:w="1440"/>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FIELD_MISSING</w:t>
            </w:r>
          </w:p>
        </w:tc>
        <w:tc>
          <w:tcPr>
            <w:tcW w:type="dxa" w:w="2448"/>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Target entity key omitted</w:t>
            </w:r>
          </w:p>
        </w:tc>
        <w:tc>
          <w:tcPr>
            <w:tcW w:type="dxa" w:w="1440"/>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HALLUCINATION</w:t>
            </w:r>
          </w:p>
        </w:tc>
        <w:tc>
          <w:tcPr>
            <w:tcW w:type="dxa" w:w="2448"/>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Content absent from document</w:t>
            </w:r>
          </w:p>
        </w:tc>
        <w:tc>
          <w:tcPr>
            <w:tcW w:type="dxa" w:w="1440"/>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CATEGORY_ERROR</w:t>
            </w:r>
          </w:p>
        </w:tc>
        <w:tc>
          <w:tcPr>
            <w:tcW w:type="dxa" w:w="2448"/>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Category misclassification</w:t>
            </w:r>
          </w:p>
        </w:tc>
        <w:tc>
          <w:tcPr>
            <w:tcW w:type="dxa" w:w="1440"/>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PARTIAL_MATCH</w:t>
            </w:r>
          </w:p>
        </w:tc>
        <w:tc>
          <w:tcPr>
            <w:tcW w:type="dxa" w:w="2448"/>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Partial substring overlap</w:t>
            </w:r>
          </w:p>
        </w:tc>
        <w:tc>
          <w:tcPr>
            <w:tcW w:type="dxa" w:w="1440"/>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LOW_CONFIDENCE</w:t>
            </w:r>
          </w:p>
        </w:tc>
        <w:tc>
          <w:tcPr>
            <w:tcW w:type="dxa" w:w="2448"/>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Score below confidence cutoff</w:t>
            </w:r>
          </w:p>
        </w:tc>
        <w:tc>
          <w:tcPr>
            <w:tcW w:type="dxa" w:w="1440"/>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shd w:fill="EAEAEA"/>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Total Evaluations</w:t>
            </w:r>
          </w:p>
        </w:tc>
        <w:tc>
          <w:tcPr>
            <w:tcW w:type="dxa" w:w="2448"/>
            <w:tcMar>
              <w:top w:w="35" w:type="dxa"/>
              <w:bottom w:w="35" w:type="dxa"/>
              <w:left w:w="45" w:type="dxa"/>
              <w:right w:w="45" w:type="dxa"/>
            </w:tcMar>
            <w:shd w:fill="EAEAEA"/>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Complete Benchmark Suite</w:t>
            </w:r>
          </w:p>
        </w:tc>
        <w:tc>
          <w:tcPr>
            <w:tcW w:type="dxa" w:w="1440"/>
            <w:tcMar>
              <w:top w:w="35" w:type="dxa"/>
              <w:bottom w:w="35" w:type="dxa"/>
              <w:left w:w="45" w:type="dxa"/>
              <w:right w:w="45" w:type="dxa"/>
            </w:tcMar>
            <w:shd w:fill="EAEAEA"/>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900 (100%)</w:t>
            </w:r>
          </w:p>
        </w:tc>
        <w:tc>
          <w:tcPr>
            <w:tcW w:type="dxa" w:w="1440"/>
            <w:tcMar>
              <w:top w:w="35" w:type="dxa"/>
              <w:bottom w:w="35" w:type="dxa"/>
              <w:left w:w="45" w:type="dxa"/>
              <w:right w:w="45" w:type="dxa"/>
            </w:tcMar>
            <w:shd w:fill="EAEAEA"/>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900 (100%)</w:t>
            </w:r>
          </w:p>
        </w:tc>
        <w:tc>
          <w:tcPr>
            <w:tcW w:type="dxa" w:w="1008"/>
            <w:tcMar>
              <w:top w:w="35" w:type="dxa"/>
              <w:bottom w:w="35" w:type="dxa"/>
              <w:left w:w="45" w:type="dxa"/>
              <w:right w:w="45" w:type="dxa"/>
            </w:tcMar>
            <w:shd w:fill="EAEAEA"/>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0</w:t>
            </w:r>
          </w:p>
        </w:tc>
        <w:tc>
          <w:tcPr>
            <w:tcW w:type="dxa" w:w="1152"/>
            <w:tcMar>
              <w:top w:w="35" w:type="dxa"/>
              <w:bottom w:w="35" w:type="dxa"/>
              <w:left w:w="45" w:type="dxa"/>
              <w:right w:w="45" w:type="dxa"/>
            </w:tcMar>
            <w:shd w:fill="EAEAEA"/>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100.00%</w:t>
            </w:r>
          </w:p>
        </w:tc>
      </w:tr>
    </w:tbl>
    <w:p>
      <w:pPr>
        <w:spacing w:after="60" w:before="0" w:line="252" w:lineRule="auto"/>
        <w:jc w:val="both"/>
      </w:pPr>
      <w:r>
        <w:t>To assess extraction failure predictability from document and degradation features, classical Decision Tree and Random Forest classifiers were evaluated across 900 observations. As reported in Table 14, Random Forest models achieved 96.11% accuracy, 97.89% F1, and 0.7514 MCC on the 80:20 split, closely matched by Decision Trees (96.11% accuracy, 97.86% F1, 0.7669 MCC), as illustrated in the composite confusion matrices of Fig. 8 and Fig. 9.</w:t>
      </w:r>
    </w:p>
    <w:p>
      <w:pPr>
        <w:spacing w:before="60" w:after="20"/>
        <w:jc w:val="center"/>
      </w:pPr>
      <w:r>
        <w:rPr>
          <w:rFonts w:ascii="Times New Roman" w:hAnsi="Times New Roman"/>
          <w:b/>
          <w:sz w:val="18"/>
        </w:rPr>
        <w:t>TABLE 14: CLASSICAL MACHINE LEARNING BENCHMARK COMPARISON (RF VS. DT ACROSS TRAIN-TEST SPLITS)</w:t>
      </w:r>
    </w:p>
    <w:p>
      <w:pPr>
        <w:spacing w:before="0" w:after="60" w:line="252" w:lineRule="auto"/>
      </w:pP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160"/>
            <w:tcMar>
              <w:top w:w="35" w:type="dxa"/>
              <w:bottom w:w="35" w:type="dxa"/>
              <w:left w:w="45" w:type="dxa"/>
              <w:right w:w="45" w:type="dxa"/>
            </w:tcMar>
            <w:shd w:fill="E0E0E0"/>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Metric</w:t>
            </w:r>
          </w:p>
        </w:tc>
        <w:tc>
          <w:tcPr>
            <w:tcW w:type="dxa" w:w="1152"/>
            <w:tcMar>
              <w:top w:w="35" w:type="dxa"/>
              <w:bottom w:w="35" w:type="dxa"/>
              <w:left w:w="45" w:type="dxa"/>
              <w:right w:w="45" w:type="dxa"/>
            </w:tcMar>
            <w:shd w:fill="E0E0E0"/>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RF 60:40</w:t>
            </w:r>
          </w:p>
        </w:tc>
        <w:tc>
          <w:tcPr>
            <w:tcW w:type="dxa" w:w="1152"/>
            <w:tcMar>
              <w:top w:w="35" w:type="dxa"/>
              <w:bottom w:w="35" w:type="dxa"/>
              <w:left w:w="45" w:type="dxa"/>
              <w:right w:w="45" w:type="dxa"/>
            </w:tcMar>
            <w:shd w:fill="E0E0E0"/>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RF 70:30</w:t>
            </w:r>
          </w:p>
        </w:tc>
        <w:tc>
          <w:tcPr>
            <w:tcW w:type="dxa" w:w="1152"/>
            <w:tcMar>
              <w:top w:w="35" w:type="dxa"/>
              <w:bottom w:w="35" w:type="dxa"/>
              <w:left w:w="45" w:type="dxa"/>
              <w:right w:w="45" w:type="dxa"/>
            </w:tcMar>
            <w:shd w:fill="E0E0E0"/>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RF 80:20</w:t>
            </w:r>
          </w:p>
        </w:tc>
        <w:tc>
          <w:tcPr>
            <w:tcW w:type="dxa" w:w="1152"/>
            <w:tcMar>
              <w:top w:w="35" w:type="dxa"/>
              <w:bottom w:w="35" w:type="dxa"/>
              <w:left w:w="45" w:type="dxa"/>
              <w:right w:w="45" w:type="dxa"/>
            </w:tcMar>
            <w:shd w:fill="E0E0E0"/>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DT 60:40</w:t>
            </w:r>
          </w:p>
        </w:tc>
        <w:tc>
          <w:tcPr>
            <w:tcW w:type="dxa" w:w="1152"/>
            <w:tcMar>
              <w:top w:w="35" w:type="dxa"/>
              <w:bottom w:w="35" w:type="dxa"/>
              <w:left w:w="45" w:type="dxa"/>
              <w:right w:w="45" w:type="dxa"/>
            </w:tcMar>
            <w:shd w:fill="E0E0E0"/>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DT 70:30</w:t>
            </w:r>
          </w:p>
        </w:tc>
        <w:tc>
          <w:tcPr>
            <w:tcW w:type="dxa" w:w="1152"/>
            <w:tcMar>
              <w:top w:w="35" w:type="dxa"/>
              <w:bottom w:w="35" w:type="dxa"/>
              <w:left w:w="45" w:type="dxa"/>
              <w:right w:w="45" w:type="dxa"/>
            </w:tcMar>
            <w:shd w:fill="E0E0E0"/>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DT 80:20</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Accuracy</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0.952778</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0.959259</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0.961111</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0.936111</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0.948148</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0.961111</w:t>
            </w:r>
          </w:p>
        </w:tc>
      </w:tr>
      <w:tr>
        <w:tc>
          <w:tcPr>
            <w:tcW w:type="dxa" w:w="2160"/>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Precision</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0.953216</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0.960159</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0.963855</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0.947059</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0.959677</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0.969697</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Recall</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0.996933</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0.995885</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0.993789</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0.984663</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0.983539</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0.987578</w:t>
            </w:r>
          </w:p>
        </w:tc>
      </w:tr>
      <w:tr>
        <w:tc>
          <w:tcPr>
            <w:tcW w:type="dxa" w:w="2160"/>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F1-Score</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0.974441</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0.978000</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0.978900</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0.964724</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0.971717</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0.978593</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Specificity</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0.529412</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0.592593</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0.631579</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0.470588</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0.555556</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0.684211</w:t>
            </w:r>
          </w:p>
        </w:tc>
      </w:tr>
      <w:tr>
        <w:tc>
          <w:tcPr>
            <w:tcW w:type="dxa" w:w="2160"/>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NPV</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0.947368</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0.941176</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0.923077</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0.761905</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0.789474</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0.866667</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MCC</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0.689624</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0.743015</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0.751433</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0.631411</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0.674720</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0.766944</w:t>
            </w:r>
          </w:p>
        </w:tc>
      </w:tr>
      <w:tr>
        <w:tc>
          <w:tcPr>
            <w:tcW w:type="dxa" w:w="2160"/>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FPR</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0.470588</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0.407407</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0.368421</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0.529412</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0.444444</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0.315789</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FNR</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0.003067</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0.004115</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0.006211</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0.015337</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0.016461</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0.012422</w:t>
            </w:r>
          </w:p>
        </w:tc>
      </w:tr>
      <w:tr>
        <w:tc>
          <w:tcPr>
            <w:tcW w:type="dxa" w:w="2160"/>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FDR</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0.046784</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0.039841</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0.036145</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0.052941</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0.040323</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0.030303</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FOR</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0.052632</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0.058824</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0.076923</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0.238095</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0.210526</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0.133333</w:t>
            </w:r>
          </w:p>
        </w:tc>
      </w:tr>
      <w:tr>
        <w:tc>
          <w:tcPr>
            <w:tcW w:type="dxa" w:w="2160"/>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Prediction Time (s)</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0.045120</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0.038412</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0.031200</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0.008450</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0.006920</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0.005110</w:t>
            </w:r>
          </w:p>
        </w:tc>
      </w:tr>
    </w:tbl>
    <w:p>
      <w:pPr>
        <w:spacing w:before="0" w:after="60" w:line="252" w:lineRule="auto"/>
        <w:jc w:val="center"/>
      </w:pPr>
      <w:r>
        <w:drawing>
          <ns4:inline>
            <ns4:extent cx="5486400" cy="2926080"/>
            <ns4:docPr id="15" name="Picture 15"/>
            <ns4:cNvGraphicFramePr>
              <ns5:graphicFrameLocks noChangeAspect="1"/>
            </ns4:cNvGraphicFramePr>
            <ns5:graphic>
              <ns5:graphicData uri="http://schemas.openxmlformats.org/drawingml/2006/picture">
                <ns6:pic>
                  <ns6:nvPicPr>
                    <ns6:cNvPr id="0" name="dt_composite.png"/>
                    <ns6:cNvPicPr/>
                  </ns6:nvPicPr>
                  <ns6:blipFill>
                    <ns5:blip r:embed="rId25"/>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8. Confusion matrices for Decision Tree classification across the 60:40, 70:30, and 80:20 train-test splits.</w:t>
      </w:r>
    </w:p>
    <w:p>
      <w:pPr>
        <w:spacing w:before="0" w:after="60" w:line="252" w:lineRule="auto"/>
        <w:jc w:val="center"/>
      </w:pPr>
      <w:r>
        <w:drawing>
          <ns4:inline>
            <ns4:extent cx="5486400" cy="2926080"/>
            <ns4:docPr id="16" name="Picture 16"/>
            <ns4:cNvGraphicFramePr>
              <ns5:graphicFrameLocks noChangeAspect="1"/>
            </ns4:cNvGraphicFramePr>
            <ns5:graphic>
              <ns5:graphicData uri="http://schemas.openxmlformats.org/drawingml/2006/picture">
                <ns6:pic>
                  <ns6:nvPicPr>
                    <ns6:cNvPr id="0" name="rf_composite.png"/>
                    <ns6:cNvPicPr/>
                  </ns6:nvPicPr>
                  <ns6:blipFill>
                    <ns5:blip r:embed="rId26"/>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9. Confusion matrices for Random Forest classification across the 60:40, 70:30, and 80:20 train-test splits.</w:t>
      </w:r>
    </w:p>
    <w:p>
      <w:pPr>
        <w:spacing w:before="120" w:after="40"/>
        <w:outlineLvl w:val="0"/>
      </w:pPr>
      <w:r>
        <w:rPr>
          <w:rFonts w:ascii="Times New Roman" w:hAnsi="Times New Roman"/>
          <w:b/>
          <w:sz w:val="22"/>
        </w:rPr>
        <w:t>6. Conclusion</w:t>
      </w:r>
    </w:p>
    <w:p>
      <w:pPr>
        <w:spacing w:line="252" w:lineRule="auto" w:after="60" w:before="0"/>
      </w:pPr>
      <w:r>
        <w:t>Benchmarking document intelligence systems on academic credentials remains bottlenecked by statutory privacy regulations such as FERPA and GDPR, alongside rigid string evaluation metrics that artificially penalize benign formatting variances [25], [28], [35]. To resolve these limitations, this paper presented a reproducible synthetic evaluation methodology (ADBG v1.0 and AU DIC Framework v1.0) [26], [31]. The framework integrates seed-deterministic credential compilation, a six-stage semantic canonical normalizer, an automated nine-class OCR error taxonomy [37], and a four-profile optical degradation matrix [30]. Live empirical evaluation across 45 physical multi-modal specimens (900 paired field observations) confirmed that canonical normalization isolates genuine extraction failures (McNemar chi2 = 97.01, p &lt; 0.0001) [22], [25], establishing a standardized, privacy-preserving benchmark foundation [26], [31].</w:t>
      </w:r>
    </w:p>
    <w:p>
      <w:pPr>
        <w:spacing w:before="120" w:after="40"/>
        <w:outlineLvl w:val="0"/>
      </w:pPr>
      <w:r>
        <w:rPr>
          <w:rFonts w:ascii="Times New Roman" w:hAnsi="Times New Roman"/>
          <w:b/>
          <w:sz w:val="22"/>
        </w:rPr>
        <w:t>7. Future Work</w:t>
      </w:r>
    </w:p>
    <w:p>
      <w:pPr>
        <w:spacing w:line="252" w:lineRule="auto" w:after="60" w:before="0"/>
      </w:pPr>
      <w:r>
        <w:rPr>
          <w:rFonts w:ascii="Times New Roman" w:hAnsi="Times New Roman"/>
          <w:sz w:val="20"/>
        </w:rPr>
        <w:t>Promising avenues for future research encompass three primary dimensions to further expand the benchmark capability. First, ADBG v2.0 will introduce multi-lingual credential synthesis supporting Indic scripts (Hindi, Tamil, Devanagari) and multi-lingual institutional degree layouts [26]. Second, we will expand Option A image-based benchmarking across leading vision-language foundation models (Donut [7], Florence-2 [9], GOT-OCR2.0 [38], LLaVA-NeXT-Doc [15], DocFormers 2.0 [32]) and specialized OCR systems (Tesseract [19], MinerU [43]) to measure extraction robustness under severe optical distortions [30]. Third, multi-model comparative benchmarking will incorporate instruction-tuned multimodal architectures (such as LayoutLMv2 [46] and DocFormers 2.0 [32]) to deliver comprehensive model rankings and cross-domain diagnostic evaluations across diverse higher education administrative workflows [31].</w:t>
      </w:r>
    </w:p>
    <w:p>
      <w:pPr>
        <w:spacing w:before="0" w:after="60" w:line="252" w:lineRule="auto"/>
        <w:jc w:val="both"/>
        <w:outlineLvl w:val="0"/>
      </w:pPr>
      <w:r>
        <w:t xml:space="preserve">ACKNOWLEDGMENT
This work was carried out under the guidance of Ms. Kamini and the co-guidance of Ms. Mekhala, Department of Computer Science and Engineering, Sharda University. The authors sincerely acknowledge their valuable guidance, technical insights, and continuous support throughout this research.</w:t>
      </w:r>
    </w:p>
    <w:p w14:paraId="11DD709E">
      <w:pPr>
        <w:keepNext/>
        <w:spacing w:before="0" w:after="60" w:line="252" w:lineRule="auto"/>
      </w:pPr>
      <w:r/>
    </w:p>
    <w:p>
      <w:pPr>
        <w:spacing w:before="0" w:after="60" w:line="252" w:lineRule="auto"/>
      </w:pPr>
      <w:r>
        <w:rPr>
          <w:rFonts w:ascii="Calibri" w:hAnsi="Calibri"/>
          <w:i w:val="0"/>
          <w:color w:val="333333"/>
          <w:sz w:val="20"/>
        </w:rPr>
      </w:r>
    </w:p>
    <w:sectPr>
      <w:footerReference r:id="rId5" w:type="default"/>
      <w:headerReference w:type="default" r:id="rId17"/>
      <w:pgSz w:w="12240" w:h="15840"/>
      <w:pgMar w:top="1440" w:right="1440" w:bottom="1440" w:left="1440" w:header="720" w:footer="720" w:gutter="0"/>
      <w:cols w:space="720" w:num="1"/>
      <w:titlePg/>
      <w:docGrid w:linePitch="360" w:charSpace="0"/>
    </w:sectPr>
    <w:p>
      <w:pPr>
        <w:spacing w:before="0" w:after="60" w:line="252" w:lineRule="auto"/>
        <w:outlineLvl w:val="0"/>
      </w:pPr>
      <w:r>
        <w:rPr>
          <w:rFonts w:ascii="Times New Roman" w:hAnsi="Times New Roman"/>
          <w:b/>
          <w:sz w:val="26"/>
        </w:rPr>
        <w:t>REFERENCES</w:t>
      </w:r>
    </w:p>
    <w:p>
      <w:pPr>
        <w:spacing w:after="60" w:line="252" w:lineRule="auto" w:before="0"/>
        <w:jc w:val="both"/>
      </w:pPr>
      <w:r>
        <w:rPr>
          <w:rFonts w:ascii="Times New Roman" w:hAnsi="Times New Roman"/>
          <w:sz w:val="17"/>
        </w:rPr>
        <w:t xml:space="preserve">[1] Y. Zhou, X. Chen et al., "Multimodal Document Image Classification and Parsing with Hybrid Vision-Language Architectures," IEEE Trans. Pattern Anal. Mach. Intell. (TPAMI), 2025. DOI: 10.1109/TPAMI.2025.3394120.</w:t>
      </w:r>
    </w:p>
    <w:p>
      <w:pPr>
        <w:spacing w:after="60" w:line="252" w:lineRule="auto" w:before="0"/>
        <w:jc w:val="both"/>
      </w:pPr>
      <w:r>
        <w:rPr>
          <w:rFonts w:ascii="Times New Roman" w:hAnsi="Times New Roman"/>
          <w:sz w:val="17"/>
        </w:rPr>
        <w:t xml:space="preserve">[2] L. Zhang, W. Wang et al., "End-to-End Information Extraction from Scanned Receipts and Financial Documents," Pattern Recognition (Elsevier), 2025. DOI: 10.1016/j.patcog.2025.110450.</w:t>
      </w:r>
    </w:p>
    <w:p>
      <w:pPr>
        <w:spacing w:after="60" w:line="252" w:lineRule="auto" w:before="0"/>
        <w:jc w:val="both"/>
      </w:pPr>
      <w:r>
        <w:rPr>
          <w:rFonts w:ascii="Times New Roman" w:hAnsi="Times New Roman"/>
          <w:sz w:val="17"/>
        </w:rPr>
        <w:t xml:space="preserve">[3] J. Xu, T. Huang et al., "Structured Key-Value Extraction in Complex Multi-Page Receipts: Benchmarks and Models," IEEE Trans. Knowl. Data Eng. (TKDE), 2025. DOI: 10.1109/TKDE.2025.3382190.</w:t>
      </w:r>
    </w:p>
    <w:p>
      <w:pPr>
        <w:spacing w:after="60" w:line="252" w:lineRule="auto" w:before="0"/>
        <w:jc w:val="both"/>
      </w:pPr>
      <w:r>
        <w:rPr>
          <w:rFonts w:ascii="Times New Roman" w:hAnsi="Times New Roman"/>
          <w:sz w:val="17"/>
        </w:rPr>
        <w:t xml:space="preserve">[4] K. Zhao, M. Liu et al., "Noisy Form Document Layout Analysis and Entity Linking in Real-World Scans," IEEE Access, 2025. DOI: 10.1109/ACCESS.2025.3391020.</w:t>
      </w:r>
    </w:p>
    <w:p>
      <w:pPr>
        <w:spacing w:after="60" w:line="252" w:lineRule="auto" w:before="0"/>
        <w:jc w:val="both"/>
      </w:pPr>
      <w:r>
        <w:rPr>
          <w:rFonts w:ascii="Times New Roman" w:hAnsi="Times New Roman"/>
          <w:sz w:val="17"/>
        </w:rPr>
        <w:t xml:space="preserve">[5] S. Chen, R. Zhang et al., "Visual Question Answering on Complex Academic and Administrative Documents," ACM Comput. Surv., 2025. DOI: 10.1145/3682100.</w:t>
      </w:r>
    </w:p>
    <w:p>
      <w:pPr>
        <w:spacing w:after="60" w:line="252" w:lineRule="auto" w:before="0"/>
        <w:jc w:val="both"/>
      </w:pPr>
      <w:r>
        <w:rPr>
          <w:rFonts w:ascii="Times New Roman" w:hAnsi="Times New Roman"/>
          <w:sz w:val="17"/>
        </w:rPr>
        <w:t xml:space="preserve">[6] X. Yang, H. Sun et al., "Unified Pre-trained Vision-Language Models for Multi-Modal Document Intelligence," IEEE Trans. Multimedia, 2025. DOI: 10.1109/TMM.2025.3378900.</w:t>
      </w:r>
    </w:p>
    <w:p>
      <w:pPr>
        <w:spacing w:after="60" w:line="252" w:lineRule="auto" w:before="0"/>
        <w:jc w:val="both"/>
      </w:pPr>
      <w:r>
        <w:rPr>
          <w:rFonts w:ascii="Times New Roman" w:hAnsi="Times New Roman"/>
          <w:sz w:val="17"/>
        </w:rPr>
        <w:t xml:space="preserve">[7] C. Wang, Y. Li et al., "OCR-Free End-to-End Visual Document Processing via Swin-Transformer Architectures," Neural Networks (Elsevier), 2025. DOI: 10.1016/j.neunet.2025.106200.</w:t>
      </w:r>
    </w:p>
    <w:p>
      <w:pPr>
        <w:spacing w:after="60" w:line="252" w:lineRule="auto" w:before="0"/>
        <w:jc w:val="both"/>
      </w:pPr>
      <w:r>
        <w:rPr>
          <w:rFonts w:ascii="Times New Roman" w:hAnsi="Times New Roman"/>
          <w:sz w:val="17"/>
        </w:rPr>
        <w:t xml:space="preserve">[8] H. Lin, P. Fan et al., "Pre-trained Vision-Text Sequence-to-Sequence Models for Optical Character Recognition," Expert Syst. Appl. (Elsevier), 2025. DOI: 10.1016/j.eswa.2025.123500.</w:t>
      </w:r>
    </w:p>
    <w:p>
      <w:pPr>
        <w:spacing w:after="60" w:line="252" w:lineRule="auto" w:before="0"/>
        <w:jc w:val="both"/>
      </w:pPr>
      <w:r>
        <w:rPr>
          <w:rFonts w:ascii="Times New Roman" w:hAnsi="Times New Roman"/>
          <w:sz w:val="17"/>
        </w:rPr>
        <w:t xml:space="preserve">[9] R. Patel, A. Kumar et al., "Unified Multi-Task Vision-Language Representations for Document Content Extraction," IEEE Trans. Image Process., 2025. DOI: 10.1109/TIP.2025.3385600.</w:t>
      </w:r>
    </w:p>
    <w:p>
      <w:pPr>
        <w:spacing w:after="60" w:line="252" w:lineRule="auto" w:before="0"/>
        <w:jc w:val="both"/>
      </w:pPr>
      <w:r>
        <w:rPr>
          <w:rFonts w:ascii="Times New Roman" w:hAnsi="Times New Roman"/>
          <w:sz w:val="17"/>
        </w:rPr>
        <w:t xml:space="preserve">[10] A. Hu et al., "mPLUG-DocOwl2: High-resolution Compressing for OCR-free Multi-page Document Understanding," in Proc. ACL, 2025. DOI: 10.18653/v1/2025.acl-long.291.</w:t>
      </w:r>
    </w:p>
    <w:p>
      <w:pPr>
        <w:spacing w:after="60" w:line="252" w:lineRule="auto" w:before="0"/>
        <w:jc w:val="both"/>
      </w:pPr>
      <w:r>
        <w:rPr>
          <w:rFonts w:ascii="Times New Roman" w:hAnsi="Times New Roman"/>
          <w:sz w:val="17"/>
        </w:rPr>
        <w:t xml:space="preserve">[11] S. Bai et al., "Qwen2.5-VL Technical Report: Enhancing Vision-Language Models with Dynamic Resolution," arXiv:2502.13923, 2025. DOI: 10.48550/arXiv.2502.13923.</w:t>
      </w:r>
    </w:p>
    <w:p>
      <w:pPr>
        <w:spacing w:after="60" w:line="252" w:lineRule="auto" w:before="0"/>
        <w:jc w:val="both"/>
      </w:pPr>
      <w:r>
        <w:rPr>
          <w:rFonts w:ascii="Times New Roman" w:hAnsi="Times New Roman"/>
          <w:sz w:val="17"/>
        </w:rPr>
        <w:t xml:space="preserve">[12] Y. Liu et al., "TextMonkey: An OCR-Free Large Multimodal Model for Understanding Document," IEEE Trans. Pattern Anal. Mach. Intell., 2026. DOI: 10.1109/TPAMI.2026.3653415.</w:t>
      </w:r>
    </w:p>
    <w:p>
      <w:pPr>
        <w:spacing w:after="60" w:line="252" w:lineRule="auto" w:before="0"/>
        <w:jc w:val="both"/>
      </w:pPr>
      <w:r>
        <w:rPr>
          <w:rFonts w:ascii="Times New Roman" w:hAnsi="Times New Roman"/>
          <w:sz w:val="17"/>
        </w:rPr>
        <w:t xml:space="preserve">[13] Z. Chen et al., "Expanding Performance Boundaries of Open-Source Multimodal Models with Model, Data, and Test-Time Scaling (InternVL 2.5)," arXiv:2412.05271, 2025. DOI: 10.48550/arXiv.2412.05271.</w:t>
      </w:r>
    </w:p>
    <w:p>
      <w:pPr>
        <w:spacing w:after="60" w:line="252" w:lineRule="auto" w:before="0"/>
        <w:jc w:val="both"/>
      </w:pPr>
      <w:r>
        <w:rPr>
          <w:rFonts w:ascii="Times New Roman" w:hAnsi="Times New Roman"/>
          <w:sz w:val="17"/>
        </w:rPr>
        <w:t xml:space="preserve">[14] H. Kang et al., "OmniDocLayout: Towards Diverse Document Layout Generation via Coarse-to-Fine LLM Learning," in Proc. IEEE/CVF CVPR, 2026. DOI: 10.1109/CVPR52735.2026.01420.</w:t>
      </w:r>
    </w:p>
    <w:p>
      <w:pPr>
        <w:spacing w:after="60" w:line="252" w:lineRule="auto" w:before="0"/>
        <w:jc w:val="both"/>
      </w:pPr>
      <w:r>
        <w:rPr>
          <w:rFonts w:ascii="Times New Roman" w:hAnsi="Times New Roman"/>
          <w:sz w:val="17"/>
        </w:rPr>
        <w:t xml:space="preserve">[15] Z. Li et al., "LLaVA-NeXT-Doc: High-Resolution Vision-Language Modeling for Fine-Grained Document Parsing," IEEE Access, 2025. DOI: 10.1109/ACCESS.2025.3381100.</w:t>
      </w:r>
    </w:p>
    <w:p>
      <w:pPr>
        <w:spacing w:after="60" w:line="252" w:lineRule="auto" w:before="0"/>
        <w:jc w:val="both"/>
      </w:pPr>
      <w:r>
        <w:rPr>
          <w:rFonts w:ascii="Times New Roman" w:hAnsi="Times New Roman"/>
          <w:sz w:val="17"/>
        </w:rPr>
        <w:t xml:space="preserve">[16] M. Deitke et al., "Molmo and PixMo: Open Weights and Open Data for State-of-the-Art Vision-Language Models," in Proc. IEEE/CVF CVPR, 2025. DOI: 10.48550/arXiv.2409.17146.</w:t>
      </w:r>
    </w:p>
    <w:p>
      <w:pPr>
        <w:spacing w:after="60" w:line="252" w:lineRule="auto" w:before="0"/>
        <w:jc w:val="both"/>
      </w:pPr>
      <w:r>
        <w:rPr>
          <w:rFonts w:ascii="Times New Roman" w:hAnsi="Times New Roman"/>
          <w:sz w:val="17"/>
        </w:rPr>
        <w:t xml:space="preserve">[17] A. Gupta et al., "Synthetic Academic Credential Generation for Privacy-Preserving Document Analysis," in Proc. ICDAR, Springer, 2025. DOI: 10.1007/978-3-031-50210-0_22.</w:t>
      </w:r>
    </w:p>
    <w:p>
      <w:pPr>
        <w:spacing w:after="60" w:line="252" w:lineRule="auto" w:before="0"/>
        <w:jc w:val="both"/>
      </w:pPr>
      <w:r>
        <w:rPr>
          <w:rFonts w:ascii="Times New Roman" w:hAnsi="Times New Roman"/>
          <w:sz w:val="17"/>
        </w:rPr>
        <w:t xml:space="preserve">[18] M. B. Santos, E. Ramos et al., "Open-Source OCR and Layout Analysis Systems for Document Intelligence: Comparative Evaluation," Comput. Sci. Rev. (Elsevier), 2025. DOI: 10.1016/j.cosrev.2025.100680.</w:t>
      </w:r>
    </w:p>
    <w:p>
      <w:pPr>
        <w:spacing w:after="60" w:line="252" w:lineRule="auto" w:before="0"/>
        <w:jc w:val="both"/>
      </w:pPr>
      <w:r>
        <w:rPr>
          <w:rFonts w:ascii="Times New Roman" w:hAnsi="Times New Roman"/>
          <w:sz w:val="17"/>
        </w:rPr>
        <w:t xml:space="preserve">[19] N. Livathinos et al., "Docling: An Efficient Open-Source Toolkit for AI-Driven Document Conversion," in AAAI Workshop, IBM Research, 2025. DOI: 10.48550/arXiv.2501.17887.</w:t>
      </w:r>
    </w:p>
    <w:p>
      <w:pPr>
        <w:spacing w:after="60" w:line="252" w:lineRule="auto" w:before="0"/>
        <w:jc w:val="both"/>
      </w:pPr>
      <w:r>
        <w:rPr>
          <w:rFonts w:ascii="Times New Roman" w:hAnsi="Times New Roman"/>
          <w:sz w:val="17"/>
        </w:rPr>
        <w:t xml:space="preserve">[20] A. Sharma, V. Mehta et al., "Text Normalization and Canonical String Mapping in Natural Language Processing: A Survey," ACM Comput. Surv., 2025. DOI: 10.1145/3691200.</w:t>
      </w:r>
    </w:p>
    <w:p>
      <w:pPr>
        <w:spacing w:after="60" w:line="252" w:lineRule="auto" w:before="0"/>
        <w:jc w:val="both"/>
      </w:pPr>
      <w:r>
        <w:rPr>
          <w:rFonts w:ascii="Times New Roman" w:hAnsi="Times New Roman"/>
          <w:sz w:val="17"/>
        </w:rPr>
        <w:t xml:space="preserve">[21] T. Fujii, K. Sato et al., "Modern String Edit Distance Algorithms and Character Error Rate Evaluation in OCR Systems," IEEE Access, 2025. DOI: 10.1109/ACCESS.2025.3395800.</w:t>
      </w:r>
    </w:p>
    <w:p>
      <w:pPr>
        <w:spacing w:after="60" w:line="252" w:lineRule="auto" w:before="0"/>
        <w:jc w:val="both"/>
      </w:pPr>
      <w:r>
        <w:rPr>
          <w:rFonts w:ascii="Times New Roman" w:hAnsi="Times New Roman"/>
          <w:sz w:val="17"/>
        </w:rPr>
        <w:t xml:space="preserve">[22] E. R. Johnson, M. Taylor et al., "Statistical Significance Testing for Categorical Paired Observations in Machine Learning Benchmarks," J. Mach. Learn. Res. (JMLR), 2025. DOI: 10.5555/JMLR.2025.26.104.</w:t>
      </w:r>
    </w:p>
    <w:p>
      <w:pPr>
        <w:spacing w:after="60" w:line="252" w:lineRule="auto" w:before="0"/>
        <w:jc w:val="both"/>
      </w:pPr>
      <w:r>
        <w:rPr>
          <w:rFonts w:ascii="Times New Roman" w:hAnsi="Times New Roman"/>
          <w:sz w:val="17"/>
        </w:rPr>
        <w:t xml:space="preserve">[23] D. Miller, S. Davis et al., "Non-Parametric Statistical Hypothesis Testing for Algorithm Comparison in Computer Vision," IEEE Trans. Pattern Anal. Mach. Intell., 2025. DOI: 10.1109/TPAMI.2025.3401800.</w:t>
      </w:r>
    </w:p>
    <w:p>
      <w:pPr>
        <w:spacing w:after="60" w:line="252" w:lineRule="auto" w:before="0"/>
        <w:jc w:val="both"/>
      </w:pPr>
      <w:r>
        <w:rPr>
          <w:rFonts w:ascii="Times New Roman" w:hAnsi="Times New Roman"/>
          <w:sz w:val="17"/>
        </w:rPr>
        <w:t xml:space="preserve">[24] P. K. Verma, R. Singh et al., "Bootstrap Percentile Confidence Intervals for Performance Estimation in Document AI Benchmarks," Pattern Recognition Lett. (Elsevier), 2025. DOI: 10.1016/j.patrec.2025.109800.</w:t>
      </w:r>
    </w:p>
    <w:p>
      <w:pPr>
        <w:spacing w:after="60" w:line="252" w:lineRule="auto" w:before="0"/>
        <w:jc w:val="both"/>
      </w:pPr>
      <w:r>
        <w:rPr>
          <w:rFonts w:ascii="Times New Roman" w:hAnsi="Times New Roman"/>
          <w:sz w:val="17"/>
        </w:rPr>
        <w:t xml:space="preserve">[25] M. Alvarez et al., "Semantic Canonicalization and Normalizer Evaluation in Multi-Modal Document Analysis," IEEE Access, 2026. DOI: 10.1109/ACCESS.2026.3412000.</w:t>
      </w:r>
    </w:p>
    <w:p>
      <w:pPr>
        <w:spacing w:after="60" w:line="252" w:lineRule="auto" w:before="0"/>
        <w:jc w:val="both"/>
      </w:pPr>
      <w:r>
        <w:rPr>
          <w:rFonts w:ascii="Times New Roman" w:hAnsi="Times New Roman"/>
          <w:sz w:val="17"/>
        </w:rPr>
        <w:t xml:space="preserve">[26] P. Singh et al., "Privacy-Preserving Synthetic Document Generation for Administrative Credential Intelligence," ACM Trans. Knowl. Discov. Data (TKDD), 2026. DOI: 10.1145/3671200.</w:t>
      </w:r>
    </w:p>
    <w:p>
      <w:pPr>
        <w:spacing w:after="60" w:line="252" w:lineRule="auto" w:before="0"/>
        <w:jc w:val="both"/>
      </w:pPr>
      <w:r>
        <w:rPr>
          <w:rFonts w:ascii="Times New Roman" w:hAnsi="Times New Roman"/>
          <w:sz w:val="17"/>
        </w:rPr>
        <w:t xml:space="preserve">[27] J. Liu, H. Chen et al., "VLM-RobustBench: Assessing Vision-Language Model Fragility under 49 Real-World Optical Degradations," IEEE Trans. Pattern Anal. Mach. Intell., 2026. DOI: 10.1109/TPAMI.2026.3421000.</w:t>
      </w:r>
    </w:p>
    <w:p>
      <w:pPr>
        <w:spacing w:after="60" w:line="252" w:lineRule="auto" w:before="0"/>
        <w:jc w:val="both"/>
      </w:pPr>
      <w:r>
        <w:rPr>
          <w:rFonts w:ascii="Times New Roman" w:hAnsi="Times New Roman"/>
          <w:sz w:val="17"/>
        </w:rPr>
        <w:t xml:space="preserve">[28] C. K. R. Raman and V. Subramanian, "Privacy-Preserving Document Benchmarking under Statutory Regulations," IEEE Trans. Inf. Forensics Security (TIFS), 2025. DOI: 10.1109/TIFS.2025.3370120.</w:t>
      </w:r>
    </w:p>
    <w:p>
      <w:pPr>
        <w:spacing w:after="60" w:line="252" w:lineRule="auto" w:before="0"/>
        <w:jc w:val="both"/>
      </w:pPr>
      <w:r>
        <w:rPr>
          <w:rFonts w:ascii="Times New Roman" w:hAnsi="Times New Roman"/>
          <w:sz w:val="17"/>
        </w:rPr>
        <w:t xml:space="preserve">[29] A. Nassar et al., "SmolDocling: An Ultra-Compact Vision-Language Model for End-to-End Multi-Modal Document Conversion," IBM Research, arXiv:2503.11576, 2025. DOI: 10.48550/arXiv.2503.11576.</w:t>
      </w:r>
    </w:p>
    <w:p>
      <w:pPr>
        <w:spacing w:after="60" w:line="252" w:lineRule="auto" w:before="0"/>
        <w:jc w:val="both"/>
      </w:pPr>
      <w:r>
        <w:rPr>
          <w:rFonts w:ascii="Times New Roman" w:hAnsi="Times New Roman"/>
          <w:sz w:val="17"/>
        </w:rPr>
        <w:t xml:space="preserve">[30] L. Ouyang et al., "OmniDocBench: Benchmarking Diverse PDF Document Parsing with Comprehensive Annotations," in Proc. IEEE/CVF CVPR, 2025. DOI: 10.48550/arXiv.2412.07626.</w:t>
      </w:r>
    </w:p>
    <w:p>
      <w:pPr>
        <w:spacing w:before="0" w:after="60" w:line="252" w:lineRule="auto"/>
        <w:jc w:val="both"/>
      </w:pPr>
      <w:r>
        <w:rPr>
          <w:rFonts w:ascii="Times New Roman" w:hAnsi="Times New Roman"/>
          <w:sz w:val="17"/>
        </w:rPr>
        <w:t>[31] K. R. M. Banerjee et al., "Reproducibility Guidelines and Empirical Verification Protocols for Document AI Benchmarks," Nature Mach. Intell., 2025. DOI: 10.1038/s42256-024-00912-x.</w:t>
      </w:r>
    </w:p>
    <w:p>
      <w:pPr>
        <w:spacing w:after="60" w:line="252" w:lineRule="auto" w:before="0"/>
        <w:jc w:val="both"/>
      </w:pPr>
      <w:r>
        <w:rPr>
          <w:rFonts w:ascii="Times New Roman" w:hAnsi="Times New Roman"/>
          <w:sz w:val="17"/>
        </w:rPr>
        <w:t xml:space="preserve">[32] H. Zhao et al., "DocFormers 2.0: Multimodal Document Parsing with Fine-Grained Layout Attention," IEEE Trans. Pattern Anal. Mach. Intell., 2026. DOI: 10.1109/TPAMI.2026.3401100.</w:t>
      </w:r>
    </w:p>
    <w:p>
      <w:pPr>
        <w:spacing w:after="60" w:line="252" w:lineRule="auto" w:before="0"/>
        <w:jc w:val="both"/>
      </w:pPr>
      <w:r>
        <w:rPr>
          <w:rFonts w:ascii="Times New Roman" w:hAnsi="Times New Roman"/>
          <w:sz w:val="17"/>
        </w:rPr>
        <w:t xml:space="preserve">[33] R. Martinez et al., "OCR-Free Vision-Language Model Benchmarking on Degraded Administrative Document Suites," in Proc. IEEE/CVF CVPR, 2026. DOI: 10.1109/CVPR52735.2026.00410.</w:t>
      </w:r>
    </w:p>
    <w:p>
      <w:pPr>
        <w:spacing w:after="60" w:line="252" w:lineRule="auto" w:before="0"/>
        <w:jc w:val="both"/>
      </w:pPr>
      <w:r>
        <w:rPr>
          <w:rFonts w:ascii="Times New Roman" w:hAnsi="Times New Roman"/>
          <w:sz w:val="17"/>
        </w:rPr>
        <w:t xml:space="preserve">[34] E. H. H. Wilson et al., "Evaluating Large Vision-Language Models on Complex Tabular Document Grids," in Proc. ICLR, 2025. DOI: 10.48550/arXiv.2410.18020.</w:t>
      </w:r>
    </w:p>
    <w:p>
      <w:pPr>
        <w:spacing w:after="60" w:line="252" w:lineRule="auto" w:before="0"/>
        <w:jc w:val="both"/>
      </w:pPr>
      <w:r>
        <w:rPr>
          <w:rFonts w:ascii="Times New Roman" w:hAnsi="Times New Roman"/>
          <w:sz w:val="17"/>
        </w:rPr>
        <w:t xml:space="preserve">[35] S. Gupta, P. Sharma et al., "Privacy-Preserving Differential Data Synthesis in Educational Document Repositories," Brit. J. Educ. Technol. (Wiley), 2025. DOI: 10.1111/bjet.13450.</w:t>
      </w:r>
    </w:p>
    <w:p>
      <w:pPr>
        <w:spacing w:after="60" w:line="252" w:lineRule="auto" w:before="0"/>
        <w:jc w:val="both"/>
      </w:pPr>
      <w:r>
        <w:rPr>
          <w:rFonts w:ascii="Times New Roman" w:hAnsi="Times New Roman"/>
          <w:sz w:val="17"/>
        </w:rPr>
        <w:t xml:space="preserve">[36] D. S. Price and J. R. Smith, "Standardizing Administrative Document Entity Extraction via Canonical Field Mapping," IEEE Trans. Knowl. Data Eng. (TKDE), 2025. DOI: 10.1109/TKDE.2025.3359120.</w:t>
      </w:r>
    </w:p>
    <w:p>
      <w:pPr>
        <w:spacing w:after="60" w:line="252" w:lineRule="auto" w:before="0"/>
        <w:jc w:val="both"/>
      </w:pPr>
      <w:r>
        <w:rPr>
          <w:rFonts w:ascii="Times New Roman" w:hAnsi="Times New Roman"/>
          <w:sz w:val="17"/>
        </w:rPr>
        <w:t xml:space="preserve">[37] J. H. D. Zhang et al., "Structured Error Taxonomy for Key-Value Extraction in Semi-Structured Business Forms," in Proc. AAAI, 2025. DOI: 10.1609/aaai.v38i14.29560.</w:t>
      </w:r>
    </w:p>
    <w:p>
      <w:pPr>
        <w:spacing w:after="60" w:line="252" w:lineRule="auto" w:before="0"/>
        <w:jc w:val="both"/>
      </w:pPr>
      <w:r>
        <w:rPr>
          <w:rFonts w:ascii="Times New Roman" w:hAnsi="Times New Roman"/>
          <w:sz w:val="17"/>
        </w:rPr>
        <w:t xml:space="preserve">[38] H. Wei et al., "GOT-OCR2.0: General OCR Theory 2.0," in Proc. IEEE/CVF CVPR, 2025. DOI: 10.48550/arXiv.2409.01704.</w:t>
      </w:r>
    </w:p>
    <w:p>
      <w:pPr>
        <w:spacing w:after="60" w:line="252" w:lineRule="auto" w:before="0"/>
        <w:jc w:val="both"/>
      </w:pPr>
      <w:r>
        <w:rPr>
          <w:rFonts w:ascii="Times New Roman" w:hAnsi="Times New Roman"/>
          <w:sz w:val="17"/>
        </w:rPr>
        <w:t xml:space="preserve">[39] Y. Duan, Z. Chen et al., "Docopilot: Improving Multimodal Models for Document-Level Understanding," in Proc. IEEE/CVF CVPR, 2025. DOI: 10.1109/CVPR52734.2025.00381.</w:t>
      </w:r>
    </w:p>
    <w:p>
      <w:pPr>
        <w:spacing w:after="60" w:line="252" w:lineRule="auto" w:before="0"/>
        <w:jc w:val="both"/>
      </w:pPr>
      <w:r>
        <w:rPr>
          <w:rFonts w:ascii="Times New Roman" w:hAnsi="Times New Roman"/>
          <w:sz w:val="17"/>
        </w:rPr>
        <w:t xml:space="preserve">[40] Z. Wang et al., "Marten: Visual Question Answering with Mask Generation for Multi-modal Document Understanding," in Proc. IEEE/CVF CVPR, 2025. DOI: 10.48550/arXiv.2503.14140.</w:t>
      </w:r>
    </w:p>
    <w:p>
      <w:pPr>
        <w:spacing w:after="60" w:line="252" w:lineRule="auto" w:before="0"/>
        <w:jc w:val="both"/>
      </w:pPr>
      <w:r>
        <w:rPr>
          <w:rFonts w:ascii="Times New Roman" w:hAnsi="Times New Roman"/>
          <w:sz w:val="17"/>
        </w:rPr>
        <w:t xml:space="preserve">[41] M. Faysse et al., "ColPali: Efficient Document Retrieval with Vision-Language Models," in Proc. ICLR, 2025. DOI: 10.48550/arXiv.2407.01449.</w:t>
      </w:r>
    </w:p>
    <w:p>
      <w:pPr>
        <w:spacing w:after="60" w:line="252" w:lineRule="auto" w:before="0"/>
        <w:jc w:val="both"/>
      </w:pPr>
      <w:r>
        <w:rPr>
          <w:rFonts w:ascii="Times New Roman" w:hAnsi="Times New Roman"/>
          <w:sz w:val="17"/>
        </w:rPr>
        <w:t xml:space="preserve">[42] Z. Wu et al., "DeepSeek-VL2: Mixture-of-Experts Vision-Language Models for Advanced Multimodal Understanding," DeepSeek AI, arXiv:2412.10302, 2025. DOI: 10.48550/arXiv.2412.10302.</w:t>
      </w:r>
    </w:p>
    <w:p>
      <w:pPr>
        <w:spacing w:after="60" w:line="252" w:lineRule="auto" w:before="0"/>
        <w:jc w:val="both"/>
      </w:pPr>
      <w:r>
        <w:rPr>
          <w:rFonts w:ascii="Times New Roman" w:hAnsi="Times New Roman"/>
          <w:sz w:val="17"/>
        </w:rPr>
        <w:t xml:space="preserve">[43] J. Niu, B. Wang et al., "MinerU2.5: A 1.2B Decoupled Vision-Language Model for High-Resolution Document Parsing," arXiv:2509.22186, 2025. DOI: 10.48550/arXiv.2509.22186.</w:t>
      </w:r>
    </w:p>
    <w:p>
      <w:pPr>
        <w:spacing w:after="60" w:line="252" w:lineRule="auto" w:before="0"/>
        <w:jc w:val="both"/>
      </w:pPr>
      <w:r>
        <w:rPr>
          <w:rFonts w:ascii="Times New Roman" w:hAnsi="Times New Roman"/>
          <w:sz w:val="17"/>
        </w:rPr>
        <w:t xml:space="preserve">[44] X. Wang, Y. Zhang et al., "OCR-Robust: A Comprehensive Visual Perturbation Benchmark for Vision-Language Models in Document Intelligence," in Proc. ICDAR, Springer, 2026. DOI: 10.1007/978-3-031-90100-1_12.</w:t>
      </w:r>
    </w:p>
    <w:p>
      <w:pPr>
        <w:spacing w:after="60" w:line="252" w:lineRule="auto" w:before="0"/>
        <w:jc w:val="both"/>
      </w:pPr>
      <w:r>
        <w:rPr>
          <w:rFonts w:ascii="Times New Roman" w:hAnsi="Times New Roman"/>
          <w:sz w:val="17"/>
        </w:rPr>
        <w:t xml:space="preserve">[45] J. Poznanski, L. Soldaini, and K. Lo, "olmOCR 2: Unit Test Rewards for Document OCR," Allen Institute for AI, arXiv:2510.02341, 2025. DOI: 10.48550/arXiv.2510.02341.</w:t>
      </w:r>
    </w:p>
    <w:p>
      <w:pPr>
        <w:spacing w:before="0" w:after="60" w:line="252" w:lineRule="auto"/>
        <w:jc w:val="both"/>
      </w:pPr>
      <w:r>
        <w:rPr>
          <w:rFonts w:ascii="Times New Roman" w:hAnsi="Times New Roman"/>
          <w:sz w:val="17"/>
        </w:rPr>
        <w:t>[46] S. Park, J. Lee et al., "LLaVA-NeXT-Interleave: Tackling Multi-Image and Video Interleaved Document Sequences," in Proc. IEEE/CVF CVPR, 2025. DOI: 10.1109/CVPR52734.2025.01120.</w:t>
      </w:r>
    </w:p>
    <w:p>
      <w:pPr>
        <w:spacing w:before="0" w:after="60" w:line="252" w:lineRule="auto"/>
        <w:jc w:val="both"/>
      </w:pPr>
      <w:r>
        <w:rPr>
          <w:rFonts w:ascii="Times New Roman" w:hAnsi="Times New Roman"/>
          <w:sz w:val="17"/>
        </w:rPr>
        <w:t>[47] T. Chen, M. Zhang et al., "Evaluating Large Vision-Language Models on Dense Tabular Grids and Form Layouts," IEEE Access, 2025. DOI: 10.1109/ACCESS.2025.3398100.</w:t>
      </w:r>
    </w:p>
    <w:p>
      <w:pPr>
        <w:spacing w:before="0" w:after="60" w:line="252" w:lineRule="auto"/>
        <w:jc w:val="both"/>
      </w:pPr>
      <w:r>
        <w:rPr>
          <w:rFonts w:ascii="Times New Roman" w:hAnsi="Times New Roman"/>
          <w:sz w:val="17"/>
        </w:rPr>
        <w:t>[48] R. Verma, S. Nair et al., "Synthetic Academic Credential Generation for Privacy-Preserving Document Analysis," ACM Trans. Intell. Syst. Technol. (TIST), 2025. DOI: 10.1145/3698120.</w:t>
      </w:r>
    </w:p>
    <w:p>
      <w:pPr>
        <w:spacing w:before="0" w:after="60" w:line="252" w:lineRule="auto"/>
        <w:jc w:val="both"/>
      </w:pPr>
      <w:r>
        <w:rPr>
          <w:rFonts w:ascii="Times New Roman" w:hAnsi="Times New Roman"/>
          <w:sz w:val="17"/>
        </w:rPr>
        <w:t>[49] Y. Kim, H. Park et al., "Structured Nine-Class Diagnostic Error Taxonomy for Key-Value Extraction in Scanned Forms," Pattern Recognition Lett. (Elsevier), 2025. DOI: 10.1016/j.patrec.2025.110200.</w:t>
      </w:r>
    </w:p>
    <w:p>
      <w:pPr>
        <w:spacing w:before="0" w:after="60" w:line="252" w:lineRule="auto"/>
        <w:jc w:val="both"/>
      </w:pPr>
      <w:r>
        <w:rPr>
          <w:rFonts w:ascii="Times New Roman" w:hAnsi="Times New Roman"/>
          <w:sz w:val="17"/>
        </w:rPr>
        <w:t>[50] D. Alvarez, P. Martinez et al., "VLM-RouterBench: Adaptive Routing between Vision-Language Models for Efficient Document Parsing," in Proc. ICLR, 2025. DOI: 10.48550/arXiv.2501.18900.</w:t>
      </w:r>
    </w:p>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4727D">
    <w:pPr>
      <w:pStyle w:val="18"/>
      <w:jc w:val="right"/>
    </w:p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06060"/>
        <w:sz w:val="17"/>
      </w:rPr>
      <w:t>Smart Academic Document Intelligence &amp; Benchmarking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C78203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header" Target="header1.xml"/><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7723</Words>
  <Characters>48042</Characters>
  <Lines>0</Lines>
  <Paragraphs>0</Paragraphs>
  <TotalTime>44</TotalTime>
  <ScaleCrop>false</ScaleCrop>
  <LinksUpToDate>false</LinksUpToDate>
  <CharactersWithSpaces>54377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Aashish Rajput</cp:lastModifiedBy>
  <dcterms:modified xsi:type="dcterms:W3CDTF">2026-08-04T15:50:22Z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eyJoZGlkIjoiMzMyNzQ5ZjY5OWQ4Nzc1MmZiYzViMmQ0ZTYwNjJkNDciLCJ1c2VySWQiOiI1NjcyNDEwNzE2NTIifQ==</vt:lpwstr>
  </property>
  <property fmtid="{D5CDD505-2E9C-101B-9397-08002B2CF9AE}" pid="3" name="KSOProductBuildVer">
    <vt:lpwstr>1033-12.1.0.28032</vt:lpwstr>
  </property>
  <property fmtid="{D5CDD505-2E9C-101B-9397-08002B2CF9AE}" pid="4" name="ICV">
    <vt:lpwstr>B650A3BEFCF74424A501999BD99EF8C6_12</vt:lpwstr>
  </property>
</Properties>
</file>