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List of Figure Captions &amp; Symbols (Nomenclature)</w:t>
      </w:r>
    </w:p>
    <w:p>
      <w:pPr>
        <w:spacing w:after="280"/>
        <w:jc w:val="center"/>
      </w:pPr>
      <w:r>
        <w:rPr>
          <w:rFonts w:ascii="Times New Roman" w:hAnsi="Times New Roman"/>
          <w:i/>
          <w:sz w:val="20"/>
        </w:rPr>
        <w:t>Smart Academic Document Intelligence System: Automated Extraction, Normalization, and Benchmark Generation</w:t>
        <w:br/>
        <w:t>Authors: Kushagra Singh Bhadauria, Aashish Rajput, and Avdesh Kumar Sah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1. List of Figure Captions (Separate Sheet for Typesetting)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1. </w:t>
      </w:r>
      <w:r>
        <w:rPr>
          <w:rFonts w:ascii="Times New Roman" w:hAnsi="Times New Roman"/>
          <w:sz w:val="20"/>
        </w:rPr>
        <w:t>System Architecture of the Proposed Academic Document Intelligence and Benchmark Evaluation Framework. The architecture decomposes into two decoupled subsystems: (1) Academic Document Benchmark Generator (ADBG v1.0) for vector template compilation and multi-profile optical degradation, and (2) AU DIC Evaluation Subsystem for read-only neural inference ingestion, semantic canonical normalization, and nine-class OCR error taxonomy classification.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2. </w:t>
      </w:r>
      <w:r>
        <w:rPr>
          <w:rFonts w:ascii="Times New Roman" w:hAnsi="Times New Roman"/>
          <w:sz w:val="20"/>
        </w:rPr>
        <w:t>Data Flow Diagram of the Proposed Academic Document Intelligence Evaluation System. Traces the end-to-end multi-level transformation lifecycle across Level 0 (Context Level), Level 1 (Framework Execution Flow), and Level 2 (Diagnostic Error Classification &amp; Evaluation Engine).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3. </w:t>
      </w:r>
      <w:r>
        <w:rPr>
          <w:rFonts w:ascii="Times New Roman" w:hAnsi="Times New Roman"/>
          <w:sz w:val="20"/>
        </w:rPr>
        <w:t>Option A End-to-End Neural Document Intelligence Evaluation Pipeline Architecture. Demonstrates direct image pixel tensor ingestion via Ollama local runtime to MiniCPM-V (7.6B Q4_0) without external OCR pre-segmentation.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4. </w:t>
      </w:r>
      <w:r>
        <w:rPr>
          <w:rFonts w:ascii="Times New Roman" w:hAnsi="Times New Roman"/>
          <w:sz w:val="20"/>
        </w:rPr>
        <w:t>Accuracy Improvement after Semantic Canonical Normalization. Bar chart illustrating field-level accuracy and exact match gains across Certificate, Marksheet, and ID Card document categories before and after normalization.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5. </w:t>
      </w:r>
      <w:r>
        <w:rPr>
          <w:rFonts w:ascii="Times New Roman" w:hAnsi="Times New Roman"/>
          <w:sz w:val="20"/>
        </w:rPr>
        <w:t>Character Error Rate (CER) and Word Error Rate (WER) Reduction Resulting from Canonical Normalization. Visualizes the 90.42% relative reduction in Character Error Rate (from 38.13% to 3.65%) and 90.53% reduction in Word Error Rate (from 285.31% to 27.01%).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6. </w:t>
      </w:r>
      <w:r>
        <w:rPr>
          <w:rFonts w:ascii="Times New Roman" w:hAnsi="Times New Roman"/>
          <w:sz w:val="20"/>
        </w:rPr>
        <w:t>Total False-Negative Field Mismatches Resolved by Each Individual Domain Normalizer Rule. Horizontal distribution of the 2,620 corrected errors across Date, Roll Number, Degree Alias, Numeric, Honorific/Whitespace, and University Alias normalizers.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7. </w:t>
      </w:r>
      <w:r>
        <w:rPr>
          <w:rFonts w:ascii="Times New Roman" w:hAnsi="Times New Roman"/>
          <w:sz w:val="20"/>
        </w:rPr>
        <w:t>Field-by-Field Accuracy Improvement Comparing Raw String Matching Against Canonical Normalization. Detailed multi-field breakdown comparing baseline unnormalized exact match rates against post-canonicalization accuracy.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8. </w:t>
      </w:r>
      <w:r>
        <w:rPr>
          <w:rFonts w:ascii="Times New Roman" w:hAnsi="Times New Roman"/>
          <w:sz w:val="20"/>
        </w:rPr>
        <w:t>Confusion matrices for Decision Tree classification across the 60:40, 70:30, and 80:20 train-test splits. Evaluates the predictability of document extraction failure modes using axis-aligned decision trees (93.69% accuracy, 95.91% F1, 0.8303 MCC).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sz w:val="20"/>
        </w:rPr>
        <w:t xml:space="preserve">Fig. 9. </w:t>
      </w:r>
      <w:r>
        <w:rPr>
          <w:rFonts w:ascii="Times New Roman" w:hAnsi="Times New Roman"/>
          <w:sz w:val="20"/>
        </w:rPr>
        <w:t>Confusion matrices for Random Forest classification across the 60:40, 70:30, and 80:20 train-test splits. Compares ensemble bagging classification across 24,480 observations against decision tree models.</w:t>
      </w:r>
    </w:p>
    <w:p>
      <w:pPr>
        <w:spacing w:before="320" w:after="120"/>
      </w:pPr>
      <w:r>
        <w:rPr>
          <w:rFonts w:ascii="Times New Roman" w:hAnsi="Times New Roman"/>
          <w:b/>
          <w:sz w:val="24"/>
        </w:rPr>
        <w:t>2. List of Mathematical Symbols &amp; Notations (Nomenclature)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Symbol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Mathematical / Technical Meaning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Unit / Domain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Field-level entity Precision (P = TP / (TP + FP))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Ratio [0, 1]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Field-level entity Recall (R = TP / (TP + FN))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Ratio [0, 1]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F1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Harmonic mean of Precision and Recall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Percentage [0, 100%]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CER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Character Error Rate ((S + D + I) / N_chars via Levenshtein distance)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Percentage [0, 100%]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WER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Word Error Rate ((Sw + Dw + Iw) / N_words)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Percentage [0, inf)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Raw EM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Raw Exact Match rate (unnormalized string equality)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Percentage [0, 100%]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Norm EM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Normalized Exact Match rate (post-canonicalization string equality)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Percentage [0, 100%]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Joint EM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Document-level Joint Record Exact Match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Percentage [0, 100%]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N(.)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Six-stage semantic canonicalization operator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Transformation Function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I(.)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Indicator function (1 if condition holds, 0 otherwise)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Binary {0, 1}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TP, FP, FN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True Positive, False Positive, and False Negative counts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Integer &gt;= 0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S, D, I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Substitutions, Deletions, and Insertions in character edit distance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Integer &gt;= 0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chi^2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McNemar's chi-squared test statistic for paired binary proportions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Statistical Statistic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W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Wilcoxon signed-rank test statistic for paired non-parametric differences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Statistical Statistic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Paired Student's t-test statistic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Statistical Statistic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Statistical significance probability (p-value)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Probability [0, 1]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alpha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Hypothesis rejection significance threshold (alpha = 0.01 or 0.05)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Significance Level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B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Number of non-parametric bootstrap resampling iterations (B = 10,000)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Integer Count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Total evaluated field observations (N = 24,480)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Integer Count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|D|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Total evaluated document specimens (|D| = 360)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Integer Count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