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60" w:line="252" w:lineRule="auto"/>
        <w:jc w:val="both"/>
      </w:pPr>
      <w:r>
        <w:rPr>
          <w:rFonts w:ascii="Times New Roman" w:hAnsi="Times New Roman"/>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50" w:after="2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color w:val="1E293B"/>
                <w:sz w:val="14"/>
              </w:rPr>
              <w:t>Limitation: Established generation framework but lacked comprehensive live VLM empirical benchmarking.</w:t>
            </w:r>
            <w:r>
              <w:rPr>
                <w:rFonts w:ascii="Times New Roman" w:hAnsi="Times New Roman"/>
                <w:color w:val="1E293B"/>
                <w:sz w:val="14"/>
              </w:rPr>
              <w:br w:type="textWrapping"/>
            </w:r>
            <w:r>
              <w:rPr>
                <w:rFonts w:ascii="Times New Roman" w:hAnsi="Times New Roman"/>
                <w:color w:val="1E293B"/>
                <w:sz w:val="14"/>
              </w:rPr>
              <w:t>Our Solution: AU DIC couples ADBG with live local Ollama runtime evaluation across 9,000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20" w:after="20" w:line="252" w:lineRule="auto"/>
        <w:jc w:val="center"/>
        <w:rPr>
          <w:rFonts w:hint="default"/>
          <w:lang w:val="en-IN"/>
        </w:rPr>
      </w:pPr>
      <w:r>
        <w:drawing>
          <wp:inline xmlns:a="http://schemas.openxmlformats.org/drawingml/2006/main" xmlns:pic="http://schemas.openxmlformats.org/drawingml/2006/picture">
            <wp:extent cx="2468880" cy="4327018"/>
            <wp:docPr id="19" name="Picture 1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468880" cy="4327018"/>
                    </a:xfrm>
                    <a:prstGeom prst="rect"/>
                  </pic:spPr>
                </pic:pic>
              </a:graphicData>
            </a:graphic>
          </wp:inline>
        </w:drawing>
      </w:r>
    </w:p>
    <w:p w14:paraId="3824FF20">
      <w:pPr>
        <w:keepNext/>
        <w:spacing w:before="20" w:after="4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20" w:after="20" w:line="252" w:lineRule="auto"/>
        <w:jc w:val="center"/>
      </w:pPr>
      <w:r>
        <w:drawing>
          <wp:inline xmlns:a="http://schemas.openxmlformats.org/drawingml/2006/main" xmlns:pic="http://schemas.openxmlformats.org/drawingml/2006/picture">
            <wp:extent cx="2286000" cy="6627479"/>
            <wp:docPr id="20" name="Picture 2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286000" cy="6627479"/>
                    </a:xfrm>
                    <a:prstGeom prst="rect"/>
                  </pic:spPr>
                </pic:pic>
              </a:graphicData>
            </a:graphic>
          </wp:inline>
        </w:drawing>
      </w:r>
    </w:p>
    <w:p w14:paraId="62A8FED5">
      <w:pPr>
        <w:keepNext/>
        <w:spacing w:before="20" w:after="4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50" w:after="2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cantSplit/>
          <w:jc w:val="center"/>
          <w:cantSplit/>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50" w:after="2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979"/>
        <w:gridCol w:w="1340"/>
        <w:gridCol w:w="2075"/>
        <w:gridCol w:w="2274"/>
        <w:gridCol w:w="1762"/>
      </w:tblGrid>
      <w:tr w14:paraId="19AA9128">
        <w:tblPrEx>
          <w:tblCellMar>
            <w:top w:w="0" w:type="dxa"/>
            <w:left w:w="108" w:type="dxa"/>
            <w:bottom w:w="0" w:type="dxa"/>
            <w:right w:w="108" w:type="dxa"/>
          </w:tblCellMar>
        </w:tblPrEx>
        <w:trPr>
          <w:cantSplit/>
          <w:jc w:val="center"/>
          <w:cantSplit/>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rPr>
              <w:t>160 Specimens (3,200 Fields)</w:t>
            </w:r>
          </w:p>
        </w:tc>
      </w:tr>
      <w:tr w14:paraId="1C8A094A">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rPr>
              <w:t>160 Specimens (3,200 Fields)</w:t>
            </w:r>
          </w:p>
        </w:tc>
      </w:tr>
      <w:tr w14:paraId="48A660A1">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rPr>
              <w:t>130 Specimens (2,600 Fields)</w:t>
            </w:r>
          </w:p>
        </w:tc>
      </w:tr>
      <w:tr w14:paraId="5CE3D04C">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50" w:after="20"/>
        <w:jc w:val="center"/>
      </w:pPr>
      <w:r>
        <w:rPr>
          <w:rFonts w:ascii="Times New Roman" w:hAnsi="Times New Roman"/>
          <w:b/>
          <w:sz w:val="18"/>
        </w:rPr>
        <w:t>TABLE 4: OPTICAL QUALITY DEGRADATION PROFILES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669"/>
        <w:gridCol w:w="2030"/>
        <w:gridCol w:w="4489"/>
        <w:gridCol w:w="1262"/>
      </w:tblGrid>
      <w:tr w14:paraId="1EB593F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1B365D"/>
            <w:tcMar>
              <w:top w:w="35" w:type="dxa"/>
              <w:left w:w="45" w:type="dxa"/>
              <w:bottom w:w="35" w:type="dxa"/>
              <w:right w:w="45" w:type="dxa"/>
            </w:tcMar>
          </w:tcPr>
          <w:p w14:paraId="3C629954">
            <w:pPr>
              <w:spacing w:before="20" w:after="20" w:line="240" w:lineRule="auto"/>
              <w:jc w:val="center"/>
            </w:pPr>
            <w:r>
              <w:rPr>
                <w:rFonts w:ascii="Times New Roman" w:hAnsi="Times New Roman"/>
                <w:b/>
                <w:color w:val="FFFFFF"/>
                <w:sz w:val="17"/>
              </w:rPr>
              <w:t>Profile Name</w:t>
            </w:r>
          </w:p>
        </w:tc>
        <w:tc>
          <w:tcPr>
            <w:tcW w:w="2160" w:type="dxa"/>
            <w:shd w:val="clear" w:color="auto" w:fill="1B365D"/>
            <w:tcMar>
              <w:top w:w="35" w:type="dxa"/>
              <w:left w:w="45" w:type="dxa"/>
              <w:bottom w:w="35" w:type="dxa"/>
              <w:right w:w="45" w:type="dxa"/>
            </w:tcMar>
          </w:tcPr>
          <w:p w14:paraId="48D3A10A">
            <w:pPr>
              <w:spacing w:before="20" w:after="20" w:line="240" w:lineRule="auto"/>
              <w:jc w:val="center"/>
            </w:pPr>
            <w:r>
              <w:rPr>
                <w:rFonts w:ascii="Times New Roman" w:hAnsi="Times New Roman"/>
                <w:b/>
                <w:color w:val="FFFFFF"/>
                <w:sz w:val="17"/>
              </w:rPr>
              <w:t>Target Simulation</w:t>
            </w:r>
          </w:p>
        </w:tc>
        <w:tc>
          <w:tcPr>
            <w:tcW w:w="4896" w:type="dxa"/>
            <w:shd w:val="clear" w:color="auto" w:fill="1B365D"/>
            <w:tcMar>
              <w:top w:w="35" w:type="dxa"/>
              <w:left w:w="45" w:type="dxa"/>
              <w:bottom w:w="35" w:type="dxa"/>
              <w:right w:w="45" w:type="dxa"/>
            </w:tcMar>
          </w:tcPr>
          <w:p w14:paraId="7BF2CCA4">
            <w:pPr>
              <w:spacing w:before="20" w:after="20" w:line="240" w:lineRule="auto"/>
              <w:jc w:val="center"/>
            </w:pPr>
            <w:r>
              <w:rPr>
                <w:rFonts w:ascii="Times New Roman" w:hAnsi="Times New Roman"/>
                <w:b/>
                <w:color w:val="FFFFFF"/>
                <w:sz w:val="17"/>
              </w:rPr>
              <w:t>Applied Image Transformations</w:t>
            </w:r>
          </w:p>
        </w:tc>
        <w:tc>
          <w:tcPr>
            <w:tcW w:w="1296" w:type="dxa"/>
            <w:shd w:val="clear" w:color="auto" w:fill="1B365D"/>
            <w:tcMar>
              <w:top w:w="35" w:type="dxa"/>
              <w:left w:w="45" w:type="dxa"/>
              <w:bottom w:w="35" w:type="dxa"/>
              <w:right w:w="45" w:type="dxa"/>
            </w:tcMar>
          </w:tcPr>
          <w:p w14:paraId="314922F1">
            <w:pPr>
              <w:spacing w:before="20" w:after="20" w:line="240" w:lineRule="auto"/>
              <w:jc w:val="center"/>
            </w:pPr>
            <w:r>
              <w:rPr>
                <w:rFonts w:ascii="Times New Roman" w:hAnsi="Times New Roman"/>
                <w:b/>
                <w:color w:val="FFFFFF"/>
                <w:sz w:val="17"/>
              </w:rPr>
              <w:t>Degradation Severity</w:t>
            </w:r>
          </w:p>
        </w:tc>
      </w:tr>
      <w:tr w14:paraId="6B4FFB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5F8FA"/>
            <w:tcMar>
              <w:top w:w="35" w:type="dxa"/>
              <w:left w:w="45" w:type="dxa"/>
              <w:bottom w:w="35" w:type="dxa"/>
              <w:right w:w="45" w:type="dxa"/>
            </w:tcMar>
          </w:tcPr>
          <w:p w14:paraId="0ABBDF56">
            <w:pPr>
              <w:spacing w:before="20" w:after="20" w:line="240" w:lineRule="auto"/>
              <w:jc w:val="center"/>
            </w:pPr>
            <w:r>
              <w:rPr>
                <w:rFonts w:ascii="Times New Roman" w:hAnsi="Times New Roman"/>
                <w:b/>
                <w:color w:val="000000"/>
                <w:sz w:val="17"/>
              </w:rPr>
              <w:t>clean</w:t>
            </w:r>
          </w:p>
        </w:tc>
        <w:tc>
          <w:tcPr>
            <w:tcW w:w="2160" w:type="dxa"/>
            <w:shd w:val="clear" w:color="auto" w:fill="F5F8FA"/>
            <w:tcMar>
              <w:top w:w="35" w:type="dxa"/>
              <w:left w:w="45" w:type="dxa"/>
              <w:bottom w:w="35" w:type="dxa"/>
              <w:right w:w="45" w:type="dxa"/>
            </w:tcMar>
          </w:tcPr>
          <w:p w14:paraId="79FB01AC">
            <w:pPr>
              <w:spacing w:before="20" w:after="20" w:line="240" w:lineRule="auto"/>
              <w:jc w:val="left"/>
            </w:pPr>
            <w:r>
              <w:rPr>
                <w:rFonts w:ascii="Times New Roman" w:hAnsi="Times New Roman"/>
                <w:b w:val="0"/>
                <w:color w:val="000000"/>
                <w:sz w:val="17"/>
              </w:rPr>
              <w:t>Pristine vector render</w:t>
            </w:r>
          </w:p>
        </w:tc>
        <w:tc>
          <w:tcPr>
            <w:tcW w:w="4896" w:type="dxa"/>
            <w:shd w:val="clear" w:color="auto" w:fill="F5F8FA"/>
            <w:tcMar>
              <w:top w:w="35" w:type="dxa"/>
              <w:left w:w="45" w:type="dxa"/>
              <w:bottom w:w="35" w:type="dxa"/>
              <w:right w:w="45" w:type="dxa"/>
            </w:tcMar>
          </w:tcPr>
          <w:p w14:paraId="7C496E23">
            <w:pPr>
              <w:spacing w:before="20" w:after="20" w:line="240" w:lineRule="auto"/>
              <w:jc w:val="left"/>
            </w:pPr>
            <w:r>
              <w:rPr>
                <w:rFonts w:ascii="Times New Roman" w:hAnsi="Times New Roman"/>
                <w:b w:val="0"/>
                <w:color w:val="000000"/>
                <w:sz w:val="17"/>
              </w:rPr>
              <w:t>Direct 300 DPI PDF-to-image rasterization; uncompressed</w:t>
            </w:r>
          </w:p>
        </w:tc>
        <w:tc>
          <w:tcPr>
            <w:tcW w:w="1296" w:type="dxa"/>
            <w:shd w:val="clear" w:color="auto" w:fill="F5F8FA"/>
            <w:tcMar>
              <w:top w:w="35" w:type="dxa"/>
              <w:left w:w="45" w:type="dxa"/>
              <w:bottom w:w="35" w:type="dxa"/>
              <w:right w:w="45" w:type="dxa"/>
            </w:tcMar>
          </w:tcPr>
          <w:p w14:paraId="1B4B1F00">
            <w:pPr>
              <w:spacing w:before="20" w:after="20" w:line="240" w:lineRule="auto"/>
              <w:jc w:val="center"/>
            </w:pPr>
            <w:r>
              <w:rPr>
                <w:rFonts w:ascii="Times New Roman" w:hAnsi="Times New Roman"/>
                <w:b w:val="0"/>
                <w:color w:val="000000"/>
                <w:sz w:val="17"/>
              </w:rPr>
              <w:t>None (0.0)</w:t>
            </w:r>
          </w:p>
        </w:tc>
      </w:tr>
      <w:tr w14:paraId="0ED72FC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FFFFF"/>
            <w:tcMar>
              <w:top w:w="35" w:type="dxa"/>
              <w:left w:w="45" w:type="dxa"/>
              <w:bottom w:w="35" w:type="dxa"/>
              <w:right w:w="45" w:type="dxa"/>
            </w:tcMar>
          </w:tcPr>
          <w:p w14:paraId="300EA771">
            <w:pPr>
              <w:spacing w:before="20" w:after="20" w:line="240" w:lineRule="auto"/>
              <w:jc w:val="center"/>
            </w:pPr>
            <w:r>
              <w:rPr>
                <w:rFonts w:ascii="Times New Roman" w:hAnsi="Times New Roman"/>
                <w:b/>
                <w:color w:val="000000"/>
                <w:sz w:val="17"/>
              </w:rPr>
              <w:t>scanner_copy</w:t>
            </w:r>
          </w:p>
        </w:tc>
        <w:tc>
          <w:tcPr>
            <w:tcW w:w="2160" w:type="dxa"/>
            <w:shd w:val="clear" w:color="auto" w:fill="FFFFFF"/>
            <w:tcMar>
              <w:top w:w="35" w:type="dxa"/>
              <w:left w:w="45" w:type="dxa"/>
              <w:bottom w:w="35" w:type="dxa"/>
              <w:right w:w="45" w:type="dxa"/>
            </w:tcMar>
          </w:tcPr>
          <w:p w14:paraId="52FB6112">
            <w:pPr>
              <w:spacing w:before="20" w:after="20" w:line="240" w:lineRule="auto"/>
              <w:jc w:val="left"/>
            </w:pPr>
            <w:r>
              <w:rPr>
                <w:rFonts w:ascii="Times New Roman" w:hAnsi="Times New Roman"/>
                <w:b w:val="0"/>
                <w:color w:val="000000"/>
                <w:sz w:val="17"/>
              </w:rPr>
              <w:t>Institutional flatbed scan</w:t>
            </w:r>
          </w:p>
        </w:tc>
        <w:tc>
          <w:tcPr>
            <w:tcW w:w="4896" w:type="dxa"/>
            <w:shd w:val="clear" w:color="auto" w:fill="FFFFFF"/>
            <w:tcMar>
              <w:top w:w="35" w:type="dxa"/>
              <w:left w:w="45" w:type="dxa"/>
              <w:bottom w:w="35" w:type="dxa"/>
              <w:right w:w="45" w:type="dxa"/>
            </w:tcMar>
          </w:tcPr>
          <w:p w14:paraId="7C249DBE">
            <w:pPr>
              <w:spacing w:before="20" w:after="20" w:line="240" w:lineRule="auto"/>
              <w:jc w:val="left"/>
            </w:pPr>
            <w:r>
              <w:rPr>
                <w:rFonts w:ascii="Times New Roman" w:hAnsi="Times New Roman"/>
                <w:b w:val="0"/>
                <w:color w:val="000000"/>
                <w:sz w:val="17"/>
              </w:rPr>
              <w:t>Gaussian noise (sigma=3), slight tilt (theta=0.5 deg), brightness shift (+10%)</w:t>
            </w:r>
          </w:p>
        </w:tc>
        <w:tc>
          <w:tcPr>
            <w:tcW w:w="1296" w:type="dxa"/>
            <w:shd w:val="clear" w:color="auto" w:fill="FFFFFF"/>
            <w:tcMar>
              <w:top w:w="35" w:type="dxa"/>
              <w:left w:w="45" w:type="dxa"/>
              <w:bottom w:w="35" w:type="dxa"/>
              <w:right w:w="45" w:type="dxa"/>
            </w:tcMar>
          </w:tcPr>
          <w:p w14:paraId="3A8FD4FC">
            <w:pPr>
              <w:spacing w:before="20" w:after="20" w:line="240" w:lineRule="auto"/>
              <w:jc w:val="center"/>
            </w:pPr>
            <w:r>
              <w:rPr>
                <w:rFonts w:ascii="Times New Roman" w:hAnsi="Times New Roman"/>
                <w:b w:val="0"/>
                <w:color w:val="000000"/>
                <w:sz w:val="17"/>
              </w:rPr>
              <w:t>Mild (1.0)</w:t>
            </w:r>
          </w:p>
        </w:tc>
      </w:tr>
      <w:tr w14:paraId="22ACE0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5F8FA"/>
            <w:tcMar>
              <w:top w:w="35" w:type="dxa"/>
              <w:left w:w="45" w:type="dxa"/>
              <w:bottom w:w="35" w:type="dxa"/>
              <w:right w:w="45" w:type="dxa"/>
            </w:tcMar>
          </w:tcPr>
          <w:p w14:paraId="0525C354">
            <w:pPr>
              <w:spacing w:before="20" w:after="20" w:line="240" w:lineRule="auto"/>
              <w:jc w:val="center"/>
            </w:pPr>
            <w:r>
              <w:rPr>
                <w:rFonts w:ascii="Times New Roman" w:hAnsi="Times New Roman"/>
                <w:b/>
                <w:color w:val="000000"/>
                <w:sz w:val="17"/>
              </w:rPr>
              <w:t>mobile_camera</w:t>
            </w:r>
          </w:p>
        </w:tc>
        <w:tc>
          <w:tcPr>
            <w:tcW w:w="2160" w:type="dxa"/>
            <w:shd w:val="clear" w:color="auto" w:fill="F5F8FA"/>
            <w:tcMar>
              <w:top w:w="35" w:type="dxa"/>
              <w:left w:w="45" w:type="dxa"/>
              <w:bottom w:w="35" w:type="dxa"/>
              <w:right w:w="45" w:type="dxa"/>
            </w:tcMar>
          </w:tcPr>
          <w:p w14:paraId="0CFFD268">
            <w:pPr>
              <w:spacing w:before="20" w:after="20" w:line="240" w:lineRule="auto"/>
              <w:jc w:val="left"/>
            </w:pPr>
            <w:r>
              <w:rPr>
                <w:rFonts w:ascii="Times New Roman" w:hAnsi="Times New Roman"/>
                <w:b w:val="0"/>
                <w:color w:val="000000"/>
                <w:sz w:val="17"/>
              </w:rPr>
              <w:t>Smartphone photo capture</w:t>
            </w:r>
          </w:p>
        </w:tc>
        <w:tc>
          <w:tcPr>
            <w:tcW w:w="4896" w:type="dxa"/>
            <w:shd w:val="clear" w:color="auto" w:fill="F5F8FA"/>
            <w:tcMar>
              <w:top w:w="35" w:type="dxa"/>
              <w:left w:w="45" w:type="dxa"/>
              <w:bottom w:w="35" w:type="dxa"/>
              <w:right w:w="45" w:type="dxa"/>
            </w:tcMar>
          </w:tcPr>
          <w:p w14:paraId="69A1AC0C">
            <w:pPr>
              <w:spacing w:before="20" w:after="20" w:line="240" w:lineRule="auto"/>
              <w:jc w:val="left"/>
            </w:pPr>
            <w:r>
              <w:rPr>
                <w:rFonts w:ascii="Times New Roman" w:hAnsi="Times New Roman"/>
                <w:b w:val="0"/>
                <w:color w:val="000000"/>
                <w:sz w:val="17"/>
              </w:rPr>
              <w:t>Perspective transform, uneven illumination gradient, mild blur (k=3)</w:t>
            </w:r>
          </w:p>
        </w:tc>
        <w:tc>
          <w:tcPr>
            <w:tcW w:w="1296" w:type="dxa"/>
            <w:shd w:val="clear" w:color="auto" w:fill="F5F8FA"/>
            <w:tcMar>
              <w:top w:w="35" w:type="dxa"/>
              <w:left w:w="45" w:type="dxa"/>
              <w:bottom w:w="35" w:type="dxa"/>
              <w:right w:w="45" w:type="dxa"/>
            </w:tcMar>
          </w:tcPr>
          <w:p w14:paraId="51696E98">
            <w:pPr>
              <w:spacing w:before="20" w:after="20" w:line="240" w:lineRule="auto"/>
              <w:jc w:val="center"/>
            </w:pPr>
            <w:r>
              <w:rPr>
                <w:rFonts w:ascii="Times New Roman" w:hAnsi="Times New Roman"/>
                <w:b w:val="0"/>
                <w:color w:val="000000"/>
                <w:sz w:val="17"/>
              </w:rPr>
              <w:t>Moderate (2.5)</w:t>
            </w:r>
          </w:p>
        </w:tc>
      </w:tr>
      <w:tr w14:paraId="6105C92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FFFFF"/>
            <w:tcMar>
              <w:top w:w="35" w:type="dxa"/>
              <w:left w:w="45" w:type="dxa"/>
              <w:bottom w:w="35" w:type="dxa"/>
              <w:right w:w="45" w:type="dxa"/>
            </w:tcMar>
          </w:tcPr>
          <w:p w14:paraId="143C2F90">
            <w:pPr>
              <w:spacing w:before="20" w:after="20" w:line="240" w:lineRule="auto"/>
              <w:jc w:val="center"/>
            </w:pPr>
            <w:r>
              <w:rPr>
                <w:rFonts w:ascii="Times New Roman" w:hAnsi="Times New Roman"/>
                <w:b/>
                <w:color w:val="000000"/>
                <w:sz w:val="17"/>
              </w:rPr>
              <w:t>rotated_90</w:t>
            </w:r>
          </w:p>
        </w:tc>
        <w:tc>
          <w:tcPr>
            <w:tcW w:w="2160" w:type="dxa"/>
            <w:shd w:val="clear" w:color="auto" w:fill="FFFFFF"/>
            <w:tcMar>
              <w:top w:w="35" w:type="dxa"/>
              <w:left w:w="45" w:type="dxa"/>
              <w:bottom w:w="35" w:type="dxa"/>
              <w:right w:w="45" w:type="dxa"/>
            </w:tcMar>
          </w:tcPr>
          <w:p w14:paraId="75A55833">
            <w:pPr>
              <w:spacing w:before="20" w:after="20" w:line="240" w:lineRule="auto"/>
              <w:jc w:val="left"/>
            </w:pPr>
            <w:r>
              <w:rPr>
                <w:rFonts w:ascii="Times New Roman" w:hAnsi="Times New Roman"/>
                <w:b w:val="0"/>
                <w:color w:val="000000"/>
                <w:sz w:val="17"/>
              </w:rPr>
              <w:t>Orientation misalignment</w:t>
            </w:r>
          </w:p>
        </w:tc>
        <w:tc>
          <w:tcPr>
            <w:tcW w:w="4896" w:type="dxa"/>
            <w:shd w:val="clear" w:color="auto" w:fill="FFFFFF"/>
            <w:tcMar>
              <w:top w:w="35" w:type="dxa"/>
              <w:left w:w="45" w:type="dxa"/>
              <w:bottom w:w="35" w:type="dxa"/>
              <w:right w:w="45" w:type="dxa"/>
            </w:tcMar>
          </w:tcPr>
          <w:p w14:paraId="19D45E71">
            <w:pPr>
              <w:spacing w:before="20" w:after="20" w:line="240" w:lineRule="auto"/>
              <w:jc w:val="left"/>
            </w:pPr>
            <w:r>
              <w:rPr>
                <w:rFonts w:ascii="Times New Roman" w:hAnsi="Times New Roman"/>
                <w:b w:val="0"/>
                <w:color w:val="000000"/>
                <w:sz w:val="17"/>
              </w:rPr>
              <w:t>Rigid 90-degree clockwise rotation tensor transposition</w:t>
            </w:r>
          </w:p>
        </w:tc>
        <w:tc>
          <w:tcPr>
            <w:tcW w:w="1296" w:type="dxa"/>
            <w:shd w:val="clear" w:color="auto" w:fill="FFFFFF"/>
            <w:tcMar>
              <w:top w:w="35" w:type="dxa"/>
              <w:left w:w="45" w:type="dxa"/>
              <w:bottom w:w="35" w:type="dxa"/>
              <w:right w:w="45" w:type="dxa"/>
            </w:tcMar>
          </w:tcPr>
          <w:p w14:paraId="58078C88">
            <w:pPr>
              <w:spacing w:before="20" w:after="20" w:line="240" w:lineRule="auto"/>
              <w:jc w:val="center"/>
            </w:pPr>
            <w:r>
              <w:rPr>
                <w:rFonts w:ascii="Times New Roman" w:hAnsi="Times New Roman"/>
                <w:b w:val="0"/>
                <w:color w:val="000000"/>
                <w:sz w:val="17"/>
              </w:rPr>
              <w:t>Severe (4.0)</w:t>
            </w:r>
          </w:p>
        </w:tc>
      </w:tr>
    </w:tbl>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F3FF498">
      <w:pPr>
        <w:keepNext/>
        <w:spacing w:before="60" w:after="30"/>
        <w:jc w:val="center"/>
        <w:rPr>
          <w:rFonts w:ascii="Times New Roman" w:hAnsi="Times New Roman"/>
          <w:b/>
          <w:sz w:val="18"/>
        </w:rPr>
      </w:pPr>
    </w:p>
    <w:p w14:paraId="33FBC246">
      <w:pPr>
        <w:keepNext/>
        <w:spacing w:before="60" w:after="30"/>
        <w:jc w:val="center"/>
        <w:rPr>
          <w:rFonts w:ascii="Times New Roman" w:hAnsi="Times New Roman"/>
          <w:b/>
          <w:sz w:val="18"/>
        </w:rPr>
      </w:pPr>
    </w:p>
    <w:p w14:paraId="10B640F1">
      <w:pPr>
        <w:keepNext/>
        <w:spacing w:before="60" w:after="30"/>
        <w:jc w:val="center"/>
        <w:rPr>
          <w:rFonts w:ascii="Times New Roman" w:hAnsi="Times New Roman"/>
          <w:b/>
          <w:sz w:val="18"/>
        </w:rPr>
      </w:pPr>
    </w:p>
    <w:p w14:paraId="3D3EC3D9">
      <w:pPr>
        <w:keepNext/>
        <w:spacing w:before="60" w:after="30"/>
        <w:jc w:val="center"/>
        <w:rPr>
          <w:rFonts w:ascii="Times New Roman" w:hAnsi="Times New Roman"/>
          <w:b/>
          <w:sz w:val="18"/>
        </w:rPr>
      </w:pPr>
    </w:p>
    <w:p w14:paraId="25BFB018">
      <w:pPr>
        <w:keepNext/>
        <w:spacing w:before="50" w:after="2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blPrEx>
          <w:tblCellMar>
            <w:top w:w="0" w:type="dxa"/>
            <w:left w:w="108" w:type="dxa"/>
            <w:bottom w:w="0" w:type="dxa"/>
            <w:right w:w="108" w:type="dxa"/>
          </w:tblCellMar>
        </w:tblPrEx>
        <w:trPr>
          <w:cantSplit/>
          <w:jc w:val="center"/>
          <w:cantSplit/>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2535F0E3">
      <w:pPr>
        <w:keepNext/>
        <w:spacing w:before="60" w:after="30"/>
        <w:jc w:val="center"/>
        <w:rPr>
          <w:rFonts w:ascii="Times New Roman" w:hAnsi="Times New Roman"/>
          <w:b/>
          <w:sz w:val="18"/>
        </w:rPr>
      </w:pPr>
    </w:p>
    <w:p w14:paraId="101BE18E">
      <w:pPr>
        <w:keepNext/>
        <w:spacing w:before="60" w:after="30"/>
        <w:jc w:val="center"/>
        <w:rPr>
          <w:rFonts w:ascii="Times New Roman" w:hAnsi="Times New Roman"/>
          <w:b/>
          <w:sz w:val="18"/>
        </w:rPr>
      </w:pPr>
    </w:p>
    <w:p w14:paraId="7A5EA2A2">
      <w:pPr>
        <w:keepNext/>
        <w:spacing w:before="60" w:after="30"/>
        <w:jc w:val="center"/>
        <w:rPr>
          <w:rFonts w:ascii="Times New Roman" w:hAnsi="Times New Roman"/>
          <w:b/>
          <w:sz w:val="18"/>
        </w:rPr>
      </w:pPr>
    </w:p>
    <w:p w14:paraId="5CCB3CE3">
      <w:pPr>
        <w:keepNext/>
        <w:spacing w:before="60" w:after="30"/>
        <w:jc w:val="center"/>
        <w:rPr>
          <w:rFonts w:ascii="Times New Roman" w:hAnsi="Times New Roman"/>
          <w:b/>
          <w:sz w:val="18"/>
        </w:rPr>
      </w:pPr>
    </w:p>
    <w:p w14:paraId="6A0DD99F">
      <w:pPr>
        <w:keepNext/>
        <w:spacing w:before="60" w:after="30"/>
        <w:jc w:val="center"/>
        <w:rPr>
          <w:rFonts w:ascii="Times New Roman" w:hAnsi="Times New Roman"/>
          <w:b/>
          <w:sz w:val="18"/>
        </w:rPr>
      </w:pPr>
    </w:p>
    <w:p w14:paraId="3F1BF42F">
      <w:pPr>
        <w:keepNext/>
        <w:spacing w:before="50" w:after="2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50" w:after="2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04143BE0">
      <w:pPr>
        <w:spacing w:before="20" w:after="40"/>
        <w:jc w:val="center"/>
      </w:pPr>
      <w:r>
        <w:rPr>
          <w:rFonts w:ascii="Times New Roman" w:hAnsi="Times New Roman"/>
          <w:i/>
          <w:sz w:val="18"/>
        </w:rPr>
        <w:t>Fig. 3. Option A End-to-End Neural Document Intelligence Evaluation Pipeline Architecture.</w:t>
      </w:r>
    </w:p>
    <w:p w14:paraId="7255D7DD">
      <w:pPr>
        <w:keepNext/>
        <w:spacing w:before="50" w:after="2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946"/>
      </w:tblGrid>
      <w:tr w14:paraId="492496A2">
        <w:tblPrEx>
          <w:tblCellMar>
            <w:top w:w="0" w:type="dxa"/>
            <w:left w:w="108" w:type="dxa"/>
            <w:bottom w:w="0" w:type="dxa"/>
            <w:right w:w="108" w:type="dxa"/>
          </w:tblCellMar>
        </w:tblPrEx>
        <w:trPr>
          <w:cantSplit/>
          <w:jc w:val="center"/>
          <w:cantSplit/>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cantSplit/>
          <w:jc w:val="center"/>
          <w:cantSplit/>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cantSplit/>
          <w:jc w:val="center"/>
          <w:cantSplit/>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cantSplit/>
          <w:jc w:val="center"/>
          <w:cantSplit/>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cantSplit/>
          <w:jc w:val="center"/>
          <w:cantSplit/>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60" w:line="252" w:lineRule="auto"/>
        <w:jc w:val="both"/>
      </w:pPr>
      <w:r>
        <w:rPr>
          <w:rFonts w:ascii="Times New Roman" w:hAnsi="Times New Roman"/>
        </w:rPr>
        <w:t>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4 and Fig. 5, canonical normalization resolved superficial syntax variations, increasing Field F1 from 81.77% to 92.92% (+11.16% net gain, +13.64% relative) while reducing Character Error Rate from 8.14% to 2.45% (a 69.90% relative error reduction).</w:t>
      </w:r>
    </w:p>
    <w:p w14:paraId="223E41D0">
      <w:pPr>
        <w:keepNext/>
        <w:spacing w:before="60" w:after="30"/>
        <w:jc w:val="center"/>
        <w:rPr>
          <w:rFonts w:ascii="Times New Roman" w:hAnsi="Times New Roman"/>
        </w:rPr>
      </w:pPr>
    </w:p>
    <w:p w14:paraId="3EE5CB6E">
      <w:pPr>
        <w:keepNext/>
        <w:spacing w:before="60" w:after="30"/>
        <w:jc w:val="center"/>
        <w:rPr>
          <w:rFonts w:ascii="Times New Roman" w:hAnsi="Times New Roman"/>
        </w:rPr>
      </w:pPr>
    </w:p>
    <w:p w14:paraId="6D448B09">
      <w:pPr>
        <w:keepNext/>
        <w:spacing w:before="50" w:after="2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cantSplit/>
          <w:jc w:val="center"/>
          <w:cantSplit/>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cantSplit/>
          <w:jc w:val="center"/>
          <w:cantSplit/>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cantSplit/>
          <w:jc w:val="center"/>
          <w:cantSplit/>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cantSplit/>
          <w:jc w:val="center"/>
          <w:cantSplit/>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cantSplit/>
          <w:jc w:val="center"/>
          <w:cantSplit/>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rPr>
              <w:t>+12.45%</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777EC43">
      <w:pPr>
        <w:spacing w:before="20" w:after="4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3620FDBA">
      <w:pPr>
        <w:spacing w:before="20" w:after="4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50" w:after="2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97DBFA4">
      <w:pPr>
        <w:spacing w:before="20" w:after="4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121C3644">
      <w:pPr>
        <w:spacing w:before="20" w:after="40"/>
        <w:jc w:val="center"/>
      </w:pPr>
      <w:r>
        <w:rPr>
          <w:rFonts w:ascii="Times New Roman" w:hAnsi="Times New Roman"/>
          <w:i/>
          <w:sz w:val="18"/>
        </w:rPr>
        <w:t>Fig. 7. Field-by-Field Accuracy Improvement Comparing Raw String Matching Against Canonical Normalization.</w:t>
      </w:r>
    </w:p>
    <w:p w14:paraId="16C85F4F">
      <w:pPr>
        <w:spacing w:before="80" w:after="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1002.00, Wilcoxon W = 0.0, Paired t = 10.54). Furthermore, 10,000-iteration non-parametric bootstrap resampling in Table 12 establishes non-overlapping 95% confidence intervals between Pass A (F1: [76.89%, 82.22%]) and Pass B (F1: [88.56%, 92.44%]).</w:t>
      </w:r>
    </w:p>
    <w:p w14:paraId="46F1556B">
      <w:pPr>
        <w:keepNext/>
        <w:spacing w:before="60" w:after="30"/>
        <w:jc w:val="center"/>
        <w:rPr>
          <w:rFonts w:ascii="Times New Roman" w:hAnsi="Times New Roman"/>
        </w:rPr>
      </w:pPr>
    </w:p>
    <w:p w14:paraId="713F8F20">
      <w:pPr>
        <w:keepNext/>
        <w:spacing w:before="60" w:after="30"/>
        <w:jc w:val="center"/>
        <w:rPr>
          <w:rFonts w:ascii="Times New Roman" w:hAnsi="Times New Roman"/>
        </w:rPr>
      </w:pPr>
    </w:p>
    <w:p w14:paraId="274DEF95">
      <w:pPr>
        <w:keepNext/>
        <w:spacing w:before="60" w:after="30"/>
        <w:jc w:val="center"/>
        <w:rPr>
          <w:rFonts w:ascii="Times New Roman" w:hAnsi="Times New Roman"/>
        </w:rPr>
      </w:pPr>
    </w:p>
    <w:p w14:paraId="061ABBD9">
      <w:pPr>
        <w:keepNext/>
        <w:spacing w:before="60" w:after="30"/>
        <w:jc w:val="center"/>
        <w:rPr>
          <w:rFonts w:ascii="Times New Roman" w:hAnsi="Times New Roman"/>
        </w:rPr>
      </w:pPr>
    </w:p>
    <w:p w14:paraId="039715DD">
      <w:pPr>
        <w:keepNext/>
        <w:spacing w:before="50" w:after="2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0"/>
        <w:gridCol w:w="1713"/>
        <w:gridCol w:w="1146"/>
        <w:gridCol w:w="999"/>
        <w:gridCol w:w="1002"/>
        <w:gridCol w:w="1148"/>
      </w:tblGrid>
      <w:tr w14:paraId="3EA7A990">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50" w:after="2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2143"/>
        <w:gridCol w:w="1290"/>
        <w:gridCol w:w="1999"/>
        <w:gridCol w:w="1428"/>
      </w:tblGrid>
      <w:tr w14:paraId="53D28790">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60" w:line="252" w:lineRule="auto"/>
        <w:jc w:val="both"/>
      </w:pPr>
      <w:r>
        <w:rPr>
          <w:rFonts w:ascii="Times New Roman" w:hAnsi="Times New Roman"/>
        </w:rPr>
        <w:t>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14:paraId="0DCB655E">
      <w:pPr>
        <w:keepNext/>
        <w:spacing w:before="60" w:after="30"/>
        <w:jc w:val="center"/>
        <w:rPr>
          <w:rFonts w:ascii="Times New Roman" w:hAnsi="Times New Roman"/>
          <w:b/>
          <w:sz w:val="18"/>
        </w:rPr>
      </w:pPr>
    </w:p>
    <w:p w14:paraId="6B6FDED0">
      <w:pPr>
        <w:keepNext/>
        <w:spacing w:before="60" w:after="30"/>
        <w:jc w:val="center"/>
        <w:rPr>
          <w:rFonts w:ascii="Times New Roman" w:hAnsi="Times New Roman"/>
          <w:b/>
          <w:sz w:val="18"/>
        </w:rPr>
      </w:pPr>
    </w:p>
    <w:p w14:paraId="7207F421">
      <w:pPr>
        <w:keepNext/>
        <w:spacing w:before="60" w:after="30"/>
        <w:jc w:val="center"/>
        <w:rPr>
          <w:rFonts w:ascii="Times New Roman" w:hAnsi="Times New Roman"/>
          <w:b/>
          <w:sz w:val="18"/>
        </w:rPr>
      </w:pPr>
    </w:p>
    <w:p w14:paraId="02EBD8AC">
      <w:pPr>
        <w:keepNext/>
        <w:spacing w:before="60" w:after="30"/>
        <w:jc w:val="center"/>
        <w:rPr>
          <w:rFonts w:ascii="Times New Roman" w:hAnsi="Times New Roman"/>
          <w:b/>
          <w:sz w:val="18"/>
        </w:rPr>
      </w:pPr>
    </w:p>
    <w:p w14:paraId="2CC7CB30">
      <w:pPr>
        <w:keepNext/>
        <w:spacing w:before="60" w:after="30"/>
        <w:jc w:val="center"/>
        <w:rPr>
          <w:rFonts w:ascii="Times New Roman" w:hAnsi="Times New Roman"/>
          <w:b/>
          <w:sz w:val="18"/>
        </w:rPr>
      </w:pPr>
    </w:p>
    <w:p w14:paraId="0DECD3CC">
      <w:pPr>
        <w:keepNext/>
        <w:spacing w:before="50" w:after="2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3"/>
        <w:gridCol w:w="2410"/>
        <w:gridCol w:w="1431"/>
        <w:gridCol w:w="1431"/>
        <w:gridCol w:w="1000"/>
        <w:gridCol w:w="1145"/>
      </w:tblGrid>
      <w:tr w14:paraId="4BCC1689">
        <w:tblPrEx>
          <w:tblCellMar>
            <w:top w:w="0" w:type="dxa"/>
            <w:left w:w="108" w:type="dxa"/>
            <w:bottom w:w="0" w:type="dxa"/>
            <w:right w:w="108" w:type="dxa"/>
          </w:tblCellMar>
        </w:tblPrEx>
        <w:trPr>
          <w:cantSplit/>
          <w:jc w:val="center"/>
          <w:cantSplit/>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rPr>
              <w:t>+12.45%</w:t>
            </w:r>
          </w:p>
        </w:tc>
      </w:tr>
      <w:tr w14:paraId="25111E07">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60" w:line="252" w:lineRule="auto"/>
        <w:jc w:val="both"/>
      </w:pPr>
      <w:r>
        <w:t>To assess extraction failure predictability from document and degradation features, classical Decision Tree and Random Forest classifiers were evaluated across 9,000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50" w:after="2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cantSplit/>
          <w:jc w:val="center"/>
          <w:cantSplit/>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xmlns:a="http://schemas.openxmlformats.org/drawingml/2006/main" xmlns:pic="http://schemas.openxmlformats.org/drawingml/2006/picture">
            <wp:extent cx="2560320" cy="846019"/>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60320" cy="846019"/>
                    </a:xfrm>
                    <a:prstGeom prst="rect"/>
                  </pic:spPr>
                </pic:pic>
              </a:graphicData>
            </a:graphic>
          </wp:inline>
        </w:drawing>
      </w:r>
    </w:p>
    <w:p w14:paraId="0FA0587E">
      <w:pPr>
        <w:spacing w:before="20" w:after="4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xmlns:a="http://schemas.openxmlformats.org/drawingml/2006/main" xmlns:pic="http://schemas.openxmlformats.org/drawingml/2006/picture">
            <wp:extent cx="2560320" cy="846019"/>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60320" cy="846019"/>
                    </a:xfrm>
                    <a:prstGeom prst="rect"/>
                  </pic:spPr>
                </pic:pic>
              </a:graphicData>
            </a:graphic>
          </wp:inline>
        </w:drawing>
      </w:r>
    </w:p>
    <w:p w14:paraId="3C71E21D">
      <w:pPr>
        <w:spacing w:before="20" w:after="4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60" w:line="252" w:lineRule="auto"/>
      </w:pPr>
      <w:r>
        <w:rPr>
          <w:rFonts w:ascii="Times New Roman" w:hAnsi="Times New Roman"/>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1002.00,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329D7BC2">
      <w:pPr>
        <w:spacing w:before="60" w:after="20" w:line="252" w:lineRule="auto"/>
        <w:outlineLvl w:val="0"/>
        <w:rPr>
          <w:rFonts w:ascii="Times New Roman" w:hAnsi="Times New Roman"/>
          <w:b/>
          <w:color w:val="1B365D"/>
          <w:sz w:val="20"/>
        </w:rPr>
      </w:pPr>
    </w:p>
    <w:p w14:paraId="250FA6F4">
      <w:pPr>
        <w:spacing w:before="40" w:after="20" w:line="252" w:lineRule="auto"/>
        <w:outlineLvl w:val="0"/>
      </w:pPr>
      <w:bookmarkStart w:id="0" w:name="_GoBack"/>
      <w:bookmarkEnd w:id="0"/>
      <w:r>
        <w:rPr>
          <w:rFonts w:ascii="Times New Roman" w:hAnsi="Times New Roman"/>
          <w:b/>
          <w:color w:val="1B365D"/>
          <w:sz w:val="20"/>
        </w:rPr>
        <w:t>REFERENCES</w:t>
      </w:r>
    </w:p>
    <w:p w14:paraId="7B5F048C">
      <w:pPr>
        <w:spacing w:before="0" w:after="5"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5"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5"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5"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5"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5"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5"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5"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5"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5"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5"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5"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5"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5"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5"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5"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5"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5"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5"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5"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5"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5"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5"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5"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5"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5"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5"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5"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5"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5"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5"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5"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5"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5"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5"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5"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5"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5"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5"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5"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5"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5"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5"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5"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5"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5"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5"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5"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5"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5"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1A721E54"/>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1827</Words>
  <Characters>13036</Characters>
  <Lines>0</Lines>
  <Paragraphs>0</Paragraphs>
  <TotalTime>47</TotalTime>
  <ScaleCrop>false</ScaleCrop>
  <LinksUpToDate>false</LinksUpToDate>
  <CharactersWithSpaces>14743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2026-08-27T06:28:17Z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