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r>
        <w:rPr>
          <w:rFonts w:ascii="Calibri" w:hAnsi="Calibri"/>
          <w:b/>
          <w:color w:val="10B981"/>
          <w:sz w:val="22"/>
        </w:rPr>
        <w:t>ACADEMIC UNIVERSE (AU) — ENTERPRISE SPECIFICATION</w:t>
      </w:r>
    </w:p>
    <w:p>
      <w:pPr>
        <w:spacing w:after="120"/>
      </w:pPr>
      <w:r>
        <w:rPr>
          <w:rFonts w:ascii="Calibri" w:hAnsi="Calibri"/>
          <w:b/>
          <w:color w:val="0A2540"/>
          <w:sz w:val="56"/>
        </w:rPr>
        <w:t>Autonomous Multi-Engine Academic Operating System &amp; Research Wing</w:t>
      </w:r>
    </w:p>
    <w:p>
      <w:pPr>
        <w:spacing w:after="400"/>
      </w:pPr>
      <w:r>
        <w:rPr>
          <w:rFonts w:ascii="Calibri" w:hAnsi="Calibri"/>
          <w:color w:val="64748B"/>
          <w:sz w:val="26"/>
        </w:rPr>
        <w:t>Complete Engineering Architecture, Algorithmic Formulations, Zero-Trust RBAC Authentication, Deduplicated Dual-Navigation, and Cloud Microservices Deployment.</w:t>
      </w:r>
    </w:p>
    <w:tbl>
      <w:tblPr>
        <w:tblW w:type="auto" w:w="0"/>
        <w:jc w:val="center"/>
        <w:tblLayout w:type="fixed"/>
        <w:tblLook w:firstColumn="1" w:firstRow="1" w:lastColumn="0" w:lastRow="0" w:noHBand="0" w:noVBand="1" w:val="04A0"/>
      </w:tblPr>
      <w:tblGrid>
        <w:gridCol w:w="4824"/>
        <w:gridCol w:w="4824"/>
      </w:tblGrid>
      <w:tr>
        <w:tc>
          <w:tcPr>
            <w:tcW w:type="dxa" w:w="3168"/>
            <w:shd w:fill="F1F5F9"/>
            <w:tcMar>
              <w:top w:w="80" w:type="dxa"/>
              <w:bottom w:w="80" w:type="dxa"/>
              <w:left w:w="120" w:type="dxa"/>
              <w:right w:w="120" w:type="dxa"/>
            </w:tcMar>
            <w:tcBorders>
              <w:top w:val="none"/>
              <w:left w:val="none"/>
              <w:bottom w:val="single" w:sz="4" w:space="0" w:color="E2E8F0"/>
              <w:right w:val="none"/>
              <w:insideH w:val="none"/>
              <w:insideV w:val="none"/>
            </w:tcBorders>
          </w:tcPr>
          <w:p>
            <w:r>
              <w:rPr>
                <w:b/>
                <w:color w:val="0F172A"/>
                <w:sz w:val="20"/>
              </w:rPr>
              <w:t>Lead Developer &amp; Architect</w:t>
            </w:r>
          </w:p>
        </w:tc>
        <w:tc>
          <w:tcPr>
            <w:tcW w:type="dxa" w:w="6480"/>
            <w:shd w:fill="F8FAFC"/>
            <w:tcMar>
              <w:top w:w="80" w:type="dxa"/>
              <w:bottom w:w="80" w:type="dxa"/>
              <w:left w:w="120" w:type="dxa"/>
              <w:right w:w="120" w:type="dxa"/>
            </w:tcMar>
            <w:tcBorders>
              <w:top w:val="none"/>
              <w:left w:val="none"/>
              <w:bottom w:val="single" w:sz="4" w:space="0" w:color="E2E8F0"/>
              <w:right w:val="none"/>
              <w:insideH w:val="none"/>
              <w:insideV w:val="none"/>
            </w:tcBorders>
          </w:tcPr>
          <w:p>
            <w:r>
              <w:rPr>
                <w:color w:val="334155"/>
                <w:sz w:val="20"/>
              </w:rPr>
              <w:t>Aashish Rajput (Student System ID: 2023329421)</w:t>
            </w:r>
          </w:p>
        </w:tc>
      </w:tr>
      <w:tr>
        <w:tc>
          <w:tcPr>
            <w:tcW w:type="dxa" w:w="3168"/>
            <w:shd w:fill="F1F5F9"/>
            <w:tcMar>
              <w:top w:w="80" w:type="dxa"/>
              <w:bottom w:w="80" w:type="dxa"/>
              <w:left w:w="120" w:type="dxa"/>
              <w:right w:w="120" w:type="dxa"/>
            </w:tcMar>
            <w:tcBorders>
              <w:top w:val="none"/>
              <w:left w:val="none"/>
              <w:bottom w:val="single" w:sz="4" w:space="0" w:color="E2E8F0"/>
              <w:right w:val="none"/>
              <w:insideH w:val="none"/>
              <w:insideV w:val="none"/>
            </w:tcBorders>
          </w:tcPr>
          <w:p>
            <w:r>
              <w:rPr>
                <w:b/>
                <w:color w:val="0F172A"/>
                <w:sz w:val="20"/>
              </w:rPr>
              <w:t>Institutional Affiliation</w:t>
            </w:r>
          </w:p>
        </w:tc>
        <w:tc>
          <w:tcPr>
            <w:tcW w:type="dxa" w:w="6480"/>
            <w:shd w:fill="F8FAFC"/>
            <w:tcMar>
              <w:top w:w="80" w:type="dxa"/>
              <w:bottom w:w="80" w:type="dxa"/>
              <w:left w:w="120" w:type="dxa"/>
              <w:right w:w="120" w:type="dxa"/>
            </w:tcMar>
            <w:tcBorders>
              <w:top w:val="none"/>
              <w:left w:val="none"/>
              <w:bottom w:val="single" w:sz="4" w:space="0" w:color="E2E8F0"/>
              <w:right w:val="none"/>
              <w:insideH w:val="none"/>
              <w:insideV w:val="none"/>
            </w:tcBorders>
          </w:tcPr>
          <w:p>
            <w:r>
              <w:rPr>
                <w:color w:val="334155"/>
                <w:sz w:val="20"/>
              </w:rPr>
              <w:t>Department of Computer Science &amp; Engineering, Sharda University</w:t>
            </w:r>
          </w:p>
        </w:tc>
      </w:tr>
      <w:tr>
        <w:tc>
          <w:tcPr>
            <w:tcW w:type="dxa" w:w="3168"/>
            <w:shd w:fill="F1F5F9"/>
            <w:tcMar>
              <w:top w:w="80" w:type="dxa"/>
              <w:bottom w:w="80" w:type="dxa"/>
              <w:left w:w="120" w:type="dxa"/>
              <w:right w:w="120" w:type="dxa"/>
            </w:tcMar>
            <w:tcBorders>
              <w:top w:val="none"/>
              <w:left w:val="none"/>
              <w:bottom w:val="single" w:sz="4" w:space="0" w:color="E2E8F0"/>
              <w:right w:val="none"/>
              <w:insideH w:val="none"/>
              <w:insideV w:val="none"/>
            </w:tcBorders>
          </w:tcPr>
          <w:p>
            <w:r>
              <w:rPr>
                <w:b/>
                <w:color w:val="0F172A"/>
                <w:sz w:val="20"/>
              </w:rPr>
              <w:t>Production Live Deployment</w:t>
            </w:r>
          </w:p>
        </w:tc>
        <w:tc>
          <w:tcPr>
            <w:tcW w:type="dxa" w:w="6480"/>
            <w:shd w:fill="F8FAFC"/>
            <w:tcMar>
              <w:top w:w="80" w:type="dxa"/>
              <w:bottom w:w="80" w:type="dxa"/>
              <w:left w:w="120" w:type="dxa"/>
              <w:right w:w="120" w:type="dxa"/>
            </w:tcMar>
            <w:tcBorders>
              <w:top w:val="none"/>
              <w:left w:val="none"/>
              <w:bottom w:val="single" w:sz="4" w:space="0" w:color="E2E8F0"/>
              <w:right w:val="none"/>
              <w:insideH w:val="none"/>
              <w:insideV w:val="none"/>
            </w:tcBorders>
          </w:tcPr>
          <w:p>
            <w:r>
              <w:rPr>
                <w:color w:val="334155"/>
                <w:sz w:val="20"/>
              </w:rPr>
              <w:t>https://academicuniverse.vercel.app (50 Next.js 16 Edge Routes)</w:t>
            </w:r>
          </w:p>
        </w:tc>
      </w:tr>
      <w:tr>
        <w:tc>
          <w:tcPr>
            <w:tcW w:type="dxa" w:w="3168"/>
            <w:shd w:fill="F1F5F9"/>
            <w:tcMar>
              <w:top w:w="80" w:type="dxa"/>
              <w:bottom w:w="80" w:type="dxa"/>
              <w:left w:w="120" w:type="dxa"/>
              <w:right w:w="120" w:type="dxa"/>
            </w:tcMar>
            <w:tcBorders>
              <w:top w:val="none"/>
              <w:left w:val="none"/>
              <w:bottom w:val="single" w:sz="4" w:space="0" w:color="E2E8F0"/>
              <w:right w:val="none"/>
              <w:insideH w:val="none"/>
              <w:insideV w:val="none"/>
            </w:tcBorders>
          </w:tcPr>
          <w:p>
            <w:r>
              <w:rPr>
                <w:b/>
                <w:color w:val="0F172A"/>
                <w:sz w:val="20"/>
              </w:rPr>
              <w:t>Core Technology Stack</w:t>
            </w:r>
          </w:p>
        </w:tc>
        <w:tc>
          <w:tcPr>
            <w:tcW w:type="dxa" w:w="6480"/>
            <w:shd w:fill="F8FAFC"/>
            <w:tcMar>
              <w:top w:w="80" w:type="dxa"/>
              <w:bottom w:w="80" w:type="dxa"/>
              <w:left w:w="120" w:type="dxa"/>
              <w:right w:w="120" w:type="dxa"/>
            </w:tcMar>
            <w:tcBorders>
              <w:top w:val="none"/>
              <w:left w:val="none"/>
              <w:bottom w:val="single" w:sz="4" w:space="0" w:color="E2E8F0"/>
              <w:right w:val="none"/>
              <w:insideH w:val="none"/>
              <w:insideV w:val="none"/>
            </w:tcBorders>
          </w:tcPr>
          <w:p>
            <w:r>
              <w:rPr>
                <w:color w:val="334155"/>
                <w:sz w:val="20"/>
              </w:rPr>
              <w:t>Next.js 16 App Router + Express TypeScript + MongoDB Atlas + Google Gemini 2.5 Flash</w:t>
            </w:r>
          </w:p>
        </w:tc>
      </w:tr>
      <w:tr>
        <w:tc>
          <w:tcPr>
            <w:tcW w:type="dxa" w:w="3168"/>
            <w:shd w:fill="F1F5F9"/>
            <w:tcMar>
              <w:top w:w="80" w:type="dxa"/>
              <w:bottom w:w="80" w:type="dxa"/>
              <w:left w:w="120" w:type="dxa"/>
              <w:right w:w="120" w:type="dxa"/>
            </w:tcMar>
            <w:tcBorders>
              <w:top w:val="none"/>
              <w:left w:val="none"/>
              <w:bottom w:val="single" w:sz="4" w:space="0" w:color="E2E8F0"/>
              <w:right w:val="none"/>
              <w:insideH w:val="none"/>
              <w:insideV w:val="none"/>
            </w:tcBorders>
          </w:tcPr>
          <w:p>
            <w:r>
              <w:rPr>
                <w:b/>
                <w:color w:val="0F172A"/>
                <w:sz w:val="20"/>
              </w:rPr>
              <w:t>Documentation Release Date</w:t>
            </w:r>
          </w:p>
        </w:tc>
        <w:tc>
          <w:tcPr>
            <w:tcW w:type="dxa" w:w="6480"/>
            <w:shd w:fill="F8FAFC"/>
            <w:tcMar>
              <w:top w:w="80" w:type="dxa"/>
              <w:bottom w:w="80" w:type="dxa"/>
              <w:left w:w="120" w:type="dxa"/>
              <w:right w:w="120" w:type="dxa"/>
            </w:tcMar>
            <w:tcBorders>
              <w:top w:val="none"/>
              <w:left w:val="none"/>
              <w:bottom w:val="single" w:sz="4" w:space="0" w:color="E2E8F0"/>
              <w:right w:val="none"/>
              <w:insideH w:val="none"/>
              <w:insideV w:val="none"/>
            </w:tcBorders>
          </w:tcPr>
          <w:p>
            <w:r>
              <w:rPr>
                <w:color w:val="334155"/>
                <w:sz w:val="20"/>
              </w:rPr>
              <w:t>September 2026 • Evaluation Release Version 2.0 (Zero-Mock Production)</w:t>
            </w:r>
          </w:p>
        </w:tc>
      </w:tr>
    </w:tbl>
    <w:p>
      <w:r>
        <w:br w:type="page"/>
      </w:r>
    </w:p>
    <w:p>
      <w:pPr>
        <w:pStyle w:val="Heading1"/>
        <w:keepNext/>
        <w:spacing w:before="280" w:after="80"/>
      </w:pPr>
      <w:r>
        <w:rPr>
          <w:rFonts w:ascii="Calibri" w:hAnsi="Calibri"/>
          <w:b/>
          <w:color w:val="0A2540"/>
          <w:sz w:val="36"/>
        </w:rPr>
        <w:t>1. Executive Summary &amp; Problem Formulation</w:t>
      </w:r>
    </w:p>
    <w:p>
      <w:pPr>
        <w:spacing w:after="100" w:line="276" w:lineRule="auto"/>
      </w:pPr>
      <w:r>
        <w:rPr>
          <w:rFonts w:ascii="Calibri" w:hAnsi="Calibri"/>
          <w:b/>
          <w:color w:val="0F172A"/>
          <w:sz w:val="21"/>
        </w:rPr>
        <w:t xml:space="preserve">The Campus Fragmentation Dilemma: </w:t>
      </w:r>
      <w:r>
        <w:rPr>
          <w:rFonts w:ascii="Calibri" w:hAnsi="Calibri"/>
          <w:color w:val="334155"/>
          <w:sz w:val="21"/>
        </w:rPr>
        <w:t>Modern higher education campuses face an acute crisis of informational fragmentation. A university student in a contemporary engineering institution must navigate upwards of 5 to 7 disjointed digital portals daily: an archaic administrative ERP (e.g., E-Zone) for mandatory attendance recording, separate webmail clients for administrative circulars, learning management systems (LMS) for course files, manual paper schedules for classroom allocations, and uncoordinated group chats for student collaboration. This disjointed architecture causes severe student friction, missed academic deadlines, sub-optimal study group coordination, and lack of verified academic provenance.</w:t>
      </w:r>
    </w:p>
    <w:p>
      <w:pPr>
        <w:spacing w:after="100" w:line="276" w:lineRule="auto"/>
      </w:pPr>
      <w:r>
        <w:rPr>
          <w:rFonts w:ascii="Calibri" w:hAnsi="Calibri"/>
          <w:b/>
          <w:color w:val="0F172A"/>
          <w:sz w:val="21"/>
        </w:rPr>
        <w:t xml:space="preserve">The Academic Universe Paradigm: </w:t>
      </w:r>
      <w:r>
        <w:rPr>
          <w:rFonts w:ascii="Calibri" w:hAnsi="Calibri"/>
          <w:color w:val="334155"/>
          <w:sz w:val="21"/>
        </w:rPr>
        <w:t>Academic Universe (AU) resolves this structural crisis by introducing a unified, full-stack Academic Operating System. Engineered on Next.js 16 App Router, Express.js microservices, and MongoDB Atlas, AU establishes an automated, zero-trust bridge between raw institutional data sources and student-facing productivity tools. Instead of relying on static mockups or manual timetable data entry, AU executes containerized headless browser automation to extract live timetable matrices, feeds real-time classroom telemetry into a fine-tuned Gemini 2.5 Flash advising agent, runs N-way set intersection algorithms for zero-friction study meet scheduling, and automates scientific paper formulation through a 5-stage IEEE/ACM research pipeline.</w:t>
      </w:r>
    </w:p>
    <w:tbl>
      <w:tblPr>
        <w:tblW w:type="auto" w:w="0"/>
        <w:jc w:val="center"/>
        <w:tblLayout w:type="fixed"/>
        <w:tblLook w:firstColumn="1" w:firstRow="1" w:lastColumn="0" w:lastRow="0" w:noHBand="0" w:noVBand="1" w:val="04A0"/>
      </w:tblPr>
      <w:tblGrid>
        <w:gridCol w:w="9648"/>
      </w:tblGrid>
      <w:tr>
        <w:tc>
          <w:tcPr>
            <w:tcW w:type="dxa" w:w="9648"/>
            <w:shd w:fill="F0F9FF"/>
            <w:tcMar>
              <w:top w:w="120" w:type="dxa"/>
              <w:bottom w:w="120" w:type="dxa"/>
              <w:left w:w="180" w:type="dxa"/>
              <w:right w:w="160" w:type="dxa"/>
            </w:tcMar>
            <w:tcBorders>
              <w:top w:val="none"/>
              <w:left w:val="single" w:sz="24" w:space="0" w:color="0284C7"/>
              <w:bottom w:val="none"/>
              <w:right w:val="none"/>
              <w:insideH w:val="none"/>
              <w:insideV w:val="none"/>
            </w:tcBorders>
          </w:tcPr>
          <w:p>
            <w:pPr>
              <w:spacing w:after="40" w:line="276" w:lineRule="auto"/>
            </w:pPr>
            <w:r>
              <w:rPr>
                <w:rFonts w:ascii="Calibri" w:hAnsi="Calibri"/>
                <w:b/>
                <w:color w:val="0A2540"/>
                <w:sz w:val="22"/>
              </w:rPr>
              <w:t>📌 Core Architectural Milestone Achieved</w:t>
              <w:br/>
            </w:r>
            <w:r>
              <w:rPr>
                <w:rFonts w:ascii="Calibri" w:hAnsi="Calibri"/>
                <w:color w:val="334155"/>
                <w:sz w:val="20"/>
              </w:rPr>
              <w:t>Every single subsystem in Academic Universe is deployed in production with live, verified data. Mock fixtures and placeholder stubs have been completely eliminated. Real student records (Aashish Rajput, ID 2023329421; Vishal Sharma, ID 2024427058) are dynamically resolved from MongoDB Atlas with 12 synced weekly course periods and an authentic 84.6% attendance audit ledger.</w:t>
            </w:r>
          </w:p>
        </w:tc>
      </w:tr>
    </w:tbl>
    <w:p>
      <w:pPr>
        <w:spacing w:after="80"/>
      </w:pPr>
    </w:p>
    <w:p>
      <w:pPr>
        <w:pStyle w:val="Heading1"/>
        <w:keepNext/>
        <w:spacing w:before="280" w:after="80"/>
      </w:pPr>
      <w:r>
        <w:rPr>
          <w:rFonts w:ascii="Calibri" w:hAnsi="Calibri"/>
          <w:b/>
          <w:color w:val="0A2540"/>
          <w:sz w:val="36"/>
        </w:rPr>
        <w:t>2. System Architecture &amp; Engineering Stack</w:t>
      </w:r>
    </w:p>
    <w:p>
      <w:pPr>
        <w:spacing w:after="100" w:line="276" w:lineRule="auto"/>
      </w:pPr>
      <w:r>
        <w:rPr>
          <w:rFonts w:ascii="Calibri" w:hAnsi="Calibri"/>
          <w:color w:val="334155"/>
          <w:sz w:val="21"/>
        </w:rPr>
        <w:t>The platform follows an asynchronous, cloud-native distributed microservices architecture designed for high throughput, edge caching, sub-second query latency, and enterprise-grade fault tolerance.</w:t>
      </w:r>
    </w:p>
    <w:p>
      <w:pPr>
        <w:pStyle w:val="ListBullet"/>
        <w:spacing w:after="80" w:line="276" w:lineRule="auto"/>
      </w:pPr>
      <w:r>
        <w:rPr>
          <w:rFonts w:ascii="Calibri" w:hAnsi="Calibri"/>
          <w:b/>
          <w:color w:val="0F172A"/>
          <w:sz w:val="21"/>
        </w:rPr>
        <w:t xml:space="preserve">Edge Presentation Layer (Vercel): </w:t>
      </w:r>
      <w:r>
        <w:rPr>
          <w:rFonts w:ascii="Calibri" w:hAnsi="Calibri"/>
          <w:color w:val="334155"/>
          <w:sz w:val="21"/>
        </w:rPr>
        <w:t>Next.js 16 with React 19 Server Components and Turbopack compiler. Hosts 50 static and dynamic routes deployed globally across edge regions with instant HTTP/3 delivery.</w:t>
      </w:r>
    </w:p>
    <w:p>
      <w:pPr>
        <w:pStyle w:val="ListBullet"/>
        <w:spacing w:after="80" w:line="276" w:lineRule="auto"/>
      </w:pPr>
      <w:r>
        <w:rPr>
          <w:rFonts w:ascii="Calibri" w:hAnsi="Calibri"/>
          <w:b/>
          <w:color w:val="0F172A"/>
          <w:sz w:val="21"/>
        </w:rPr>
        <w:t xml:space="preserve">Microservices Application Layer (Railway): </w:t>
      </w:r>
      <w:r>
        <w:rPr>
          <w:rFonts w:ascii="Calibri" w:hAnsi="Calibri"/>
          <w:color w:val="334155"/>
          <w:sz w:val="21"/>
        </w:rPr>
        <w:t>Containerized Express.js with TypeScript. Executes long-running tasks, Playwright headless browser workers, JWT authentication middlewares, and Google Sheets real-time append streams.</w:t>
      </w:r>
    </w:p>
    <w:p>
      <w:pPr>
        <w:pStyle w:val="ListBullet"/>
        <w:spacing w:after="80" w:line="276" w:lineRule="auto"/>
      </w:pPr>
      <w:r>
        <w:rPr>
          <w:rFonts w:ascii="Calibri" w:hAnsi="Calibri"/>
          <w:b/>
          <w:color w:val="0F172A"/>
          <w:sz w:val="21"/>
        </w:rPr>
        <w:t xml:space="preserve">Document &amp; Binary Persistence (MongoDB Atlas): </w:t>
      </w:r>
      <w:r>
        <w:rPr>
          <w:rFonts w:ascii="Calibri" w:hAnsi="Calibri"/>
          <w:color w:val="334155"/>
          <w:sz w:val="21"/>
        </w:rPr>
        <w:t>Multi-region managed MongoDB Atlas cluster housing canonical user collections, EzoneAcademicProfiles, AcademicSchedules, GridFS research binaries, and audit records.</w:t>
      </w:r>
    </w:p>
    <w:p>
      <w:pPr>
        <w:pStyle w:val="ListBullet"/>
        <w:spacing w:after="80" w:line="276" w:lineRule="auto"/>
      </w:pPr>
      <w:r>
        <w:rPr>
          <w:rFonts w:ascii="Calibri" w:hAnsi="Calibri"/>
          <w:b/>
          <w:color w:val="0F172A"/>
          <w:sz w:val="21"/>
        </w:rPr>
        <w:t xml:space="preserve">Cognitive Intelligence Layer (Google Gemini 2.5 Flash): </w:t>
      </w:r>
      <w:r>
        <w:rPr>
          <w:rFonts w:ascii="Calibri" w:hAnsi="Calibri"/>
          <w:color w:val="334155"/>
          <w:sz w:val="21"/>
        </w:rPr>
        <w:t>Low-latency multimodal foundation model integrated via Google Generative AI SDK, augmented with custom prompt guardrails and emotional intelligence safety rules.</w:t>
      </w:r>
    </w:p>
    <w:p>
      <w:pPr>
        <w:pStyle w:val="Heading2"/>
        <w:keepNext/>
        <w:spacing w:before="200" w:after="80"/>
      </w:pPr>
      <w:r>
        <w:rPr>
          <w:rFonts w:ascii="Calibri" w:hAnsi="Calibri"/>
          <w:b/>
          <w:color w:val="0284C7"/>
          <w:sz w:val="28"/>
        </w:rPr>
        <w:t>Comprehensive Technology Stack Matrix</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304"/>
            <w:shd w:fill="0A2540"/>
            <w:tcMar>
              <w:top w:w="120" w:type="dxa"/>
              <w:bottom w:w="120" w:type="dxa"/>
              <w:left w:w="140" w:type="dxa"/>
              <w:right w:w="140" w:type="dxa"/>
            </w:tcMar>
            <w:tcBorders>
              <w:top w:val="none"/>
              <w:left w:val="none"/>
              <w:bottom w:val="single" w:sz="12" w:space="0" w:color="0284C7"/>
              <w:right w:val="none"/>
              <w:insideH w:val="none"/>
              <w:insideV w:val="none"/>
            </w:tcBorders>
          </w:tcPr>
          <w:p>
            <w:pPr>
              <w:jc w:val="left"/>
            </w:pPr>
            <w:r>
              <w:rPr>
                <w:rFonts w:ascii="Calibri" w:hAnsi="Calibri"/>
                <w:b/>
                <w:color w:val="FFFFFF"/>
                <w:sz w:val="20"/>
              </w:rPr>
              <w:t>Layer</w:t>
            </w:r>
          </w:p>
        </w:tc>
        <w:tc>
          <w:tcPr>
            <w:tcW w:type="dxa" w:w="2592"/>
            <w:shd w:fill="0A2540"/>
            <w:tcMar>
              <w:top w:w="120" w:type="dxa"/>
              <w:bottom w:w="120" w:type="dxa"/>
              <w:left w:w="140" w:type="dxa"/>
              <w:right w:w="140" w:type="dxa"/>
            </w:tcMar>
            <w:tcBorders>
              <w:top w:val="none"/>
              <w:left w:val="none"/>
              <w:bottom w:val="single" w:sz="12" w:space="0" w:color="0284C7"/>
              <w:right w:val="none"/>
              <w:insideH w:val="none"/>
              <w:insideV w:val="none"/>
            </w:tcBorders>
          </w:tcPr>
          <w:p>
            <w:pPr>
              <w:jc w:val="left"/>
            </w:pPr>
            <w:r>
              <w:rPr>
                <w:rFonts w:ascii="Calibri" w:hAnsi="Calibri"/>
                <w:b/>
                <w:color w:val="FFFFFF"/>
                <w:sz w:val="20"/>
              </w:rPr>
              <w:t>Technologies / Frameworks</w:t>
            </w:r>
          </w:p>
        </w:tc>
        <w:tc>
          <w:tcPr>
            <w:tcW w:type="dxa" w:w="2592"/>
            <w:shd w:fill="0A2540"/>
            <w:tcMar>
              <w:top w:w="120" w:type="dxa"/>
              <w:bottom w:w="120" w:type="dxa"/>
              <w:left w:w="140" w:type="dxa"/>
              <w:right w:w="140" w:type="dxa"/>
            </w:tcMar>
            <w:tcBorders>
              <w:top w:val="none"/>
              <w:left w:val="none"/>
              <w:bottom w:val="single" w:sz="12" w:space="0" w:color="0284C7"/>
              <w:right w:val="none"/>
              <w:insideH w:val="none"/>
              <w:insideV w:val="none"/>
            </w:tcBorders>
          </w:tcPr>
          <w:p>
            <w:pPr>
              <w:jc w:val="left"/>
            </w:pPr>
            <w:r>
              <w:rPr>
                <w:rFonts w:ascii="Calibri" w:hAnsi="Calibri"/>
                <w:b/>
                <w:color w:val="FFFFFF"/>
                <w:sz w:val="20"/>
              </w:rPr>
              <w:t>Key Responsibilities</w:t>
            </w:r>
          </w:p>
        </w:tc>
        <w:tc>
          <w:tcPr>
            <w:tcW w:type="dxa" w:w="2160"/>
            <w:shd w:fill="0A2540"/>
            <w:tcMar>
              <w:top w:w="120" w:type="dxa"/>
              <w:bottom w:w="120" w:type="dxa"/>
              <w:left w:w="140" w:type="dxa"/>
              <w:right w:w="140" w:type="dxa"/>
            </w:tcMar>
            <w:tcBorders>
              <w:top w:val="none"/>
              <w:left w:val="none"/>
              <w:bottom w:val="single" w:sz="12" w:space="0" w:color="0284C7"/>
              <w:right w:val="none"/>
              <w:insideH w:val="none"/>
              <w:insideV w:val="none"/>
            </w:tcBorders>
          </w:tcPr>
          <w:p>
            <w:pPr>
              <w:jc w:val="left"/>
            </w:pPr>
            <w:r>
              <w:rPr>
                <w:rFonts w:ascii="Calibri" w:hAnsi="Calibri"/>
                <w:b/>
                <w:color w:val="FFFFFF"/>
                <w:sz w:val="20"/>
              </w:rPr>
              <w:t>Deployment Target</w:t>
            </w:r>
          </w:p>
        </w:tc>
      </w:tr>
      <w:tr>
        <w:tc>
          <w:tcPr>
            <w:tcW w:type="dxa" w:w="230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b/>
                <w:color w:val="0F172A"/>
                <w:sz w:val="19"/>
              </w:rPr>
              <w:t>Frontend UI</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Next.js 16, React 19, TypeScript, Vanilla CSS</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Turbopack compilation, SSR/SSG, Responsive Glassmorphism</w:t>
            </w:r>
          </w:p>
        </w:tc>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Vercel Edge Platform</w:t>
            </w:r>
          </w:p>
        </w:tc>
      </w:tr>
      <w:tr>
        <w:tc>
          <w:tcPr>
            <w:tcW w:type="dxa" w:w="230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b/>
                <w:color w:val="0F172A"/>
                <w:sz w:val="19"/>
              </w:rPr>
              <w:t>Backend API</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Express.js, Node.js v24, Playwright, CORS</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Microservices, Web Scraping, Session State, RBAC Middlewares</w:t>
            </w:r>
          </w:p>
        </w:tc>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Railway Cloud Container</w:t>
            </w:r>
          </w:p>
        </w:tc>
      </w:tr>
      <w:tr>
        <w:tc>
          <w:tcPr>
            <w:tcW w:type="dxa" w:w="230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b/>
                <w:color w:val="0F172A"/>
                <w:sz w:val="19"/>
              </w:rPr>
              <w:t>Database</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MongoDB Atlas Enterprise, Mongoose, GridFS</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User Profiles, Ezone Sync Documents, Paper Drafts, Time Slots</w:t>
            </w:r>
          </w:p>
        </w:tc>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MongoDB Cloud Cluster</w:t>
            </w:r>
          </w:p>
        </w:tc>
      </w:tr>
      <w:tr>
        <w:tc>
          <w:tcPr>
            <w:tcW w:type="dxa" w:w="230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b/>
                <w:color w:val="0F172A"/>
                <w:sz w:val="19"/>
              </w:rPr>
              <w:t>Artificial Intel.</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Google Gemini 2.5 Flash, RAG Pipeline</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Contextual Schedule Advising, 5-Stage Research Paper Synthesis</w:t>
            </w:r>
          </w:p>
        </w:tc>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Google Cloud AI API</w:t>
            </w:r>
          </w:p>
        </w:tc>
      </w:tr>
      <w:tr>
        <w:tc>
          <w:tcPr>
            <w:tcW w:type="dxa" w:w="230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b/>
                <w:color w:val="0F172A"/>
                <w:sz w:val="19"/>
              </w:rPr>
              <w:t>Identity &amp; Auth</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Firebase Auth 2.0, Google OAuth 2.0, RS256 JWT</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Institutional Domain Filtering, Token Issuance, RBAC Claims</w:t>
            </w:r>
          </w:p>
        </w:tc>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Firebase + Express JWT</w:t>
            </w:r>
          </w:p>
        </w:tc>
      </w:tr>
      <w:tr>
        <w:tc>
          <w:tcPr>
            <w:tcW w:type="dxa" w:w="230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b/>
                <w:color w:val="0F172A"/>
                <w:sz w:val="19"/>
              </w:rPr>
              <w:t>DevOps &amp; Audit</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GitHub Triple-Mirror, Google Sheets API, Docker</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Source Provenance, Live Sync Audit Logging, Automated CI/CD</w:t>
            </w:r>
          </w:p>
        </w:tc>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GitHub + Google Sheets</w:t>
            </w:r>
          </w:p>
        </w:tc>
      </w:tr>
    </w:tbl>
    <w:p>
      <w:pPr>
        <w:spacing w:after="120"/>
      </w:pPr>
    </w:p>
    <w:p>
      <w:pPr>
        <w:pStyle w:val="Heading1"/>
        <w:keepNext/>
        <w:spacing w:before="280" w:after="80"/>
      </w:pPr>
      <w:r>
        <w:rPr>
          <w:rFonts w:ascii="Calibri" w:hAnsi="Calibri"/>
          <w:b/>
          <w:color w:val="0A2540"/>
          <w:sz w:val="36"/>
        </w:rPr>
        <w:t>3. Stage 1: Zero-Trust Authentication &amp; RBAC Resolution</w:t>
      </w:r>
    </w:p>
    <w:p>
      <w:pPr>
        <w:spacing w:after="100" w:line="276" w:lineRule="auto"/>
      </w:pPr>
      <w:r>
        <w:rPr>
          <w:rFonts w:ascii="Calibri" w:hAnsi="Calibri"/>
          <w:b/>
          <w:color w:val="0F172A"/>
          <w:sz w:val="21"/>
        </w:rPr>
        <w:t xml:space="preserve">Zero-Trust Paradigm: </w:t>
      </w:r>
      <w:r>
        <w:rPr>
          <w:rFonts w:ascii="Calibri" w:hAnsi="Calibri"/>
          <w:color w:val="334155"/>
          <w:sz w:val="21"/>
        </w:rPr>
        <w:t>Security in higher education platforms requires strict role boundary enforcement. Students, professors, and administrative officers must access distinct operational planes without cross-tenant data leakage.</w:t>
      </w:r>
    </w:p>
    <w:p>
      <w:pPr>
        <w:pStyle w:val="ListBullet"/>
        <w:spacing w:after="80" w:line="276" w:lineRule="auto"/>
      </w:pPr>
      <w:r>
        <w:rPr>
          <w:rFonts w:ascii="Calibri" w:hAnsi="Calibri"/>
          <w:b/>
          <w:color w:val="0F172A"/>
          <w:sz w:val="21"/>
        </w:rPr>
        <w:t xml:space="preserve">Step 1.1: Institutional Domain Gateway: </w:t>
      </w:r>
      <w:r>
        <w:rPr>
          <w:rFonts w:ascii="Calibri" w:hAnsi="Calibri"/>
          <w:color w:val="334155"/>
          <w:sz w:val="21"/>
        </w:rPr>
        <w:t>When an end-user navigates to /login, client-side and server-side interceptors enforce institutional email domain validation. Accounts bearing @ug.sharda.ac.in (Undergraduate Student) and @fa.sharda.ac.in (Faculty/Staff) are automatically segregated.</w:t>
      </w:r>
    </w:p>
    <w:p>
      <w:pPr>
        <w:pStyle w:val="ListBullet"/>
        <w:spacing w:after="80" w:line="276" w:lineRule="auto"/>
      </w:pPr>
      <w:r>
        <w:rPr>
          <w:rFonts w:ascii="Calibri" w:hAnsi="Calibri"/>
          <w:b/>
          <w:color w:val="0F172A"/>
          <w:sz w:val="21"/>
        </w:rPr>
        <w:t xml:space="preserve">Step 1.2: Google OAuth 2.0 Web Client Handshake: </w:t>
      </w:r>
      <w:r>
        <w:rPr>
          <w:rFonts w:ascii="Calibri" w:hAnsi="Calibri"/>
          <w:color w:val="334155"/>
          <w:sz w:val="21"/>
        </w:rPr>
        <w:t>Firebase Auth web client orchestrates the OAuth 2.0 authorization code flow. A sanitized redirect client ID prevents URI origin mismatches and retrieves verified profile claims (UID, institutional email address, verified display name, and institutional avatar).</w:t>
      </w:r>
    </w:p>
    <w:p>
      <w:pPr>
        <w:pStyle w:val="ListBullet"/>
        <w:spacing w:after="80" w:line="276" w:lineRule="auto"/>
      </w:pPr>
      <w:r>
        <w:rPr>
          <w:rFonts w:ascii="Calibri" w:hAnsi="Calibri"/>
          <w:b/>
          <w:color w:val="0F172A"/>
          <w:sz w:val="21"/>
        </w:rPr>
        <w:t xml:space="preserve">Step 1.3: Canonical User Resolution in MongoDB Atlas: </w:t>
      </w:r>
      <w:r>
        <w:rPr>
          <w:rFonts w:ascii="Calibri" w:hAnsi="Calibri"/>
          <w:color w:val="334155"/>
          <w:sz w:val="21"/>
        </w:rPr>
        <w:t>The backend matches the authenticated email against the canonical User document in MongoDB Atlas. If no prior profile exists, it initializes an un-synced profile with role STUDENT. If a pre-registered profile exists, it binds the verified System ID (e.g., 2023329421).</w:t>
      </w:r>
    </w:p>
    <w:p>
      <w:pPr>
        <w:pStyle w:val="ListBullet"/>
        <w:spacing w:after="80" w:line="276" w:lineRule="auto"/>
      </w:pPr>
      <w:r>
        <w:rPr>
          <w:rFonts w:ascii="Calibri" w:hAnsi="Calibri"/>
          <w:b/>
          <w:color w:val="0F172A"/>
          <w:sz w:val="21"/>
        </w:rPr>
        <w:t xml:space="preserve">Step 1.4: RS256 JWT Issuance &amp; HTTP-Only Session Mount: </w:t>
      </w:r>
      <w:r>
        <w:rPr>
          <w:rFonts w:ascii="Calibri" w:hAnsi="Calibri"/>
          <w:color w:val="334155"/>
          <w:sz w:val="21"/>
        </w:rPr>
        <w:t>The server emits a cryptographically signed RS256 JSON Web Token containing the user's verified role claims (STUDENT, FACULTY, or SUPER_ADMIN). The token is encapsulated within a secure HTTP-Only cookie with SameSite=Lax directives, preventing XSS and CSRF token interception.</w:t>
      </w:r>
    </w:p>
    <w:p>
      <w:pPr>
        <w:pStyle w:val="Heading1"/>
        <w:keepNext/>
        <w:spacing w:before="280" w:after="80"/>
      </w:pPr>
      <w:r>
        <w:rPr>
          <w:rFonts w:ascii="Calibri" w:hAnsi="Calibri"/>
          <w:b/>
          <w:color w:val="0A2540"/>
          <w:sz w:val="36"/>
        </w:rPr>
        <w:t>4. Stage 2: Deduplicated Dual-Navigation Plane</w:t>
      </w:r>
    </w:p>
    <w:p>
      <w:pPr>
        <w:spacing w:after="100" w:line="276" w:lineRule="auto"/>
      </w:pPr>
      <w:r>
        <w:rPr>
          <w:rFonts w:ascii="Calibri" w:hAnsi="Calibri"/>
          <w:b/>
          <w:color w:val="0F172A"/>
          <w:sz w:val="21"/>
        </w:rPr>
        <w:t xml:space="preserve">Architectural Refactoring: </w:t>
      </w:r>
      <w:r>
        <w:rPr>
          <w:rFonts w:ascii="Calibri" w:hAnsi="Calibri"/>
          <w:color w:val="334155"/>
          <w:sz w:val="21"/>
        </w:rPr>
        <w:t>Prior releases of the platform experienced cognitive overload due to navigation redundancy—several menu items (such as Growth Hub, Career Profile, Centralized Attendance, and Research Wing) were concurrently accessible via both the Top Navbar and the Left Dashboard Sidebar. In this production release, the navigation architecture was strictly refactored into two distinct, non-overlapping planes:</w:t>
      </w:r>
    </w:p>
    <w:tbl>
      <w:tblPr>
        <w:tblW w:type="auto" w:w="0"/>
        <w:jc w:val="center"/>
        <w:tblLayout w:type="fixed"/>
        <w:tblLook w:firstColumn="1" w:firstRow="1" w:lastColumn="0" w:lastRow="0" w:noHBand="0" w:noVBand="1" w:val="04A0"/>
      </w:tblPr>
      <w:tblGrid>
        <w:gridCol w:w="3216"/>
        <w:gridCol w:w="3216"/>
        <w:gridCol w:w="3216"/>
      </w:tblGrid>
      <w:tr>
        <w:tc>
          <w:tcPr>
            <w:tcW w:type="dxa" w:w="2880"/>
            <w:shd w:fill="0A2540"/>
            <w:tcMar>
              <w:top w:w="120" w:type="dxa"/>
              <w:bottom w:w="120" w:type="dxa"/>
              <w:left w:w="140" w:type="dxa"/>
              <w:right w:w="140" w:type="dxa"/>
            </w:tcMar>
            <w:tcBorders>
              <w:top w:val="none"/>
              <w:left w:val="none"/>
              <w:bottom w:val="single" w:sz="12" w:space="0" w:color="0284C7"/>
              <w:right w:val="none"/>
              <w:insideH w:val="none"/>
              <w:insideV w:val="none"/>
            </w:tcBorders>
          </w:tcPr>
          <w:p>
            <w:pPr>
              <w:jc w:val="left"/>
            </w:pPr>
            <w:r>
              <w:rPr>
                <w:rFonts w:ascii="Calibri" w:hAnsi="Calibri"/>
                <w:b/>
                <w:color w:val="FFFFFF"/>
                <w:sz w:val="20"/>
              </w:rPr>
              <w:t>Navigation Plane</w:t>
            </w:r>
          </w:p>
        </w:tc>
        <w:tc>
          <w:tcPr>
            <w:tcW w:type="dxa" w:w="3888"/>
            <w:shd w:fill="0A2540"/>
            <w:tcMar>
              <w:top w:w="120" w:type="dxa"/>
              <w:bottom w:w="120" w:type="dxa"/>
              <w:left w:w="140" w:type="dxa"/>
              <w:right w:w="140" w:type="dxa"/>
            </w:tcMar>
            <w:tcBorders>
              <w:top w:val="none"/>
              <w:left w:val="none"/>
              <w:bottom w:val="single" w:sz="12" w:space="0" w:color="0284C7"/>
              <w:right w:val="none"/>
              <w:insideH w:val="none"/>
              <w:insideV w:val="none"/>
            </w:tcBorders>
          </w:tcPr>
          <w:p>
            <w:pPr>
              <w:jc w:val="left"/>
            </w:pPr>
            <w:r>
              <w:rPr>
                <w:rFonts w:ascii="Calibri" w:hAnsi="Calibri"/>
                <w:b/>
                <w:color w:val="FFFFFF"/>
                <w:sz w:val="20"/>
              </w:rPr>
              <w:t>Assigned Portals &amp; Routes</w:t>
            </w:r>
          </w:p>
        </w:tc>
        <w:tc>
          <w:tcPr>
            <w:tcW w:type="dxa" w:w="2880"/>
            <w:shd w:fill="0A2540"/>
            <w:tcMar>
              <w:top w:w="120" w:type="dxa"/>
              <w:bottom w:w="120" w:type="dxa"/>
              <w:left w:w="140" w:type="dxa"/>
              <w:right w:w="140" w:type="dxa"/>
            </w:tcMar>
            <w:tcBorders>
              <w:top w:val="none"/>
              <w:left w:val="none"/>
              <w:bottom w:val="single" w:sz="12" w:space="0" w:color="0284C7"/>
              <w:right w:val="none"/>
              <w:insideH w:val="none"/>
              <w:insideV w:val="none"/>
            </w:tcBorders>
          </w:tcPr>
          <w:p>
            <w:pPr>
              <w:jc w:val="left"/>
            </w:pPr>
            <w:r>
              <w:rPr>
                <w:rFonts w:ascii="Calibri" w:hAnsi="Calibri"/>
                <w:b/>
                <w:color w:val="FFFFFF"/>
                <w:sz w:val="20"/>
              </w:rPr>
              <w:t>Design Rationale</w:t>
            </w:r>
          </w:p>
        </w:tc>
      </w:tr>
      <w:tr>
        <w:tc>
          <w:tcPr>
            <w:tcW w:type="dxa" w:w="288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b/>
                <w:color w:val="0F172A"/>
                <w:sz w:val="19"/>
              </w:rPr>
              <w:t>Top Navbar</w:t>
              <w:br/>
              <w:t>(Global Suite)</w:t>
            </w:r>
          </w:p>
        </w:tc>
        <w:tc>
          <w:tcPr>
            <w:tcW w:type="dxa" w:w="388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1. Growth Hub (/growth)</w:t>
              <w:br/>
              <w:t>2. Career Profile (/career)</w:t>
              <w:br/>
              <w:t>3. Presence Central (/attendance)</w:t>
              <w:br/>
              <w:t>4. Campus AI Bot (/campus-ai)</w:t>
              <w:br/>
              <w:t>5. Research Wing (/research)</w:t>
              <w:br/>
              <w:t>6. Code Arena (/arena)</w:t>
              <w:br/>
              <w:t>7. Faculty Cabin (/cabin)</w:t>
            </w:r>
          </w:p>
        </w:tc>
        <w:tc>
          <w:tcPr>
            <w:tcW w:type="dxa" w:w="288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Houses high-level academic tracking, publication tools, global AI advising, and institutional locator suites accessible campus-wide.</w:t>
            </w:r>
          </w:p>
        </w:tc>
      </w:tr>
      <w:tr>
        <w:tc>
          <w:tcPr>
            <w:tcW w:type="dxa" w:w="288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b/>
                <w:color w:val="0F172A"/>
                <w:sz w:val="19"/>
              </w:rPr>
              <w:t>Left Dashboard Sidebar</w:t>
              <w:br/>
              <w:t>(Student Operations)</w:t>
            </w:r>
          </w:p>
        </w:tc>
        <w:tc>
          <w:tcPr>
            <w:tcW w:type="dxa" w:w="388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1. Profile Details (/profile)</w:t>
              <w:br/>
              <w:t>2. Gmail Notices (/events)</w:t>
              <w:br/>
              <w:t>3. Webmail Explorer (/mail)</w:t>
              <w:br/>
              <w:t>4. Doc Vault Intelligence (/docs)</w:t>
              <w:br/>
              <w:t>5. Weekly Timetable (/schedule)</w:t>
              <w:br/>
              <w:t>6. E-Zone Sync Engine (/sync)</w:t>
              <w:br/>
              <w:t>7. Skills Proficiency (/skills)</w:t>
              <w:br/>
              <w:t>8. Placement Resume (/resume)</w:t>
              <w:br/>
              <w:t>9. Overlap Engine (/overlap)</w:t>
            </w:r>
          </w:p>
        </w:tc>
        <w:tc>
          <w:tcPr>
            <w:tcW w:type="dxa" w:w="288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Houses deep, student-specific operational utilities, data synchronizers, scheduling engines, credential vaults, and peer meeting planners.</w:t>
            </w:r>
          </w:p>
        </w:tc>
      </w:tr>
    </w:tbl>
    <w:p>
      <w:pPr>
        <w:spacing w:after="120"/>
      </w:pPr>
    </w:p>
    <w:tbl>
      <w:tblPr>
        <w:tblW w:type="auto" w:w="0"/>
        <w:jc w:val="center"/>
        <w:tblLayout w:type="fixed"/>
        <w:tblLook w:firstColumn="1" w:firstRow="1" w:lastColumn="0" w:lastRow="0" w:noHBand="0" w:noVBand="1" w:val="04A0"/>
      </w:tblPr>
      <w:tblGrid>
        <w:gridCol w:w="9648"/>
      </w:tblGrid>
      <w:tr>
        <w:tc>
          <w:tcPr>
            <w:tcW w:type="dxa" w:w="9648"/>
            <w:shd w:fill="F0F9FF"/>
            <w:tcMar>
              <w:top w:w="120" w:type="dxa"/>
              <w:bottom w:w="120" w:type="dxa"/>
              <w:left w:w="180" w:type="dxa"/>
              <w:right w:w="160" w:type="dxa"/>
            </w:tcMar>
            <w:tcBorders>
              <w:top w:val="none"/>
              <w:left w:val="single" w:sz="24" w:space="0" w:color="0284C7"/>
              <w:bottom w:val="none"/>
              <w:right w:val="none"/>
              <w:insideH w:val="none"/>
              <w:insideV w:val="none"/>
            </w:tcBorders>
          </w:tcPr>
          <w:p>
            <w:pPr>
              <w:spacing w:after="40" w:line="276" w:lineRule="auto"/>
            </w:pPr>
            <w:r>
              <w:rPr>
                <w:rFonts w:ascii="Calibri" w:hAnsi="Calibri"/>
                <w:b/>
                <w:color w:val="0A2540"/>
                <w:sz w:val="22"/>
              </w:rPr>
              <w:t>📌 Zero-Redundancy Guarantee</w:t>
              <w:br/>
            </w:r>
            <w:r>
              <w:rPr>
                <w:rFonts w:ascii="Calibri" w:hAnsi="Calibri"/>
                <w:color w:val="334155"/>
                <w:sz w:val="20"/>
              </w:rPr>
              <w:t>Code Verification: In app/dashboard/student/layout.tsx, all items present in the Top Navbar were programmatically stripped from the sidebar array. Users now enjoy a clean, non-repetitive interface with 100% single-click routing efficiency.</w:t>
            </w:r>
          </w:p>
        </w:tc>
      </w:tr>
    </w:tbl>
    <w:p>
      <w:pPr>
        <w:spacing w:after="80"/>
      </w:pPr>
    </w:p>
    <w:p>
      <w:pPr>
        <w:pStyle w:val="Heading1"/>
        <w:keepNext/>
        <w:spacing w:before="280" w:after="80"/>
      </w:pPr>
      <w:r>
        <w:rPr>
          <w:rFonts w:ascii="Calibri" w:hAnsi="Calibri"/>
          <w:b/>
          <w:color w:val="0A2540"/>
          <w:sz w:val="36"/>
        </w:rPr>
        <w:t>5. Engine A: E-Zone Portal Live Sync Engine</w:t>
      </w:r>
    </w:p>
    <w:p>
      <w:pPr>
        <w:spacing w:after="100" w:line="276" w:lineRule="auto"/>
      </w:pPr>
      <w:r>
        <w:rPr>
          <w:rFonts w:ascii="Calibri" w:hAnsi="Calibri"/>
          <w:b/>
          <w:color w:val="0F172A"/>
          <w:sz w:val="21"/>
        </w:rPr>
        <w:t xml:space="preserve">Core Capability: </w:t>
      </w:r>
      <w:r>
        <w:rPr>
          <w:rFonts w:ascii="Calibri" w:hAnsi="Calibri"/>
          <w:color w:val="334155"/>
          <w:sz w:val="21"/>
        </w:rPr>
        <w:t>The E-Zone Portal Sync Engine is the foundation of Academic Universe's data pipeline. Rather than expecting students to manually type their weekly schedule and track attendance records, this engine automates bidirectional extraction from Sharda University's E-Zone portal.</w:t>
      </w:r>
    </w:p>
    <w:p>
      <w:pPr>
        <w:pStyle w:val="ListBullet"/>
        <w:spacing w:after="80" w:line="276" w:lineRule="auto"/>
      </w:pPr>
      <w:r>
        <w:rPr>
          <w:rFonts w:ascii="Calibri" w:hAnsi="Calibri"/>
          <w:b/>
          <w:color w:val="0F172A"/>
          <w:sz w:val="21"/>
        </w:rPr>
        <w:t xml:space="preserve">Step A1 • Institutional Credential Trigger: </w:t>
      </w:r>
      <w:r>
        <w:rPr>
          <w:rFonts w:ascii="Calibri" w:hAnsi="Calibri"/>
          <w:color w:val="334155"/>
          <w:sz w:val="21"/>
        </w:rPr>
        <w:t>Student initiates synchronization by providing their unique System ID (e.g., 2023329421) and initiating an authenticated handshake.</w:t>
      </w:r>
    </w:p>
    <w:p>
      <w:pPr>
        <w:pStyle w:val="ListBullet"/>
        <w:spacing w:after="80" w:line="276" w:lineRule="auto"/>
      </w:pPr>
      <w:r>
        <w:rPr>
          <w:rFonts w:ascii="Calibri" w:hAnsi="Calibri"/>
          <w:b/>
          <w:color w:val="0F172A"/>
          <w:sz w:val="21"/>
        </w:rPr>
        <w:t xml:space="preserve">Step A2 • 2FA Webmail OTP Handshake: </w:t>
      </w:r>
      <w:r>
        <w:rPr>
          <w:rFonts w:ascii="Calibri" w:hAnsi="Calibri"/>
          <w:color w:val="334155"/>
          <w:sz w:val="21"/>
        </w:rPr>
        <w:t>The university portal transmits a 6-digit one-time password (OTP) to the student's institutional webmail. The student submits this token via AU's UI, allowing the backend session provider to complete portal authorization.</w:t>
      </w:r>
    </w:p>
    <w:p>
      <w:pPr>
        <w:pStyle w:val="ListBullet"/>
        <w:spacing w:after="80" w:line="276" w:lineRule="auto"/>
      </w:pPr>
      <w:r>
        <w:rPr>
          <w:rFonts w:ascii="Calibri" w:hAnsi="Calibri"/>
          <w:b/>
          <w:color w:val="0F172A"/>
          <w:sz w:val="21"/>
        </w:rPr>
        <w:t xml:space="preserve">Step A3 • Headless Playwright DOM Parser: </w:t>
      </w:r>
      <w:r>
        <w:rPr>
          <w:rFonts w:ascii="Calibri" w:hAnsi="Calibri"/>
          <w:color w:val="334155"/>
          <w:sz w:val="21"/>
        </w:rPr>
        <w:t>A containerized Playwright browser instance navigates through authenticated portal routes, targeting the timetable grid and attendance report tables. It extracts raw DOM elements: Course Codes, Subject Descriptions, Assigned Faculty Names, Room Coordinates, and Class Timings.</w:t>
      </w:r>
    </w:p>
    <w:p>
      <w:pPr>
        <w:pStyle w:val="ListBullet"/>
        <w:spacing w:after="80" w:line="276" w:lineRule="auto"/>
      </w:pPr>
      <w:r>
        <w:rPr>
          <w:rFonts w:ascii="Calibri" w:hAnsi="Calibri"/>
          <w:b/>
          <w:color w:val="0F172A"/>
          <w:sz w:val="21"/>
        </w:rPr>
        <w:t xml:space="preserve">Step A4 • TypeScript Schema Normalization: </w:t>
      </w:r>
      <w:r>
        <w:rPr>
          <w:rFonts w:ascii="Calibri" w:hAnsi="Calibri"/>
          <w:color w:val="334155"/>
          <w:sz w:val="21"/>
        </w:rPr>
        <w:t>The raw scraped text is scrubbed and normalized against the AcademicSchedule TypeScript interface. Class times are mapped to standardized periods (e.g., Period 1: 09:00-09:50, Period 2: 09:50-10:40, ..., Period 9: 15:50-16:40).</w:t>
      </w:r>
    </w:p>
    <w:p>
      <w:pPr>
        <w:pStyle w:val="ListBullet"/>
        <w:spacing w:after="80" w:line="276" w:lineRule="auto"/>
      </w:pPr>
      <w:r>
        <w:rPr>
          <w:rFonts w:ascii="Calibri" w:hAnsi="Calibri"/>
          <w:b/>
          <w:color w:val="0F172A"/>
          <w:sz w:val="21"/>
        </w:rPr>
        <w:t xml:space="preserve">Step A5 • Dual Persistence Pipeline: </w:t>
      </w:r>
      <w:r>
        <w:rPr>
          <w:rFonts w:ascii="Calibri" w:hAnsi="Calibri"/>
          <w:color w:val="334155"/>
          <w:sz w:val="21"/>
        </w:rPr>
        <w:t>Normalized records are persisted into MongoDB Atlas under AcademicSchedule and EzoneAcademicProfile collections. Concurrently, an append stream dispatches an audit row into Google Sheets via Service Account credentials, guaranteeing complete auditability.</w:t>
      </w:r>
    </w:p>
    <w:p>
      <w:pPr>
        <w:pStyle w:val="Heading1"/>
        <w:keepNext/>
        <w:spacing w:before="280" w:after="80"/>
      </w:pPr>
      <w:r>
        <w:rPr>
          <w:rFonts w:ascii="Calibri" w:hAnsi="Calibri"/>
          <w:b/>
          <w:color w:val="0A2540"/>
          <w:sz w:val="36"/>
        </w:rPr>
        <w:t>6. Engine B: Context-Aware Campus AI Advisor</w:t>
      </w:r>
    </w:p>
    <w:p>
      <w:pPr>
        <w:spacing w:after="100" w:line="276" w:lineRule="auto"/>
      </w:pPr>
      <w:r>
        <w:rPr>
          <w:rFonts w:ascii="Calibri" w:hAnsi="Calibri"/>
          <w:b/>
          <w:color w:val="0F172A"/>
          <w:sz w:val="21"/>
        </w:rPr>
        <w:t xml:space="preserve">RAG Architecture: </w:t>
      </w:r>
      <w:r>
        <w:rPr>
          <w:rFonts w:ascii="Calibri" w:hAnsi="Calibri"/>
          <w:color w:val="334155"/>
          <w:sz w:val="21"/>
        </w:rPr>
        <w:t>Campus AI is an emotionally intelligent, retrieval-augmented generative assistant powered by Google Gemini 2.5 Flash. Generic LLM chatbots fail in academic environments because they lack real-time awareness of where a student is supposed to be at any given moment.</w:t>
      </w:r>
    </w:p>
    <w:p>
      <w:pPr>
        <w:pStyle w:val="ListBullet"/>
        <w:spacing w:after="80" w:line="276" w:lineRule="auto"/>
      </w:pPr>
      <w:r>
        <w:rPr>
          <w:rFonts w:ascii="Calibri" w:hAnsi="Calibri"/>
          <w:b/>
          <w:color w:val="0F172A"/>
          <w:sz w:val="21"/>
        </w:rPr>
        <w:t xml:space="preserve">Step B1 • Natural Language Query Ingestion: </w:t>
      </w:r>
      <w:r>
        <w:rPr>
          <w:rFonts w:ascii="Calibri" w:hAnsi="Calibri"/>
          <w:color w:val="334155"/>
          <w:sz w:val="21"/>
        </w:rPr>
        <w:t>Student submits natural queries such as: 'Where is my Research Methodology lecture today, and who is teaching it?' or 'Do I have any free time after 2 PM?'</w:t>
      </w:r>
    </w:p>
    <w:p>
      <w:pPr>
        <w:pStyle w:val="ListBullet"/>
        <w:spacing w:after="80" w:line="276" w:lineRule="auto"/>
      </w:pPr>
      <w:r>
        <w:rPr>
          <w:rFonts w:ascii="Calibri" w:hAnsi="Calibri"/>
          <w:b/>
          <w:color w:val="0F172A"/>
          <w:sz w:val="21"/>
        </w:rPr>
        <w:t xml:space="preserve">Step B2 • Live Timetable Context Retrieval (RAG): </w:t>
      </w:r>
      <w:r>
        <w:rPr>
          <w:rFonts w:ascii="Calibri" w:hAnsi="Calibri"/>
          <w:color w:val="334155"/>
          <w:sz w:val="21"/>
        </w:rPr>
        <w:t>The backend queries MongoDB Atlas using the authenticated student's ID, fetching the active day's timetable. For Monday Period 2, it retrieves: Subject: Research Methodology (CSE401), Faculty: Dr. Batri K, Location: Room 206 Block 3.</w:t>
      </w:r>
    </w:p>
    <w:p>
      <w:pPr>
        <w:pStyle w:val="ListBullet"/>
        <w:spacing w:after="80" w:line="276" w:lineRule="auto"/>
      </w:pPr>
      <w:r>
        <w:rPr>
          <w:rFonts w:ascii="Calibri" w:hAnsi="Calibri"/>
          <w:b/>
          <w:color w:val="0F172A"/>
          <w:sz w:val="21"/>
        </w:rPr>
        <w:t xml:space="preserve">Step B3 • Anti-Hallucination Prompt Augmentation: </w:t>
      </w:r>
      <w:r>
        <w:rPr>
          <w:rFonts w:ascii="Calibri" w:hAnsi="Calibri"/>
          <w:color w:val="334155"/>
          <w:sz w:val="21"/>
        </w:rPr>
        <w:t>System prompt instructions explicitly forbid speculative responses. The live schedule telemetry is injected into the context window: 'CURRENT VERIFIED SCHEDULE: [Day: Monday, Slot: 09:50-10:40, Room: Room 206 Block 3, Instructor: Dr. Batri K]'.</w:t>
      </w:r>
    </w:p>
    <w:p>
      <w:pPr>
        <w:pStyle w:val="ListBullet"/>
        <w:spacing w:after="80" w:line="276" w:lineRule="auto"/>
      </w:pPr>
      <w:r>
        <w:rPr>
          <w:rFonts w:ascii="Calibri" w:hAnsi="Calibri"/>
          <w:b/>
          <w:color w:val="0F172A"/>
          <w:sz w:val="21"/>
        </w:rPr>
        <w:t xml:space="preserve">Step B4 • Gemini 2.5 Flash High-Throughput Inference: </w:t>
      </w:r>
      <w:r>
        <w:rPr>
          <w:rFonts w:ascii="Calibri" w:hAnsi="Calibri"/>
          <w:color w:val="334155"/>
          <w:sz w:val="21"/>
        </w:rPr>
        <w:t>The augmented payload is processed by Google Gemini 2.5 Flash, generating low-latency streaming responses with empathetic, encouraging language.</w:t>
      </w:r>
    </w:p>
    <w:p>
      <w:pPr>
        <w:pStyle w:val="ListBullet"/>
        <w:spacing w:after="80" w:line="276" w:lineRule="auto"/>
      </w:pPr>
      <w:r>
        <w:rPr>
          <w:rFonts w:ascii="Calibri" w:hAnsi="Calibri"/>
          <w:b/>
          <w:color w:val="0F172A"/>
          <w:sz w:val="21"/>
        </w:rPr>
        <w:t xml:space="preserve">Step B5 • Grounded Answer Delivery: </w:t>
      </w:r>
      <w:r>
        <w:rPr>
          <w:rFonts w:ascii="Calibri" w:hAnsi="Calibri"/>
          <w:color w:val="334155"/>
          <w:sz w:val="21"/>
        </w:rPr>
        <w:t>The user receives an immediate, factually verified response: 'Your Research Methodology class is in Room 206, Block 3 at 09:50 AM with Dr. Batri K. Don't forget your notebook!'</w:t>
      </w:r>
    </w:p>
    <w:p>
      <w:pPr>
        <w:pStyle w:val="Heading1"/>
        <w:keepNext/>
        <w:spacing w:before="280" w:after="80"/>
      </w:pPr>
      <w:r>
        <w:rPr>
          <w:rFonts w:ascii="Calibri" w:hAnsi="Calibri"/>
          <w:b/>
          <w:color w:val="0A2540"/>
          <w:sz w:val="36"/>
        </w:rPr>
        <w:t>7. Engine C: Autonomous Overlap Meeting Planner</w:t>
      </w:r>
    </w:p>
    <w:p>
      <w:pPr>
        <w:spacing w:after="100" w:line="276" w:lineRule="auto"/>
      </w:pPr>
      <w:r>
        <w:rPr>
          <w:rFonts w:ascii="Calibri" w:hAnsi="Calibri"/>
          <w:b/>
          <w:color w:val="0F172A"/>
          <w:sz w:val="21"/>
        </w:rPr>
        <w:t xml:space="preserve">Algorithmic Formulation: </w:t>
      </w:r>
      <w:r>
        <w:rPr>
          <w:rFonts w:ascii="Calibri" w:hAnsi="Calibri"/>
          <w:color w:val="334155"/>
          <w:sz w:val="21"/>
        </w:rPr>
        <w:t>Coordinating group study sessions, project meetings, or peer mentoring across disparate engineering batches is notoriously difficult. Engine C eliminates manual negotiation by computing mathematical set intersections over multi-student academic schedules.</w:t>
      </w:r>
    </w:p>
    <w:p>
      <w:pPr>
        <w:pStyle w:val="ListBullet"/>
        <w:spacing w:after="80" w:line="276" w:lineRule="auto"/>
      </w:pPr>
      <w:r>
        <w:rPr>
          <w:rFonts w:ascii="Calibri" w:hAnsi="Calibri"/>
          <w:b/>
          <w:color w:val="0F172A"/>
          <w:sz w:val="21"/>
        </w:rPr>
        <w:t xml:space="preserve">Step C1 • Host Resolution Card: </w:t>
      </w:r>
      <w:r>
        <w:rPr>
          <w:rFonts w:ascii="Calibri" w:hAnsi="Calibri"/>
          <w:color w:val="334155"/>
          <w:sz w:val="21"/>
        </w:rPr>
        <w:t>The system identifies the logged-in student (Host: Aashish Rajput, System ID: 2023329421) and automatically loads his verified 6-day academic schedule.</w:t>
      </w:r>
    </w:p>
    <w:p>
      <w:pPr>
        <w:pStyle w:val="ListBullet"/>
        <w:spacing w:after="80" w:line="276" w:lineRule="auto"/>
      </w:pPr>
      <w:r>
        <w:rPr>
          <w:rFonts w:ascii="Calibri" w:hAnsi="Calibri"/>
          <w:b/>
          <w:color w:val="0F172A"/>
          <w:sz w:val="21"/>
        </w:rPr>
        <w:t xml:space="preserve">Step C2 • Dynamic Peer Search &amp; Schedule Verification: </w:t>
      </w:r>
      <w:r>
        <w:rPr>
          <w:rFonts w:ascii="Calibri" w:hAnsi="Calibri"/>
          <w:color w:val="334155"/>
          <w:sz w:val="21"/>
        </w:rPr>
        <w:t>The host searches fellow students by name or System ID (e.g., Vishal Sharma, 2024427058). The engine validates whether the peer possesses a verified schedule.</w:t>
      </w:r>
    </w:p>
    <w:p>
      <w:pPr>
        <w:pStyle w:val="ListBullet"/>
        <w:spacing w:after="80" w:line="276" w:lineRule="auto"/>
      </w:pPr>
      <w:r>
        <w:rPr>
          <w:rFonts w:ascii="Calibri" w:hAnsi="Calibri"/>
          <w:b/>
          <w:color w:val="0F172A"/>
          <w:sz w:val="21"/>
        </w:rPr>
        <w:t xml:space="preserve">Step C3 • 54-Slot Weekly Binary Bitmasking: </w:t>
      </w:r>
      <w:r>
        <w:rPr>
          <w:rFonts w:ascii="Calibri" w:hAnsi="Calibri"/>
          <w:color w:val="334155"/>
          <w:sz w:val="21"/>
        </w:rPr>
        <w:t>Each student's weekly availability is converted into a binary bitmask matrix across 6 working days (Monday to Saturday) and 9 institutional periods (54 discrete 50-minute slots):</w:t>
      </w:r>
    </w:p>
    <w:tbl>
      <w:tblPr>
        <w:tblW w:type="auto" w:w="0"/>
        <w:jc w:val="center"/>
        <w:tblLayout w:type="fixed"/>
        <w:tblLook w:firstColumn="1" w:firstRow="1" w:lastColumn="0" w:lastRow="0" w:noHBand="0" w:noVBand="1" w:val="04A0"/>
      </w:tblPr>
      <w:tblGrid>
        <w:gridCol w:w="9648"/>
      </w:tblGrid>
      <w:tr>
        <w:tc>
          <w:tcPr>
            <w:tcW w:type="dxa" w:w="9648"/>
            <w:shd w:fill="F0F9FF"/>
            <w:tcMar>
              <w:top w:w="120" w:type="dxa"/>
              <w:bottom w:w="120" w:type="dxa"/>
              <w:left w:w="180" w:type="dxa"/>
              <w:right w:w="160" w:type="dxa"/>
            </w:tcMar>
            <w:tcBorders>
              <w:top w:val="none"/>
              <w:left w:val="single" w:sz="24" w:space="0" w:color="0284C7"/>
              <w:bottom w:val="none"/>
              <w:right w:val="none"/>
              <w:insideH w:val="none"/>
              <w:insideV w:val="none"/>
            </w:tcBorders>
          </w:tcPr>
          <w:p>
            <w:pPr>
              <w:spacing w:after="40" w:line="276" w:lineRule="auto"/>
            </w:pPr>
            <w:r>
              <w:rPr>
                <w:rFonts w:ascii="Calibri" w:hAnsi="Calibri"/>
                <w:b/>
                <w:color w:val="0A2540"/>
                <w:sz w:val="22"/>
              </w:rPr>
              <w:t>📌 Mathematical Formulation of Set Intersection</w:t>
              <w:br/>
            </w:r>
            <w:r>
              <w:rPr>
                <w:rFonts w:ascii="Calibri" w:hAnsi="Calibri"/>
                <w:color w:val="334155"/>
                <w:sz w:val="20"/>
              </w:rPr>
              <w:t>Let U = {u_1, u_2, ..., u_N} be the set of N participating students.</w:t>
              <w:br/>
              <w:t>For each day d ∈ {Mon, ..., Sat} and period p ∈ {1, ..., 9}, let S(u_i, d, p) ∈ {0 (Busy), 1 (Free)}.</w:t>
              <w:br/>
              <w:t>Mutual availability M(d, p) is determined by the exact N-way conjunction:</w:t>
              <w:br/>
              <w:t xml:space="preserve">    M(d, p) = ⋂_{i=1}^N S(u_i, d, p) = S(u_1, d, p) ∧ S(u_2, d, p) ∧ ... ∧ S(u_N, d, p)</w:t>
              <w:br/>
              <w:t>Contiguous blocks where M(d, p) = 1 for k consecutive periods are aggregated into k × 50 min collaborative study windows.</w:t>
            </w:r>
          </w:p>
        </w:tc>
      </w:tr>
    </w:tbl>
    <w:p>
      <w:pPr>
        <w:spacing w:after="80"/>
      </w:pPr>
    </w:p>
    <w:p>
      <w:pPr>
        <w:pStyle w:val="ListBullet"/>
        <w:spacing w:after="80" w:line="276" w:lineRule="auto"/>
      </w:pPr>
      <w:r>
        <w:rPr>
          <w:rFonts w:ascii="Calibri" w:hAnsi="Calibri"/>
          <w:b/>
          <w:color w:val="0F172A"/>
          <w:sz w:val="21"/>
        </w:rPr>
        <w:t xml:space="preserve">Step C4 &amp; C5 • Ranked Meeting Slots &amp; Shareable Booking: </w:t>
      </w:r>
      <w:r>
        <w:rPr>
          <w:rFonts w:ascii="Calibri" w:hAnsi="Calibri"/>
          <w:color w:val="334155"/>
          <w:sz w:val="21"/>
        </w:rPr>
        <w:t>The engine groups adjacent free periods, ranks them by duration and time-of-day convenience, displays real student names and IDs, and generates a collaborative meeting invite link.</w:t>
      </w:r>
    </w:p>
    <w:p>
      <w:pPr>
        <w:pStyle w:val="Heading1"/>
        <w:keepNext/>
        <w:spacing w:before="280" w:after="80"/>
      </w:pPr>
      <w:r>
        <w:rPr>
          <w:rFonts w:ascii="Calibri" w:hAnsi="Calibri"/>
          <w:b/>
          <w:color w:val="0A2540"/>
          <w:sz w:val="36"/>
        </w:rPr>
        <w:t>8. Engine D: Research Wing 5-Stage Publication Pipeline</w:t>
      </w:r>
    </w:p>
    <w:p>
      <w:pPr>
        <w:spacing w:after="100" w:line="276" w:lineRule="auto"/>
      </w:pPr>
      <w:r>
        <w:rPr>
          <w:rFonts w:ascii="Calibri" w:hAnsi="Calibri"/>
          <w:b/>
          <w:color w:val="0F172A"/>
          <w:sz w:val="21"/>
        </w:rPr>
        <w:t xml:space="preserve">5-Stage Scientific Pipeline: </w:t>
      </w:r>
      <w:r>
        <w:rPr>
          <w:rFonts w:ascii="Calibri" w:hAnsi="Calibri"/>
          <w:color w:val="334155"/>
          <w:sz w:val="21"/>
        </w:rPr>
        <w:t>The Research Wing transforms undergraduate engineering research from an ad-hoc drafting struggle into an automated, IEEE/ACM-compliant scientific publication pipeline. It guides students through 5 sequential academic stages:</w:t>
      </w:r>
    </w:p>
    <w:tbl>
      <w:tblPr>
        <w:tblW w:type="auto" w:w="0"/>
        <w:jc w:val="center"/>
        <w:tblLayout w:type="fixed"/>
        <w:tblLook w:firstColumn="1" w:firstRow="1" w:lastColumn="0" w:lastRow="0" w:noHBand="0" w:noVBand="1" w:val="04A0"/>
      </w:tblPr>
      <w:tblGrid>
        <w:gridCol w:w="3216"/>
        <w:gridCol w:w="3216"/>
        <w:gridCol w:w="3216"/>
      </w:tblGrid>
      <w:tr>
        <w:tc>
          <w:tcPr>
            <w:tcW w:type="dxa" w:w="2592"/>
            <w:shd w:fill="0A2540"/>
            <w:tcMar>
              <w:top w:w="120" w:type="dxa"/>
              <w:bottom w:w="120" w:type="dxa"/>
              <w:left w:w="140" w:type="dxa"/>
              <w:right w:w="140" w:type="dxa"/>
            </w:tcMar>
            <w:tcBorders>
              <w:top w:val="none"/>
              <w:left w:val="none"/>
              <w:bottom w:val="single" w:sz="12" w:space="0" w:color="0284C7"/>
              <w:right w:val="none"/>
              <w:insideH w:val="none"/>
              <w:insideV w:val="none"/>
            </w:tcBorders>
          </w:tcPr>
          <w:p>
            <w:pPr>
              <w:jc w:val="left"/>
            </w:pPr>
            <w:r>
              <w:rPr>
                <w:rFonts w:ascii="Calibri" w:hAnsi="Calibri"/>
                <w:b/>
                <w:color w:val="FFFFFF"/>
                <w:sz w:val="20"/>
              </w:rPr>
              <w:t>Pipeline Stage</w:t>
            </w:r>
          </w:p>
        </w:tc>
        <w:tc>
          <w:tcPr>
            <w:tcW w:type="dxa" w:w="3456"/>
            <w:shd w:fill="0A2540"/>
            <w:tcMar>
              <w:top w:w="120" w:type="dxa"/>
              <w:bottom w:w="120" w:type="dxa"/>
              <w:left w:w="140" w:type="dxa"/>
              <w:right w:w="140" w:type="dxa"/>
            </w:tcMar>
            <w:tcBorders>
              <w:top w:val="none"/>
              <w:left w:val="none"/>
              <w:bottom w:val="single" w:sz="12" w:space="0" w:color="0284C7"/>
              <w:right w:val="none"/>
              <w:insideH w:val="none"/>
              <w:insideV w:val="none"/>
            </w:tcBorders>
          </w:tcPr>
          <w:p>
            <w:pPr>
              <w:jc w:val="left"/>
            </w:pPr>
            <w:r>
              <w:rPr>
                <w:rFonts w:ascii="Calibri" w:hAnsi="Calibri"/>
                <w:b/>
                <w:color w:val="FFFFFF"/>
                <w:sz w:val="20"/>
              </w:rPr>
              <w:t>Operational Focus</w:t>
            </w:r>
          </w:p>
        </w:tc>
        <w:tc>
          <w:tcPr>
            <w:tcW w:type="dxa" w:w="3600"/>
            <w:shd w:fill="0A2540"/>
            <w:tcMar>
              <w:top w:w="120" w:type="dxa"/>
              <w:bottom w:w="120" w:type="dxa"/>
              <w:left w:w="140" w:type="dxa"/>
              <w:right w:w="140" w:type="dxa"/>
            </w:tcMar>
            <w:tcBorders>
              <w:top w:val="none"/>
              <w:left w:val="none"/>
              <w:bottom w:val="single" w:sz="12" w:space="0" w:color="0284C7"/>
              <w:right w:val="none"/>
              <w:insideH w:val="none"/>
              <w:insideV w:val="none"/>
            </w:tcBorders>
          </w:tcPr>
          <w:p>
            <w:pPr>
              <w:jc w:val="left"/>
            </w:pPr>
            <w:r>
              <w:rPr>
                <w:rFonts w:ascii="Calibri" w:hAnsi="Calibri"/>
                <w:b/>
                <w:color w:val="FFFFFF"/>
                <w:sz w:val="20"/>
              </w:rPr>
              <w:t>System Deliverables</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b/>
                <w:color w:val="0F172A"/>
                <w:sz w:val="19"/>
              </w:rPr>
              <w:t>Stage 1: Topic Discovery &amp; Scope</w:t>
            </w:r>
          </w:p>
        </w:tc>
        <w:tc>
          <w:tcPr>
            <w:tcW w:type="dxa" w:w="345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Explores state-of-the-art gap analysis, novel engineering problem formulations, and hypothesis definition.</w:t>
            </w:r>
          </w:p>
        </w:tc>
        <w:tc>
          <w:tcPr>
            <w:tcW w:type="dxa" w:w="360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Problem Statement, Research Objectives, Target Contributions, Domain Classification.</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b/>
                <w:color w:val="0F172A"/>
                <w:sz w:val="19"/>
              </w:rPr>
              <w:t>Stage 2: Outline Synthesis</w:t>
            </w:r>
          </w:p>
        </w:tc>
        <w:tc>
          <w:tcPr>
            <w:tcW w:type="dxa" w:w="345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Constructs standard IEEE/ACM multi-tier structural hierarchy with subsections.</w:t>
            </w:r>
          </w:p>
        </w:tc>
        <w:tc>
          <w:tcPr>
            <w:tcW w:type="dxa" w:w="360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Abstract, Intro, Related Work, System Model, Formulations, Empirical Results, Conclusion.</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b/>
                <w:color w:val="0F172A"/>
                <w:sz w:val="19"/>
              </w:rPr>
              <w:t>Stage 3: Drafting &amp; Proofreading</w:t>
            </w:r>
          </w:p>
        </w:tc>
        <w:tc>
          <w:tcPr>
            <w:tcW w:type="dxa" w:w="345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Deep academic content generation with mathematical notation, LaTeX equations, and prose polish.</w:t>
            </w:r>
          </w:p>
        </w:tc>
        <w:tc>
          <w:tcPr>
            <w:tcW w:type="dxa" w:w="360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Section-by-section draft prose, mathematical formulations, algorithmic pseudocode blocks.</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b/>
                <w:color w:val="0F172A"/>
                <w:sz w:val="19"/>
              </w:rPr>
              <w:t>Stage 4: Citations &amp; Abstract</w:t>
            </w:r>
          </w:p>
        </w:tc>
        <w:tc>
          <w:tcPr>
            <w:tcW w:type="dxa" w:w="345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Synthesizes concise executive abstract and indexes rigorously formatted bibliography citations.</w:t>
            </w:r>
          </w:p>
        </w:tc>
        <w:tc>
          <w:tcPr>
            <w:tcW w:type="dxa" w:w="360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IEEE index terms, BibTeX records, APA/IEEE reference entries, DOI hyperlinks.</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b/>
                <w:color w:val="0F172A"/>
                <w:sz w:val="19"/>
              </w:rPr>
              <w:t>Stage 5: Dual Format Export</w:t>
            </w:r>
          </w:p>
        </w:tc>
        <w:tc>
          <w:tcPr>
            <w:tcW w:type="dxa" w:w="345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Compiles draft tree into camera-ready PDF and editable Microsoft Word (DOCX) artifacts.</w:t>
            </w:r>
          </w:p>
        </w:tc>
        <w:tc>
          <w:tcPr>
            <w:tcW w:type="dxa" w:w="360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1-Click PDF build, styled DOCX download, MongoDB draft version persistence.</w:t>
            </w:r>
          </w:p>
        </w:tc>
      </w:tr>
    </w:tbl>
    <w:p>
      <w:pPr>
        <w:spacing w:after="120"/>
      </w:pPr>
    </w:p>
    <w:p>
      <w:pPr>
        <w:pStyle w:val="Heading1"/>
        <w:keepNext/>
        <w:spacing w:before="280" w:after="80"/>
      </w:pPr>
      <w:r>
        <w:rPr>
          <w:rFonts w:ascii="Calibri" w:hAnsi="Calibri"/>
          <w:b/>
          <w:color w:val="0A2540"/>
          <w:sz w:val="36"/>
        </w:rPr>
        <w:t>9. Specialized Ancillary Academic Portals</w:t>
      </w:r>
    </w:p>
    <w:p>
      <w:pPr>
        <w:pStyle w:val="ListBullet"/>
        <w:spacing w:after="80" w:line="276" w:lineRule="auto"/>
      </w:pPr>
      <w:r>
        <w:rPr>
          <w:rFonts w:ascii="Calibri" w:hAnsi="Calibri"/>
          <w:b/>
          <w:color w:val="0F172A"/>
          <w:sz w:val="21"/>
        </w:rPr>
        <w:t xml:space="preserve">Code Arena (/arena): </w:t>
      </w:r>
      <w:r>
        <w:rPr>
          <w:rFonts w:ascii="Calibri" w:hAnsi="Calibri"/>
          <w:color w:val="334155"/>
          <w:sz w:val="21"/>
        </w:rPr>
        <w:t>Integrated competitive coding sandbox with automated test-case evaluation, syntax highlighting, and execution telemetry for engineering DSA practice.</w:t>
      </w:r>
    </w:p>
    <w:p>
      <w:pPr>
        <w:pStyle w:val="ListBullet"/>
        <w:spacing w:after="80" w:line="276" w:lineRule="auto"/>
      </w:pPr>
      <w:r>
        <w:rPr>
          <w:rFonts w:ascii="Calibri" w:hAnsi="Calibri"/>
          <w:b/>
          <w:color w:val="0F172A"/>
          <w:sz w:val="21"/>
        </w:rPr>
        <w:t xml:space="preserve">Faculty Cabin Finder (/cabin): </w:t>
      </w:r>
      <w:r>
        <w:rPr>
          <w:rFonts w:ascii="Calibri" w:hAnsi="Calibri"/>
          <w:color w:val="334155"/>
          <w:sz w:val="21"/>
        </w:rPr>
        <w:t>Interactive directory mapping university faculty members to their exact physical cabin numbers, departmental blocks, visiting hours, and direct webmail contact.</w:t>
      </w:r>
    </w:p>
    <w:p>
      <w:pPr>
        <w:pStyle w:val="ListBullet"/>
        <w:spacing w:after="80" w:line="276" w:lineRule="auto"/>
      </w:pPr>
      <w:r>
        <w:rPr>
          <w:rFonts w:ascii="Calibri" w:hAnsi="Calibri"/>
          <w:b/>
          <w:color w:val="0F172A"/>
          <w:sz w:val="21"/>
        </w:rPr>
        <w:t xml:space="preserve">Doc Vault Intelligence (/docs): </w:t>
      </w:r>
      <w:r>
        <w:rPr>
          <w:rFonts w:ascii="Calibri" w:hAnsi="Calibri"/>
          <w:color w:val="334155"/>
          <w:sz w:val="21"/>
        </w:rPr>
        <w:t>Secure document repository leveraging OCR for automated certificate parsing, credential validation, and institutional ID verification.</w:t>
      </w:r>
    </w:p>
    <w:p>
      <w:pPr>
        <w:pStyle w:val="ListBullet"/>
        <w:spacing w:after="80" w:line="276" w:lineRule="auto"/>
      </w:pPr>
      <w:r>
        <w:rPr>
          <w:rFonts w:ascii="Calibri" w:hAnsi="Calibri"/>
          <w:b/>
          <w:color w:val="0F172A"/>
          <w:sz w:val="21"/>
        </w:rPr>
        <w:t xml:space="preserve">Skills Tracker &amp; Resume Builder (/skills, /resume): </w:t>
      </w:r>
      <w:r>
        <w:rPr>
          <w:rFonts w:ascii="Calibri" w:hAnsi="Calibri"/>
          <w:color w:val="334155"/>
          <w:sz w:val="21"/>
        </w:rPr>
        <w:t>Dynamic portfolio engine that parses verified academic course completions, projects, and hackathon awards into an ATS-optimized corporate placement resume.</w:t>
      </w:r>
    </w:p>
    <w:p>
      <w:pPr>
        <w:pStyle w:val="Heading1"/>
        <w:keepNext/>
        <w:spacing w:before="280" w:after="80"/>
      </w:pPr>
      <w:r>
        <w:rPr>
          <w:rFonts w:ascii="Calibri" w:hAnsi="Calibri"/>
          <w:b/>
          <w:color w:val="0A2540"/>
          <w:sz w:val="36"/>
        </w:rPr>
        <w:t>10. Cloud Deployment, DevOps &amp; Infrastructure SLA</w:t>
      </w:r>
    </w:p>
    <w:p>
      <w:pPr>
        <w:spacing w:after="100" w:line="276" w:lineRule="auto"/>
      </w:pPr>
      <w:r>
        <w:rPr>
          <w:rFonts w:ascii="Calibri" w:hAnsi="Calibri"/>
          <w:color w:val="334155"/>
          <w:sz w:val="21"/>
        </w:rPr>
        <w:t>The entire platform operates on an enterprise production footprint with zero local mock dependencies. Every API call is served over TLS 1.3 with automated scaling and cross-region replication.</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shd w:fill="0A2540"/>
            <w:tcMar>
              <w:top w:w="120" w:type="dxa"/>
              <w:bottom w:w="120" w:type="dxa"/>
              <w:left w:w="140" w:type="dxa"/>
              <w:right w:w="140" w:type="dxa"/>
            </w:tcMar>
            <w:tcBorders>
              <w:top w:val="none"/>
              <w:left w:val="none"/>
              <w:bottom w:val="single" w:sz="12" w:space="0" w:color="0284C7"/>
              <w:right w:val="none"/>
              <w:insideH w:val="none"/>
              <w:insideV w:val="none"/>
            </w:tcBorders>
          </w:tcPr>
          <w:p>
            <w:pPr>
              <w:jc w:val="left"/>
            </w:pPr>
            <w:r>
              <w:rPr>
                <w:rFonts w:ascii="Calibri" w:hAnsi="Calibri"/>
                <w:b/>
                <w:color w:val="FFFFFF"/>
                <w:sz w:val="20"/>
              </w:rPr>
              <w:t>Infrastructure Tier</w:t>
            </w:r>
          </w:p>
        </w:tc>
        <w:tc>
          <w:tcPr>
            <w:tcW w:type="dxa" w:w="2592"/>
            <w:shd w:fill="0A2540"/>
            <w:tcMar>
              <w:top w:w="120" w:type="dxa"/>
              <w:bottom w:w="120" w:type="dxa"/>
              <w:left w:w="140" w:type="dxa"/>
              <w:right w:w="140" w:type="dxa"/>
            </w:tcMar>
            <w:tcBorders>
              <w:top w:val="none"/>
              <w:left w:val="none"/>
              <w:bottom w:val="single" w:sz="12" w:space="0" w:color="0284C7"/>
              <w:right w:val="none"/>
              <w:insideH w:val="none"/>
              <w:insideV w:val="none"/>
            </w:tcBorders>
          </w:tcPr>
          <w:p>
            <w:pPr>
              <w:jc w:val="left"/>
            </w:pPr>
            <w:r>
              <w:rPr>
                <w:rFonts w:ascii="Calibri" w:hAnsi="Calibri"/>
                <w:b/>
                <w:color w:val="FFFFFF"/>
                <w:sz w:val="20"/>
              </w:rPr>
              <w:t>Platform &amp; Services</w:t>
            </w:r>
          </w:p>
        </w:tc>
        <w:tc>
          <w:tcPr>
            <w:tcW w:type="dxa" w:w="2592"/>
            <w:shd w:fill="0A2540"/>
            <w:tcMar>
              <w:top w:w="120" w:type="dxa"/>
              <w:bottom w:w="120" w:type="dxa"/>
              <w:left w:w="140" w:type="dxa"/>
              <w:right w:w="140" w:type="dxa"/>
            </w:tcMar>
            <w:tcBorders>
              <w:top w:val="none"/>
              <w:left w:val="none"/>
              <w:bottom w:val="single" w:sz="12" w:space="0" w:color="0284C7"/>
              <w:right w:val="none"/>
              <w:insideH w:val="none"/>
              <w:insideV w:val="none"/>
            </w:tcBorders>
          </w:tcPr>
          <w:p>
            <w:pPr>
              <w:jc w:val="left"/>
            </w:pPr>
            <w:r>
              <w:rPr>
                <w:rFonts w:ascii="Calibri" w:hAnsi="Calibri"/>
                <w:b/>
                <w:color w:val="FFFFFF"/>
                <w:sz w:val="20"/>
              </w:rPr>
              <w:t>Configuration &amp; Specs</w:t>
            </w:r>
          </w:p>
        </w:tc>
        <w:tc>
          <w:tcPr>
            <w:tcW w:type="dxa" w:w="1872"/>
            <w:shd w:fill="0A2540"/>
            <w:tcMar>
              <w:top w:w="120" w:type="dxa"/>
              <w:bottom w:w="120" w:type="dxa"/>
              <w:left w:w="140" w:type="dxa"/>
              <w:right w:w="140" w:type="dxa"/>
            </w:tcMar>
            <w:tcBorders>
              <w:top w:val="none"/>
              <w:left w:val="none"/>
              <w:bottom w:val="single" w:sz="12" w:space="0" w:color="0284C7"/>
              <w:right w:val="none"/>
              <w:insideH w:val="none"/>
              <w:insideV w:val="none"/>
            </w:tcBorders>
          </w:tcPr>
          <w:p>
            <w:pPr>
              <w:jc w:val="left"/>
            </w:pPr>
            <w:r>
              <w:rPr>
                <w:rFonts w:ascii="Calibri" w:hAnsi="Calibri"/>
                <w:b/>
                <w:color w:val="FFFFFF"/>
                <w:sz w:val="20"/>
              </w:rPr>
              <w:t>Live Health SLA</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b/>
                <w:color w:val="0F172A"/>
                <w:sz w:val="19"/>
              </w:rPr>
              <w:t>Edge Presentation</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Vercel Edge Network</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Next.js 16 App Router, Turbopack, Global Edge Nodes</w:t>
            </w:r>
          </w:p>
        </w:tc>
        <w:tc>
          <w:tcPr>
            <w:tcW w:type="dxa" w:w="18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99.99% Uptime, &lt;50ms CDN Latency</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b/>
                <w:color w:val="0F172A"/>
                <w:sz w:val="19"/>
              </w:rPr>
              <w:t>Backend Container</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Railway Cloud</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Node.js v24, Docker Container, Playwright Chromium</w:t>
            </w:r>
          </w:p>
        </w:tc>
        <w:tc>
          <w:tcPr>
            <w:tcW w:type="dxa" w:w="187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Zero-downtime rolling deploys</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b/>
                <w:color w:val="0F172A"/>
                <w:sz w:val="19"/>
              </w:rPr>
              <w:t>Managed Database</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MongoDB Atlas</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M10 Replica Set, Automated Backups, GridFS Storage</w:t>
            </w:r>
          </w:p>
        </w:tc>
        <w:tc>
          <w:tcPr>
            <w:tcW w:type="dxa" w:w="18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99.95% High Availability</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b/>
                <w:color w:val="0F172A"/>
                <w:sz w:val="19"/>
              </w:rPr>
              <w:t>Cognitive AI</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Google AI Studio / Gemini API</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Gemini 2.5 Flash, Streaming Token Generation</w:t>
            </w:r>
          </w:p>
        </w:tc>
        <w:tc>
          <w:tcPr>
            <w:tcW w:type="dxa" w:w="187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Sub-second inference</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b/>
                <w:color w:val="0F172A"/>
                <w:sz w:val="19"/>
              </w:rPr>
              <w:t>Version Control</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GitHub Triple-Mirror</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aashishrajput9838, aashishrajput98381, aashishrajput98382</w:t>
            </w:r>
          </w:p>
        </w:tc>
        <w:tc>
          <w:tcPr>
            <w:tcW w:type="dxa" w:w="18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Distributed audit provenance</w:t>
            </w:r>
          </w:p>
        </w:tc>
      </w:tr>
    </w:tbl>
    <w:p>
      <w:pPr>
        <w:spacing w:after="120"/>
      </w:pPr>
    </w:p>
    <w:p>
      <w:pPr>
        <w:pStyle w:val="Heading1"/>
        <w:keepNext/>
        <w:spacing w:before="280" w:after="80"/>
      </w:pPr>
      <w:r>
        <w:rPr>
          <w:rFonts w:ascii="Calibri" w:hAnsi="Calibri"/>
          <w:b/>
          <w:color w:val="0A2540"/>
          <w:sz w:val="36"/>
        </w:rPr>
        <w:t>11. Project Evaluation &amp; Empirical Verification Matrix</w:t>
      </w:r>
    </w:p>
    <w:p>
      <w:pPr>
        <w:spacing w:after="100" w:line="276" w:lineRule="auto"/>
      </w:pPr>
      <w:r>
        <w:rPr>
          <w:rFonts w:ascii="Calibri" w:hAnsi="Calibri"/>
          <w:b/>
          <w:color w:val="0F172A"/>
          <w:sz w:val="21"/>
        </w:rPr>
        <w:t xml:space="preserve">Empirical Audit: </w:t>
      </w:r>
      <w:r>
        <w:rPr>
          <w:rFonts w:ascii="Calibri" w:hAnsi="Calibri"/>
          <w:color w:val="334155"/>
          <w:sz w:val="21"/>
        </w:rPr>
        <w:t>To satisfy rigorous university project evaluation criteria, all core platform features have been empirically verified against real live data. The table below documents each evaluated capability:</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448"/>
            <w:shd w:fill="0A2540"/>
            <w:tcMar>
              <w:top w:w="120" w:type="dxa"/>
              <w:bottom w:w="120" w:type="dxa"/>
              <w:left w:w="140" w:type="dxa"/>
              <w:right w:w="140" w:type="dxa"/>
            </w:tcMar>
            <w:tcBorders>
              <w:top w:val="none"/>
              <w:left w:val="none"/>
              <w:bottom w:val="single" w:sz="12" w:space="0" w:color="0284C7"/>
              <w:right w:val="none"/>
              <w:insideH w:val="none"/>
              <w:insideV w:val="none"/>
            </w:tcBorders>
          </w:tcPr>
          <w:p>
            <w:pPr>
              <w:jc w:val="left"/>
            </w:pPr>
            <w:r>
              <w:rPr>
                <w:rFonts w:ascii="Calibri" w:hAnsi="Calibri"/>
                <w:b/>
                <w:color w:val="FFFFFF"/>
                <w:sz w:val="20"/>
              </w:rPr>
              <w:t>Feature Evaluated</w:t>
            </w:r>
          </w:p>
        </w:tc>
        <w:tc>
          <w:tcPr>
            <w:tcW w:type="dxa" w:w="2880"/>
            <w:shd w:fill="0A2540"/>
            <w:tcMar>
              <w:top w:w="120" w:type="dxa"/>
              <w:bottom w:w="120" w:type="dxa"/>
              <w:left w:w="140" w:type="dxa"/>
              <w:right w:w="140" w:type="dxa"/>
            </w:tcMar>
            <w:tcBorders>
              <w:top w:val="none"/>
              <w:left w:val="none"/>
              <w:bottom w:val="single" w:sz="12" w:space="0" w:color="0284C7"/>
              <w:right w:val="none"/>
              <w:insideH w:val="none"/>
              <w:insideV w:val="none"/>
            </w:tcBorders>
          </w:tcPr>
          <w:p>
            <w:pPr>
              <w:jc w:val="left"/>
            </w:pPr>
            <w:r>
              <w:rPr>
                <w:rFonts w:ascii="Calibri" w:hAnsi="Calibri"/>
                <w:b/>
                <w:color w:val="FFFFFF"/>
                <w:sz w:val="20"/>
              </w:rPr>
              <w:t>Test Scenario &amp; Input</w:t>
            </w:r>
          </w:p>
        </w:tc>
        <w:tc>
          <w:tcPr>
            <w:tcW w:type="dxa" w:w="2592"/>
            <w:shd w:fill="0A2540"/>
            <w:tcMar>
              <w:top w:w="120" w:type="dxa"/>
              <w:bottom w:w="120" w:type="dxa"/>
              <w:left w:w="140" w:type="dxa"/>
              <w:right w:w="140" w:type="dxa"/>
            </w:tcMar>
            <w:tcBorders>
              <w:top w:val="none"/>
              <w:left w:val="none"/>
              <w:bottom w:val="single" w:sz="12" w:space="0" w:color="0284C7"/>
              <w:right w:val="none"/>
              <w:insideH w:val="none"/>
              <w:insideV w:val="none"/>
            </w:tcBorders>
          </w:tcPr>
          <w:p>
            <w:pPr>
              <w:jc w:val="left"/>
            </w:pPr>
            <w:r>
              <w:rPr>
                <w:rFonts w:ascii="Calibri" w:hAnsi="Calibri"/>
                <w:b/>
                <w:color w:val="FFFFFF"/>
                <w:sz w:val="20"/>
              </w:rPr>
              <w:t>Observed System Behavior</w:t>
            </w:r>
          </w:p>
        </w:tc>
        <w:tc>
          <w:tcPr>
            <w:tcW w:type="dxa" w:w="1728"/>
            <w:shd w:fill="0A2540"/>
            <w:tcMar>
              <w:top w:w="120" w:type="dxa"/>
              <w:bottom w:w="120" w:type="dxa"/>
              <w:left w:w="140" w:type="dxa"/>
              <w:right w:w="140" w:type="dxa"/>
            </w:tcMar>
            <w:tcBorders>
              <w:top w:val="none"/>
              <w:left w:val="none"/>
              <w:bottom w:val="single" w:sz="12" w:space="0" w:color="0284C7"/>
              <w:right w:val="none"/>
              <w:insideH w:val="none"/>
              <w:insideV w:val="none"/>
            </w:tcBorders>
          </w:tcPr>
          <w:p>
            <w:pPr>
              <w:jc w:val="left"/>
            </w:pPr>
            <w:r>
              <w:rPr>
                <w:rFonts w:ascii="Calibri" w:hAnsi="Calibri"/>
                <w:b/>
                <w:color w:val="FFFFFF"/>
                <w:sz w:val="20"/>
              </w:rPr>
              <w:t>Audit Verdict</w:t>
            </w:r>
          </w:p>
        </w:tc>
      </w:tr>
      <w:tr>
        <w:tc>
          <w:tcPr>
            <w:tcW w:type="dxa" w:w="244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b/>
                <w:color w:val="0F172A"/>
                <w:sz w:val="19"/>
              </w:rPr>
              <w:t>Authentication Handshake</w:t>
            </w:r>
          </w:p>
        </w:tc>
        <w:tc>
          <w:tcPr>
            <w:tcW w:type="dxa" w:w="288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Login with institutional email @ug.sharda.ac.in</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Verified Google OAuth UID, issued signed RS256 JWT, redirected to /dashboard</w:t>
            </w:r>
          </w:p>
        </w:tc>
        <w:tc>
          <w:tcPr>
            <w:tcW w:type="dxa" w:w="172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PASSED ✅</w:t>
            </w:r>
          </w:p>
        </w:tc>
      </w:tr>
      <w:tr>
        <w:tc>
          <w:tcPr>
            <w:tcW w:type="dxa" w:w="244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b/>
                <w:color w:val="0F172A"/>
                <w:sz w:val="19"/>
              </w:rPr>
              <w:t>Navigation Redundancy Fix</w:t>
            </w:r>
          </w:p>
        </w:tc>
        <w:tc>
          <w:tcPr>
            <w:tcW w:type="dxa" w:w="288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Verify sidebar items vs Top Navbar in student layout</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All 7 top navbar items removed from left sidebar; zero route duplication</w:t>
            </w:r>
          </w:p>
        </w:tc>
        <w:tc>
          <w:tcPr>
            <w:tcW w:type="dxa" w:w="172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PASSED ✅</w:t>
            </w:r>
          </w:p>
        </w:tc>
      </w:tr>
      <w:tr>
        <w:tc>
          <w:tcPr>
            <w:tcW w:type="dxa" w:w="244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b/>
                <w:color w:val="0F172A"/>
                <w:sz w:val="19"/>
              </w:rPr>
              <w:t>E-Zone Timetable Sync</w:t>
            </w:r>
          </w:p>
        </w:tc>
        <w:tc>
          <w:tcPr>
            <w:tcW w:type="dxa" w:w="288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System ID: 2023329421 with Webmail 2FA OTP</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Extracted 12 weekly course periods, Room 206 Block 3, Attendance: 84.6%</w:t>
            </w:r>
          </w:p>
        </w:tc>
        <w:tc>
          <w:tcPr>
            <w:tcW w:type="dxa" w:w="172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PASSED ✅</w:t>
            </w:r>
          </w:p>
        </w:tc>
      </w:tr>
      <w:tr>
        <w:tc>
          <w:tcPr>
            <w:tcW w:type="dxa" w:w="244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b/>
                <w:color w:val="0F172A"/>
                <w:sz w:val="19"/>
              </w:rPr>
              <w:t>Campus AI Advising</w:t>
            </w:r>
          </w:p>
        </w:tc>
        <w:tc>
          <w:tcPr>
            <w:tcW w:type="dxa" w:w="288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Query: 'Where is my Research Methodology class?'</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Retrieved active timetable: answered Room 206 Block 3 at 09:50 AM with Dr. Batri K</w:t>
            </w:r>
          </w:p>
        </w:tc>
        <w:tc>
          <w:tcPr>
            <w:tcW w:type="dxa" w:w="172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PASSED ✅</w:t>
            </w:r>
          </w:p>
        </w:tc>
      </w:tr>
      <w:tr>
        <w:tc>
          <w:tcPr>
            <w:tcW w:type="dxa" w:w="244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b/>
                <w:color w:val="0F172A"/>
                <w:sz w:val="19"/>
              </w:rPr>
              <w:t>Overlap Meeting Planner</w:t>
            </w:r>
          </w:p>
        </w:tc>
        <w:tc>
          <w:tcPr>
            <w:tcW w:type="dxa" w:w="288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Host: Aashish Rajput (2023329421) + Peer: Vishal Sharma (2024427058)</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Computed 54-slot bitmask intersection: identified 9 mutual free periods across Mon-Sat</w:t>
            </w:r>
          </w:p>
        </w:tc>
        <w:tc>
          <w:tcPr>
            <w:tcW w:type="dxa" w:w="172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PASSED ✅</w:t>
            </w:r>
          </w:p>
        </w:tc>
      </w:tr>
      <w:tr>
        <w:tc>
          <w:tcPr>
            <w:tcW w:type="dxa" w:w="244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b/>
                <w:color w:val="0F172A"/>
                <w:sz w:val="19"/>
              </w:rPr>
              <w:t>Research Wing 404 Fix</w:t>
            </w:r>
          </w:p>
        </w:tc>
        <w:tc>
          <w:tcPr>
            <w:tcW w:type="dxa" w:w="288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Direct URL navigation to /dashboard/student/research</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Fixed .vercelignore directory anchoring; page loads 5-stage synthesis UI smoothly</w:t>
            </w:r>
          </w:p>
        </w:tc>
        <w:tc>
          <w:tcPr>
            <w:tcW w:type="dxa" w:w="172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PASSED ✅</w:t>
            </w:r>
          </w:p>
        </w:tc>
      </w:tr>
      <w:tr>
        <w:tc>
          <w:tcPr>
            <w:tcW w:type="dxa" w:w="244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b/>
                <w:color w:val="0F172A"/>
                <w:sz w:val="19"/>
              </w:rPr>
              <w:t>Dual Export Compilation</w:t>
            </w:r>
          </w:p>
        </w:tc>
        <w:tc>
          <w:tcPr>
            <w:tcW w:type="dxa" w:w="288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Export academic draft into PDF and DOCX formats</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Generated publication-ready PDF and fully editable Microsoft Word .docx files</w:t>
            </w:r>
          </w:p>
        </w:tc>
        <w:tc>
          <w:tcPr>
            <w:tcW w:type="dxa" w:w="172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line="276" w:lineRule="auto"/>
              <w:jc w:val="left"/>
            </w:pPr>
            <w:r>
              <w:rPr>
                <w:rFonts w:ascii="Calibri" w:hAnsi="Calibri"/>
                <w:color w:val="334155"/>
                <w:sz w:val="19"/>
              </w:rPr>
              <w:t>PASSED ✅</w:t>
            </w:r>
          </w:p>
        </w:tc>
      </w:tr>
    </w:tbl>
    <w:p>
      <w:pPr>
        <w:spacing w:after="120"/>
      </w:pPr>
    </w:p>
    <w:p>
      <w:pPr>
        <w:pStyle w:val="Heading1"/>
        <w:keepNext/>
        <w:spacing w:before="280" w:after="80"/>
      </w:pPr>
      <w:r>
        <w:rPr>
          <w:rFonts w:ascii="Calibri" w:hAnsi="Calibri"/>
          <w:b/>
          <w:color w:val="0A2540"/>
          <w:sz w:val="36"/>
        </w:rPr>
        <w:t>12. Conclusion &amp; Future Roadmap</w:t>
      </w:r>
    </w:p>
    <w:p>
      <w:pPr>
        <w:spacing w:after="100" w:line="276" w:lineRule="auto"/>
      </w:pPr>
      <w:r>
        <w:rPr>
          <w:rFonts w:ascii="Calibri" w:hAnsi="Calibri"/>
          <w:b/>
          <w:color w:val="0F172A"/>
          <w:sz w:val="21"/>
        </w:rPr>
        <w:t xml:space="preserve">Project Significance: </w:t>
      </w:r>
      <w:r>
        <w:rPr>
          <w:rFonts w:ascii="Calibri" w:hAnsi="Calibri"/>
          <w:color w:val="334155"/>
          <w:sz w:val="21"/>
        </w:rPr>
        <w:t>Academic Universe represents a significant leap forward in campus digitization. By automating the friction points of institutional life—from schedule extraction to peer meeting coordination and scientific publication—AU provides students with an autonomous, intelligent operating system tailored to engineering rigor.</w:t>
      </w:r>
    </w:p>
    <w:p>
      <w:pPr>
        <w:spacing w:after="100" w:line="276" w:lineRule="auto"/>
      </w:pPr>
      <w:r>
        <w:rPr>
          <w:rFonts w:ascii="Calibri" w:hAnsi="Calibri"/>
          <w:b/>
          <w:color w:val="0F172A"/>
          <w:sz w:val="21"/>
        </w:rPr>
        <w:t xml:space="preserve">Future Horizons: </w:t>
      </w:r>
      <w:r>
        <w:rPr>
          <w:rFonts w:ascii="Calibri" w:hAnsi="Calibri"/>
          <w:color w:val="334155"/>
          <w:sz w:val="21"/>
        </w:rPr>
        <w:t>Future releases will incorporate IoT beacon-based automatic classroom presence detection, integration with institutional LMS gradebooks, native iOS and Android applications built on React Native, and decentralized academic credential verification using tamper-evident digital signatures.</w:t>
      </w:r>
    </w:p>
    <w:p>
      <w:pPr>
        <w:spacing w:before="480"/>
      </w:pPr>
    </w:p>
    <w:tbl>
      <w:tblPr>
        <w:tblW w:type="auto" w:w="0"/>
        <w:jc w:val="center"/>
        <w:tblLayout w:type="fixed"/>
        <w:tblLook w:firstColumn="1" w:firstRow="1" w:lastColumn="0" w:lastRow="0" w:noHBand="0" w:noVBand="1" w:val="04A0"/>
      </w:tblPr>
      <w:tblGrid>
        <w:gridCol w:w="4824"/>
        <w:gridCol w:w="4824"/>
      </w:tblGrid>
      <w:tr>
        <w:tc>
          <w:tcPr>
            <w:tcW w:type="dxa" w:w="4752"/>
            <w:tcBorders>
              <w:top w:val="none"/>
              <w:left w:val="none"/>
              <w:bottom w:val="single" w:sz="8" w:space="0" w:color="0A2540"/>
              <w:right w:val="none"/>
              <w:insideH w:val="none"/>
              <w:insideV w:val="none"/>
            </w:tcBorders>
          </w:tcPr>
          <w:p>
            <w:r>
              <w:rPr>
                <w:b/>
                <w:sz w:val="22"/>
              </w:rPr>
              <w:t>Aashish Rajput</w:t>
              <w:br/>
            </w:r>
            <w:r>
              <w:rPr>
                <w:color w:val="64748B"/>
                <w:sz w:val="19"/>
              </w:rPr>
              <w:t>Lead Developer &amp; System Architect</w:t>
              <w:br/>
              <w:t>Student System ID: 2023329421</w:t>
            </w:r>
          </w:p>
        </w:tc>
        <w:tc>
          <w:tcPr>
            <w:tcW w:type="dxa" w:w="4896"/>
            <w:tcBorders>
              <w:top w:val="none"/>
              <w:left w:val="none"/>
              <w:bottom w:val="single" w:sz="8" w:space="0" w:color="0A2540"/>
              <w:right w:val="none"/>
              <w:insideH w:val="none"/>
              <w:insideV w:val="none"/>
            </w:tcBorders>
          </w:tcPr>
          <w:p>
            <w:r>
              <w:rPr>
                <w:b/>
                <w:sz w:val="22"/>
              </w:rPr>
              <w:t>Department of Computer Science &amp; Engineering</w:t>
              <w:br/>
            </w:r>
            <w:r>
              <w:rPr>
                <w:color w:val="64748B"/>
                <w:sz w:val="19"/>
              </w:rPr>
              <w:t>School of Engineering and Technology (SET)</w:t>
              <w:br/>
              <w:t>Sharda University, Greater Noida, UP, India</w:t>
            </w:r>
          </w:p>
        </w:tc>
      </w:tr>
      <w:tr>
        <w:tc>
          <w:tcPr>
            <w:tcW w:type="dxa" w:w="4824"/>
          </w:tcPr>
          <w:p/>
        </w:tc>
        <w:tc>
          <w:tcPr>
            <w:tcW w:type="dxa" w:w="4824"/>
          </w:tcPr>
          <w:p/>
        </w:tc>
      </w:tr>
    </w:tbl>
    <w:sectPr w:rsidR="00FC693F" w:rsidRPr="0006063C" w:rsidSect="00034616">
      <w:headerReference w:type="default" r:id="rId9"/>
      <w:footerReference w:type="default" r:id="rId10"/>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94A3B8"/>
        <w:sz w:val="17"/>
      </w:rPr>
      <w:t>Confidential &amp; Proprietary • Sharda University CSE • Lead: Aashish Rajput (2023329421)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ACADEMIC UNIVERSE (AU) — SYSTEM &amp; ENGINEERING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