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0" w:line="259" w:lineRule="auto"/>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spacing w:after="70" w:before="0" w:line="259" w:lineRule="auto"/>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0"/>
          <w:szCs w:val="24"/>
          <w:rtl w:val="0"/>
        </w:rPr>
        <w:t xml:space="preserve">Aashish Rajput</w:t>
      </w:r>
      <w:r w:rsidDel="00000000" w:rsidR="00000000" w:rsidRPr="00000000">
        <w:rPr>
          <w:rFonts w:ascii="Times New Roman" w:cs="Times New Roman" w:eastAsia="Times New Roman" w:hAnsi="Times New Roman"/>
          <w:b w:val="1"/>
          <w:bCs w:val="1"/>
          <w:sz w:val="20"/>
          <w:szCs w:val="24"/>
          <w:vertAlign w:val="superscript"/>
          <w:rtl w:val="0"/>
        </w:rPr>
        <w:t xml:space="preserve">1</w:t>
      </w:r>
      <w:r w:rsidDel="00000000" w:rsidR="00000000" w:rsidRPr="00000000">
        <w:rPr>
          <w:rFonts w:ascii="Times New Roman" w:cs="Times New Roman" w:eastAsia="Times New Roman" w:hAnsi="Times New Roman"/>
          <w:b w:val="1"/>
          <w:bCs w:val="1"/>
          <w:sz w:val="20"/>
          <w:szCs w:val="24"/>
          <w:rtl w:val="0"/>
        </w:rPr>
        <w:t xml:space="preserve">, Kushagra Singh Bhadauria</w:t>
      </w:r>
      <w:r w:rsidDel="00000000" w:rsidR="00000000" w:rsidRPr="00000000">
        <w:rPr>
          <w:rFonts w:ascii="Times New Roman" w:cs="Times New Roman" w:eastAsia="Times New Roman" w:hAnsi="Times New Roman"/>
          <w:b w:val="1"/>
          <w:bCs w:val="1"/>
          <w:sz w:val="20"/>
          <w:szCs w:val="24"/>
          <w:vertAlign w:val="superscript"/>
          <w:rtl w:val="0"/>
        </w:rPr>
        <w:t xml:space="preserve">2</w:t>
      </w:r>
      <w:r w:rsidDel="00000000" w:rsidR="00000000" w:rsidRPr="00000000">
        <w:rPr>
          <w:rFonts w:ascii="Times New Roman" w:cs="Times New Roman" w:eastAsia="Times New Roman" w:hAnsi="Times New Roman"/>
          <w:b w:val="1"/>
          <w:bCs w:val="1"/>
          <w:sz w:val="20"/>
          <w:szCs w:val="24"/>
          <w:rtl w:val="0"/>
        </w:rPr>
        <w:t xml:space="preserve">, and Avdesh Kumar Sah</w:t>
      </w:r>
      <w:r w:rsidDel="00000000" w:rsidR="00000000" w:rsidRPr="00000000">
        <w:rPr>
          <w:rFonts w:ascii="Times New Roman" w:cs="Times New Roman" w:eastAsia="Times New Roman" w:hAnsi="Times New Roman"/>
          <w:b w:val="1"/>
          <w:bCs w:val="1"/>
          <w:sz w:val="20"/>
          <w:szCs w:val="24"/>
          <w:vertAlign w:val="superscript"/>
          <w:rtl w:val="0"/>
        </w:rPr>
        <w:t xml:space="preserve">3</w:t>
      </w:r>
      <w:r w:rsidDel="00000000" w:rsidR="00000000" w:rsidRPr="00000000">
        <w:rPr>
          <w:rFonts w:ascii="Times New Roman" w:hAnsi="Times New Roman"/>
          <w:sz w:val="20"/>
          <w:rtl w:val="0"/>
        </w:rPr>
      </w:r>
    </w:p>
    <w:p w:rsidR="00000000" w:rsidDel="00000000" w:rsidP="00000000" w:rsidRDefault="00000000" w:rsidRPr="00000000" w14:paraId="00000003">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vertAlign w:val="superscript"/>
          <w:rtl w:val="0"/>
        </w:rPr>
        <w:t xml:space="preserve">123</w:t>
      </w:r>
      <w:r w:rsidDel="00000000" w:rsidR="00000000" w:rsidRPr="00000000">
        <w:rPr>
          <w:rFonts w:ascii="Times New Roman" w:cs="Times New Roman" w:eastAsia="Times New Roman" w:hAnsi="Times New Roman"/>
          <w:sz w:val="20"/>
          <w:rtl w:val="0"/>
        </w:rPr>
        <w:t xml:space="preserve"> Department of Computer Science and Engineering, Sharda University, Greater Noida, Uttar Pradesh, India</w:t>
      </w:r>
    </w:p>
    <w:p w:rsidR="00000000" w:rsidDel="00000000" w:rsidP="00000000" w:rsidRDefault="00000000" w:rsidRPr="00000000" w14:paraId="00000004">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vertAlign w:val="superscript"/>
          <w:rtl w:val="0"/>
        </w:rPr>
        <w:t xml:space="preserve">1</w:t>
      </w:r>
      <w:r w:rsidDel="00000000" w:rsidR="00000000" w:rsidRPr="00000000">
        <w:rPr>
          <w:rFonts w:ascii="Times New Roman" w:cs="Times New Roman" w:eastAsia="Times New Roman" w:hAnsi="Times New Roman"/>
          <w:sz w:val="20"/>
          <w:rtl w:val="0"/>
        </w:rPr>
        <w:t xml:space="preserve"> aashishrajput9838@gmail.com, </w:t>
      </w:r>
      <w:r w:rsidDel="00000000" w:rsidR="00000000" w:rsidRPr="00000000">
        <w:rPr>
          <w:rFonts w:ascii="Times New Roman" w:cs="Times New Roman" w:eastAsia="Times New Roman" w:hAnsi="Times New Roman"/>
          <w:sz w:val="20"/>
          <w:vertAlign w:val="superscript"/>
          <w:rtl w:val="0"/>
        </w:rPr>
        <w:t xml:space="preserve">2</w:t>
      </w:r>
      <w:r w:rsidDel="00000000" w:rsidR="00000000" w:rsidRPr="00000000">
        <w:rPr>
          <w:rFonts w:ascii="Times New Roman" w:cs="Times New Roman" w:eastAsia="Times New Roman" w:hAnsi="Times New Roman"/>
          <w:sz w:val="20"/>
          <w:rtl w:val="0"/>
        </w:rPr>
        <w:t xml:space="preserve"> codykush2k7@gmail.com, </w:t>
      </w:r>
    </w:p>
    <w:p w:rsidR="00000000" w:rsidDel="00000000" w:rsidP="00000000" w:rsidRDefault="00000000" w:rsidRPr="00000000" w14:paraId="00000005">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vertAlign w:val="superscript"/>
          <w:rtl w:val="0"/>
        </w:rPr>
        <w:t xml:space="preserve">3 </w:t>
      </w:r>
      <w:r w:rsidDel="00000000" w:rsidR="00000000" w:rsidRPr="00000000">
        <w:rPr>
          <w:rFonts w:ascii="Times New Roman" w:cs="Times New Roman" w:eastAsia="Times New Roman" w:hAnsi="Times New Roman"/>
          <w:sz w:val="20"/>
          <w:rtl w:val="0"/>
        </w:rPr>
        <w:t xml:space="preserve">avdeshsah338@gmail.com</w:t>
      </w:r>
    </w:p>
    <w:p w:rsidR="00000000" w:rsidDel="00000000" w:rsidP="00000000" w:rsidRDefault="00000000" w:rsidRPr="00000000" w14:paraId="0000000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4"/>
          <w:rtl w:val="0"/>
        </w:rPr>
        <w:t xml:space="preserve">Abstract</w:t>
      </w:r>
      <w:r w:rsidDel="00000000" w:rsidR="00000000" w:rsidRPr="00000000">
        <w:rPr>
          <w:rFonts w:ascii="Times New Roman" w:cs="Times New Roman" w:eastAsia="Times New Roman" w:hAnsi="Times New Roman"/>
          <w:sz w:val="20"/>
          <w:rtl w:val="0"/>
        </w:rPr>
        <w:t xml:space="preserve">—</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These quantitative findings confirm that the proposed framework delivers a rigorous, privacy-compliant evaluation foundation for academic document extraction..</w:t>
      </w:r>
    </w:p>
    <w:p w:rsidR="00000000" w:rsidDel="00000000" w:rsidP="00000000" w:rsidRDefault="00000000" w:rsidRPr="00000000" w14:paraId="0000000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bCs w:val="1"/>
          <w:sz w:val="20"/>
          <w:szCs w:val="24"/>
          <w:rtl w:val="0"/>
        </w:rPr>
        <w:t xml:space="preserve">Keywords: </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pPr>
        <w:spacing w:after="56" w:before="0" w:line="252" w:lineRule="auto"/>
        <w:jc w:val="both"/>
      </w:pPr>
      <w:r>
        <w:rPr>
          <w:rFonts w:ascii="Times New Roman" w:hAnsi="Times New Roman"/>
          <w:sz w:val="20"/>
        </w:rPr>
        <w:t>Document Intelligence Systems (DIS) are increasingly deployed to automate the extraction, parsing, and verification of semi-structured administrative credentials in higher education, such as degree certificates, semester marksheets, official transcripts, and student identity cards [1]. Recent advances in Large Language Models (LLMs) and Vision-Language Models (VLMs) have made automated document understanding increasingly practical across complex forms and dense visual layouts [2].</w:t>
      </w:r>
    </w:p>
    <w:p>
      <w:pPr>
        <w:spacing w:after="56" w:before="0" w:line="252" w:lineRule="auto"/>
        <w:jc w:val="both"/>
      </w:pPr>
      <w:r>
        <w:rPr>
          <w:rFonts w:ascii="Times New Roman" w:hAnsi="Times New Roman"/>
          <w:sz w:val="20"/>
        </w:rPr>
        <w:t>However, benchmarking document extraction models on academic records presents critical methodological obstacles that existing benchmarks do not adequately resolve. First, statutory privacy and data-protection regulations—specifically FERPA in the United States and GDPR in the European Union—impose severe legal constraints on the public dissemination, sharing, and processing of authentic student records containing personally identifiable information (PII) [3]. Second, academic credentials exhibit extreme structural and typographic heterogeneity, ranging from ornate seal-bearing certificates to dense multi-column tabular marksheets with credit arrays and numeric grades [4]. Third, conventional document evaluation protocols rely on unnormalized exact string matching that severely penalizes benign formatting differences (e.g., date notations, abbreviation expansions, and identifier punctuations), substantially distorting extraction fidelity [5]. Finally, standard scalar metrics such as Character Error Rate (CER) [6] conflate disparate failure modes, underscoring the acute need for structured diagnostic error taxonomies [7] evaluated across controlled physical and optical degradation profiles [8].</w:t>
      </w:r>
    </w:p>
    <w:p>
      <w:pPr>
        <w:spacing w:after="56" w:before="0" w:line="252" w:lineRule="auto"/>
        <w:jc w:val="both"/>
      </w:pPr>
      <w:r>
        <w:rPr>
          <w:rFonts w:ascii="Times New Roman" w:hAnsi="Times New Roman"/>
          <w:sz w:val="20"/>
        </w:rPr>
        <w:t>To address these interrelated challenges, this study establishes a reproducible, privacy-preserving academic document intelligence and evaluation framework that eliminates the need for authentic student records [9]. The framework couples seed-deterministic synthetic credential generation with controlled multi-profile optical degradation, a six-stage semantic canonical normalizer, an automated nine-class diagnostic OCR error taxonomy, and a decoupled, strictly read-only evaluation engine. The key research contributions of this work are summarized as follows:</w:t>
      </w:r>
    </w:p>
    <w:p>
      <w:pPr>
        <w:spacing w:after="56" w:before="0" w:line="252" w:lineRule="auto"/>
        <w:jc w:val="both"/>
      </w:pPr>
      <w:r>
        <w:rPr>
          <w:rFonts w:ascii="Times New Roman" w:hAnsi="Times New Roman"/>
          <w:sz w:val="20"/>
        </w:rPr>
        <w:t>1. Synthetic Academic Credential Benchmark Generator (ADBG v1.0): We design and implement a seed-deterministic synthetic generation engine that compiles Typst vector templates to produce realistic certificates, marksheets, and identity cards with pixel-exact ground-truth annotations, enabling fully reproducible benchmark evaluation without authentic student PII.</w:t>
      </w:r>
    </w:p>
    <w:p>
      <w:pPr>
        <w:spacing w:after="56" w:before="0" w:line="252" w:lineRule="auto"/>
        <w:jc w:val="both"/>
      </w:pPr>
      <w:r>
        <w:rPr>
          <w:rFonts w:ascii="Times New Roman" w:hAnsi="Times New Roman"/>
          <w:sz w:val="20"/>
        </w:rPr>
        <w:t>2. Decoupled AU DIC Evaluation Subsystem: We establish a strictly read-only benchmark execution architecture (isReadOnly: true) that conducts structured document intelligence evaluations, raw model inference parsing, and ground-truth pairing without modifying underlying production data stores.</w:t>
      </w:r>
    </w:p>
    <w:p>
      <w:pPr>
        <w:spacing w:after="56" w:before="0" w:line="252" w:lineRule="auto"/>
        <w:jc w:val="both"/>
      </w:pPr>
      <w:r>
        <w:rPr>
          <w:rFonts w:ascii="Times New Roman" w:hAnsi="Times New Roman"/>
          <w:sz w:val="20"/>
        </w:rPr>
        <w:t>3. Six-Stage Semantic Canonical Normalization: We introduce a multi-stage domain-specific normalization layer (CanonicalNormalizer) that standardizes dates, identifiers, numerical marks, degree titles, and institutional aliases prior to metric calculation, insulating evaluation metrics from superficial formatting discrepancies.</w:t>
      </w:r>
    </w:p>
    <w:p>
      <w:pPr>
        <w:spacing w:after="56" w:before="0" w:line="252" w:lineRule="auto"/>
        <w:jc w:val="both"/>
      </w:pPr>
      <w:r>
        <w:rPr>
          <w:rFonts w:ascii="Times New Roman" w:hAnsi="Times New Roman"/>
          <w:sz w:val="20"/>
        </w:rPr>
        <w:t>4. Nine-Class Structured OCR Error Taxonomy: We develop an automated diagnostic classification module that categorizes field-level extraction failures into nine mutually exclusive error classes, replacing uninformative aggregate scalar metrics with root-cause diagnostic insights.</w:t>
      </w:r>
    </w:p>
    <w:p>
      <w:pPr>
        <w:spacing w:after="56" w:before="0" w:line="252" w:lineRule="auto"/>
        <w:jc w:val="both"/>
      </w:pPr>
      <w:r>
        <w:rPr>
          <w:rFonts w:ascii="Times New Roman" w:hAnsi="Times New Roman"/>
          <w:sz w:val="20"/>
        </w:rPr>
        <w:t>5. Controlled Optical Quality-Profile Robustness Framework: We formalize a systematic evaluation matrix across four standardized optical quality profiles (clean, scanner_copy, mobile_camera, and rotated_90) to quantify model extraction decay under controlled physical and optical capture distortions.</w:t>
      </w:r>
    </w:p>
    <w:p>
      <w:pPr>
        <w:spacing w:after="56" w:before="0" w:line="252" w:lineRule="auto"/>
        <w:jc w:val="both"/>
      </w:pPr>
      <w:r>
        <w:rPr>
          <w:rFonts w:ascii="Times New Roman" w:hAnsi="Times New Roman"/>
          <w:sz w:val="20"/>
        </w:rP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empirical results, statistical analyses, ablation findings, error-taxonomy distributions, and classification benchmarks. Section 6 concludes the paper, and Section 7 outlines future work.</w:t>
      </w:r>
    </w:p>
    <w:p w:rsidR="00000000" w:rsidDel="00000000" w:rsidP="00000000" w:rsidRDefault="00000000" w:rsidRPr="00000000" w14:paraId="0000000F">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pPr>
        <w:spacing w:before="70" w:after="30" w:line="252" w:lineRule="auto"/>
        <w:jc w:val="both"/>
      </w:pPr>
      <w:r>
        <w:rPr>
          <w:rFonts w:ascii="Times New Roman" w:hAnsi="Times New Roman"/>
          <w:b/>
          <w:sz w:val="20"/>
        </w:rPr>
        <w:t>2.1 Evolution of Document AI and Foundation Models</w:t>
      </w:r>
    </w:p>
    <w:p>
      <w:pPr>
        <w:spacing w:before="0" w:after="5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SROIE [10], CORD [11], FUNSD [12], and DocVQA [13]—to multimodal transformer architectures such as LayoutLMv3 [14], TrOCR [15], and OCR-free models like Donut [16]. Recent 2025–2026 developments have established advanced Large Multimodal Models (LMMs) and Vision-Language Models (VLMs), such as mPLUG-DocOwl2 [17], Qwen2.5-VL [18], TextMonkey [19], LLaVA-NeXT-Doc [20], DocFormers 2.0 [21], GOT-OCR2.0 [22], and MinerU2.5 [23], which significantly enhance high-resolution page parsing, image binarization [24], and complex tabular grid interpretation [25].</w:t>
      </w:r>
    </w:p>
    <w:p>
      <w:pPr>
        <w:spacing w:before="70" w:after="30" w:line="252" w:lineRule="auto"/>
        <w:jc w:val="both"/>
      </w:pPr>
      <w:r>
        <w:rPr>
          <w:rFonts w:ascii="Times New Roman" w:hAnsi="Times New Roman"/>
          <w:b/>
          <w:sz w:val="20"/>
        </w:rPr>
        <w:t>2.2 Statutory Privacy Barriers in Academic Credential Benchmarking</w:t>
      </w:r>
    </w:p>
    <w:p>
      <w:pPr>
        <w:spacing w:before="0" w:after="50" w:line="252" w:lineRule="auto"/>
        <w:jc w:val="both"/>
      </w:pPr>
      <w:r>
        <w:rPr>
          <w:rFonts w:ascii="Times New Roman" w:hAnsi="Times New Roman"/>
          <w:sz w:val="20"/>
        </w:rPr>
        <w:t>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and data-protection frameworks—specifically FERPA in the United States and GDPR in the European Union—impose strict regulatory constraints on the public dissemination and processing of authentic educational records containing student PII [26]. Consequently, constructing public benchmarks from authentic institutional records remains legally restricted.</w:t>
      </w:r>
    </w:p>
    <w:p>
      <w:pPr>
        <w:spacing w:before="70" w:after="30" w:line="252" w:lineRule="auto"/>
        <w:jc w:val="both"/>
      </w:pPr>
      <w:r>
        <w:rPr>
          <w:rFonts w:ascii="Times New Roman" w:hAnsi="Times New Roman"/>
          <w:b/>
          <w:sz w:val="20"/>
        </w:rPr>
        <w:t>2.3 Semantic Normalization, Error Taxonomies, and Optical Robustness</w:t>
      </w:r>
    </w:p>
    <w:p>
      <w:pPr>
        <w:spacing w:before="0" w:after="50" w:line="252" w:lineRule="auto"/>
        <w:jc w:val="both"/>
      </w:pPr>
      <w:r>
        <w:rPr>
          <w:rFonts w:ascii="Times New Roman" w:hAnsi="Times New Roman"/>
          <w:sz w:val="20"/>
        </w:rPr>
        <w:t>Second, conventional document evaluation protocols rely on raw string matching that severely penalize benign formatting variations, demonstrating the critical need for semantic canonical normalization [27]. Third, aggregate scalar metrics such as Character Error Rate (CER) and Word Error Rate (WER) [28] conflate disparate operational failure modes, underscoring the necessity of structured diagnostic error taxonomies [29]. Finally, model robustness is rarely systematically evaluated across rigorous physical optical degradation matrices [30].</w:t>
      </w:r>
    </w:p>
    <w:p>
      <w:pPr>
        <w:spacing w:before="70" w:after="30" w:line="252" w:lineRule="auto"/>
        <w:jc w:val="both"/>
      </w:pPr>
      <w:r>
        <w:rPr>
          <w:rFonts w:ascii="Times New Roman" w:hAnsi="Times New Roman"/>
          <w:b/>
          <w:sz w:val="20"/>
        </w:rPr>
        <w:t>2.4 Identified Research Gap and Framework Motivation</w:t>
      </w:r>
    </w:p>
    <w:p>
      <w:pPr>
        <w:spacing w:before="0" w:after="50" w:line="252" w:lineRule="auto"/>
        <w:jc w:val="both"/>
      </w:pPr>
      <w:r>
        <w:rPr>
          <w:rFonts w:ascii="Times New Roman" w:hAnsi="Times New Roman"/>
          <w:sz w:val="20"/>
        </w:rPr>
        <w:t>While the existing literature provides strong individual advancements in multimodal architectures and synthetic data synthesis,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[31]. Table 1 summarizes the literature landscape, comparing related document AI research and highlighting our strategy.</w:t>
      </w:r>
    </w:p>
    <w:p w:rsidR="00000000" w:rsidDel="00000000" w:rsidP="00000000" w:rsidRDefault="00000000" w:rsidRPr="00000000" w14:paraId="00000011">
      <w:pPr>
        <w:spacing w:after="70" w:before="0" w:line="259" w:lineRule="auto"/>
        <w:ind w:left="0" w:firstLine="0"/>
        <w:jc w:val="both"/>
        <w:rPr/>
      </w:pPr>
      <w:r w:rsidDel="00000000" w:rsidR="00000000" w:rsidRPr="00000000">
        <w:rPr>
          <w:rFonts w:ascii="Times New Roman" w:hAnsi="Times New Roman"/>
          <w:sz w:val="20"/>
          <w:rtl w:val="0"/>
        </w:rPr>
      </w:r>
    </w:p>
    <w:p w:rsidR="00000000" w:rsidDel="00000000" w:rsidP="00000000" w:rsidRDefault="00000000" w:rsidRPr="00000000" w14:paraId="00000012">
      <w:pPr>
        <w:spacing w:after="70" w:before="0" w:line="259" w:lineRule="auto"/>
        <w:ind w:left="0" w:firstLine="0"/>
        <w:jc w:val="both"/>
        <w:rPr/>
      </w:pPr>
      <w:r w:rsidDel="00000000" w:rsidR="00000000" w:rsidRPr="00000000">
        <w:rPr>
          <w:rFonts w:ascii="Times New Roman" w:hAnsi="Times New Roman"/>
          <w:sz w:val="20"/>
          <w:rtl w:val="0"/>
        </w:rPr>
      </w:r>
    </w:p>
    <w:p w:rsidR="00000000" w:rsidDel="00000000" w:rsidP="00000000" w:rsidRDefault="00000000" w:rsidRPr="00000000" w14:paraId="00000013">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TABLE1:LITERATURESURVEYOFHIGHLYRELEVANTDOCUMENTINTELLIGENCEANDACADEMIC CREDENTIALRESEARCH </w:t>
      </w:r>
    </w:p>
    <w:tbl>
      <w:tblPr>
        <w:tblStyle w:val="Table1"/>
        <w:tblW w:w="9855.0" w:type="dxa"/>
        <w:jc w:val="center"/>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75"/>
        <w:gridCol w:w="525"/>
        <w:gridCol w:w="975"/>
        <w:gridCol w:w="1035"/>
        <w:gridCol w:w="2300"/>
        <w:gridCol w:w="2325"/>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W w:w="1820" w:type="dxa"/>
            <w:tcMar>
              <w:top w:w="15" w:type="dxa"/>
              <w:bottom w:w="15" w:type="dxa"/>
              <w:left w:w="30" w:type="dxa"/>
              <w:right w:w="30" w:type="dxa"/>
            </w:tcMar>
            <w:vAlign w:val="center"/>
          </w:tcPr>
          <w:p>
            <w:pPr>
              <w:jc w:val="center"/>
            </w:pPr>
            <w:r>
              <w:rPr>
                <w:rFonts w:ascii="Times New Roman" w:hAnsi="Times New Roman"/>
                <w:sz w:val="16"/>
              </w:rPr>
              <w:t>Research Paper Title &amp; Reference</w:t>
            </w:r>
          </w:p>
        </w:tc>
        <w:tc>
          <w:tcPr>
            <w:tcBorders>
              <w:top w:color="000000" w:space="0" w:sz="7" w:val="single"/>
              <w:left w:color="000000" w:space="0" w:sz="7" w:val="single"/>
              <w:bottom w:color="000000" w:space="0" w:sz="7" w:val="single"/>
              <w:right w:color="000000" w:space="0" w:sz="7" w:val="single"/>
            </w:tcBorders>
            <w:shd w:fill="d9d9d9" w:val="clear"/>
            <w:tcW w:w="875" w:type="dxa"/>
            <w:tcMar>
              <w:top w:w="15" w:type="dxa"/>
              <w:bottom w:w="15" w:type="dxa"/>
              <w:left w:w="30" w:type="dxa"/>
              <w:right w:w="30" w:type="dxa"/>
            </w:tcMar>
            <w:vAlign w:val="center"/>
          </w:tcPr>
          <w:p>
            <w:pPr>
              <w:jc w:val="center"/>
            </w:pPr>
            <w:r>
              <w:rPr>
                <w:rFonts w:ascii="Times New Roman" w:hAnsi="Times New Roman"/>
                <w:sz w:val="16"/>
              </w:rPr>
              <w:t>Author(s)</w:t>
            </w:r>
          </w:p>
        </w:tc>
        <w:tc>
          <w:tcPr>
            <w:tcBorders>
              <w:top w:color="000000" w:space="0" w:sz="7" w:val="single"/>
              <w:left w:color="000000" w:space="0" w:sz="7" w:val="single"/>
              <w:bottom w:color="000000" w:space="0" w:sz="7" w:val="single"/>
              <w:right w:color="000000" w:space="0" w:sz="7" w:val="single"/>
            </w:tcBorders>
            <w:shd w:fill="d9d9d9" w:val="clear"/>
            <w:tcW w:w="525" w:type="dxa"/>
            <w:tcMar>
              <w:top w:w="15" w:type="dxa"/>
              <w:bottom w:w="15" w:type="dxa"/>
              <w:left w:w="30" w:type="dxa"/>
              <w:right w:w="30" w:type="dxa"/>
            </w:tcMar>
            <w:vAlign w:val="center"/>
          </w:tcPr>
          <w:p>
            <w:pPr>
              <w:jc w:val="center"/>
            </w:pPr>
            <w:r>
              <w:rPr>
                <w:rFonts w:ascii="Times New Roman" w:hAnsi="Times New Roman"/>
                <w:sz w:val="16"/>
              </w:rPr>
              <w:t>Year</w:t>
            </w:r>
          </w:p>
        </w:tc>
        <w:tc>
          <w:tcPr>
            <w:tcBorders>
              <w:top w:color="000000" w:space="0" w:sz="7" w:val="single"/>
              <w:left w:color="000000" w:space="0" w:sz="7" w:val="single"/>
              <w:bottom w:color="000000" w:space="0" w:sz="7" w:val="single"/>
              <w:right w:color="000000" w:space="0" w:sz="7" w:val="single"/>
            </w:tcBorders>
            <w:shd w:fill="d9d9d9" w:val="clear"/>
            <w:tcW w:w="975" w:type="dxa"/>
            <w:tcMar>
              <w:top w:w="15" w:type="dxa"/>
              <w:bottom w:w="15" w:type="dxa"/>
              <w:left w:w="30" w:type="dxa"/>
              <w:right w:w="30" w:type="dxa"/>
            </w:tcMar>
            <w:vAlign w:val="center"/>
          </w:tcPr>
          <w:p>
            <w:pPr>
              <w:jc w:val="center"/>
            </w:pPr>
            <w:r>
              <w:rPr>
                <w:rFonts w:ascii="Times New Roman" w:hAnsi="Times New Roman"/>
                <w:sz w:val="16"/>
              </w:rPr>
              <w:t>Technology Stack</w:t>
            </w:r>
          </w:p>
        </w:tc>
        <w:tc>
          <w:tcPr>
            <w:tcBorders>
              <w:top w:color="000000" w:space="0" w:sz="7" w:val="single"/>
              <w:left w:color="000000" w:space="0" w:sz="7" w:val="single"/>
              <w:bottom w:color="000000" w:space="0" w:sz="7" w:val="single"/>
              <w:right w:color="000000" w:space="0" w:sz="7" w:val="single"/>
            </w:tcBorders>
            <w:shd w:fill="d9d9d9" w:val="clear"/>
            <w:tcW w:w="1035" w:type="dxa"/>
            <w:tcMar>
              <w:top w:w="15" w:type="dxa"/>
              <w:bottom w:w="15" w:type="dxa"/>
              <w:left w:w="30" w:type="dxa"/>
              <w:right w:w="30" w:type="dxa"/>
            </w:tcMar>
            <w:vAlign w:val="center"/>
          </w:tcPr>
          <w:p>
            <w:pPr>
              <w:jc w:val="center"/>
            </w:pPr>
            <w:r>
              <w:rPr>
                <w:rFonts w:ascii="Times New Roman" w:hAnsi="Times New Roman"/>
                <w:sz w:val="16"/>
              </w:rPr>
              <w:t>Model Used</w:t>
            </w:r>
          </w:p>
        </w:tc>
        <w:tc>
          <w:tcPr>
            <w:tcBorders>
              <w:top w:color="000000" w:space="0" w:sz="7" w:val="single"/>
              <w:left w:color="000000" w:space="0" w:sz="7" w:val="single"/>
              <w:bottom w:color="000000" w:space="0" w:sz="7" w:val="single"/>
              <w:right w:color="000000" w:space="0" w:sz="7" w:val="single"/>
            </w:tcBorders>
            <w:shd w:fill="d9d9d9" w:val="clear"/>
            <w:tcW w:w="2300" w:type="dxa"/>
            <w:tcMar>
              <w:top w:w="15" w:type="dxa"/>
              <w:bottom w:w="15" w:type="dxa"/>
              <w:left w:w="30" w:type="dxa"/>
              <w:right w:w="30" w:type="dxa"/>
            </w:tcMar>
            <w:vAlign w:val="center"/>
          </w:tcPr>
          <w:p>
            <w:pPr>
              <w:jc w:val="center"/>
            </w:pPr>
            <w:r>
              <w:rPr>
                <w:rFonts w:ascii="Times New Roman" w:hAnsi="Times New Roman"/>
                <w:sz w:val="16"/>
              </w:rPr>
              <w:t>Reported Performance &amp; Best Results</w:t>
            </w:r>
          </w:p>
        </w:tc>
        <w:tc>
          <w:tcPr>
            <w:tcBorders>
              <w:top w:color="000000" w:space="0" w:sz="7" w:val="single"/>
              <w:left w:color="000000" w:space="0" w:sz="7" w:val="single"/>
              <w:bottom w:color="000000" w:space="0" w:sz="7" w:val="single"/>
              <w:right w:color="000000" w:space="0" w:sz="7" w:val="single"/>
            </w:tcBorders>
            <w:shd w:fill="d9d9d9" w:val="clear"/>
            <w:tcW w:w="2325" w:type="dxa"/>
            <w:tcMar>
              <w:top w:w="15" w:type="dxa"/>
              <w:bottom w:w="15" w:type="dxa"/>
              <w:left w:w="30" w:type="dxa"/>
              <w:right w:w="30" w:type="dxa"/>
            </w:tcMar>
            <w:vAlign w:val="center"/>
          </w:tcPr>
          <w:p>
            <w:pPr>
              <w:jc w:val="center"/>
            </w:pPr>
            <w:r>
              <w:rPr>
                <w:rFonts w:ascii="Times New Roman" w:hAnsi="Times New Roman"/>
                <w:sz w:val="16"/>
              </w:rPr>
              <w:t>Limitations &amp; Our Strategy</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ICDAR2019 Scanned Receipts OCR &amp; Information Extraction (SROIE)</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Z. Huang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2019</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PyTorch, Transformer-OCR</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CNN-BiLSTM-Transformer</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Prec: 94.8%, Rec: 93.5%, F1: 94.1%</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Evaluated only on commercial receipts; lacks privacy-preserving academic credential generation and diagnostic error taxonomy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FUNSD: Form Understanding in Noisy Scanned Documents</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G. Jaume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2019</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OCR+Spatial Parser</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Spatial Graph CNN</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Entity Extraction F1: 72.3%</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Static form layouts; unnormalized string matching heavily penalizes OCR variance; lacks academic transcript tabular structures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LayoutLMv3: Pre-training for Document AI with Unified Masking</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Y. Huang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2022</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PyTorch, HuggingFace</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LayoutLMv3-Base / Large</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FUNSD: 92.08%, CORD: 97.46%</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Requires costly multimodal pre-training and bounding-box supervision; lacks zero-shot synthetic academic credential evaluation suite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Donut: OCR-Free Document Understanding Transformer</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G. Kim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2022</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PyTorch, Donut Engine</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Swin Transformer + BART</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CORD F1: 84.1%, DocVQA: 67.5%</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Prone to hallucinations on degraded dense tabular marksheets; lacks multi-profile optical perturbation matrix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Florence-2: Advancing a Unified Representation for Vision Tasks</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K. Xiao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2023</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DaViT, Fast-Tokenizer</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Florence-2-Base / Large</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DocVQA: 81.2%</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Evaluated on general scene and web documents; unnormalized metrics distort credit and marksheet score evaluation .</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mPLUG-DocOwl2: High-Resolution Compressing for Multi-Page Understanding</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A. Hu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2024</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PyTorch, FlashAttention</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DocOwl2 (LLaMA-4B Backbone)</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DocVQA: 83.6%, InfoVQA: 52.4%</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High compute footprint; lacks headless zero-shot local benchmark harness with statutory privacy guarantees .</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Qwen2.5-VL: Enhancing Vision-Language Models with Dynamic Resolution</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S. Bai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2025</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vLLM, PyTorch</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Qwen2.5-VL-7B-Instruct</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DocVQA: 94.1%, OCRBench: 86.4%</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Heavy GPU memory demands; lacks structured nine-class diagnostic OCR error taxonomy and canonical normalization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Synthetic Academic Credential Generation for Document Analysis</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A. Gupta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2025</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ReportLab, Canvas</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Synthetic Template Rasterizer</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Synthetic Realism FID: 14.2</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Lacks seed-deterministic Typst vector compilation, pixel-exact ground-truth JSON bounding boxes, and multi-profile degradation .</w:t>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Semantic Canonicalization and Normalizer Evaluation in Document Analysis</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M. Alvarez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2026</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Regex, ICU Library</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Rule-based String Normalizer</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Discrepancy Reduction: 18.4%</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Restricted to Western date and address formats; lacks regional Indian marksheet, university alias, and grade normalization rules .</w:t>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W w:w="1820" w:type="dxa"/>
            <w:tcMar>
              <w:top w:w="15" w:type="dxa"/>
              <w:bottom w:w="15" w:type="dxa"/>
              <w:left w:w="30" w:type="dxa"/>
              <w:right w:w="30" w:type="dxa"/>
            </w:tcMar>
            <w:vAlign w:val="center"/>
          </w:tcPr>
          <w:p>
            <w:pPr>
              <w:jc w:val="center"/>
            </w:pPr>
            <w:r>
              <w:rPr>
                <w:rFonts w:ascii="Times New Roman" w:hAnsi="Times New Roman"/>
                <w:sz w:val="16"/>
              </w:rPr>
              <w:t>Privacy-Preserving Synthetic Document Generation for Credential Intelligence</w:t>
            </w:r>
          </w:p>
        </w:tc>
        <w:tc>
          <w:tcPr>
            <w:tcBorders>
              <w:top w:color="000000" w:space="0" w:sz="0" w:val="nil"/>
              <w:left w:color="000000" w:space="0" w:sz="7" w:val="single"/>
              <w:bottom w:color="000000" w:space="0" w:sz="7" w:val="single"/>
              <w:right w:color="000000" w:space="0" w:sz="7" w:val="single"/>
            </w:tcBorders>
            <w:tcW w:w="875" w:type="dxa"/>
            <w:tcMar>
              <w:top w:w="15" w:type="dxa"/>
              <w:bottom w:w="15" w:type="dxa"/>
              <w:left w:w="30" w:type="dxa"/>
              <w:right w:w="30" w:type="dxa"/>
            </w:tcMar>
            <w:vAlign w:val="center"/>
          </w:tcPr>
          <w:p>
            <w:pPr>
              <w:jc w:val="center"/>
            </w:pPr>
            <w:r>
              <w:rPr>
                <w:rFonts w:ascii="Times New Roman" w:hAnsi="Times New Roman"/>
                <w:sz w:val="16"/>
              </w:rPr>
              <w:t>P. Singh et al.</w:t>
            </w:r>
          </w:p>
        </w:tc>
        <w:tc>
          <w:tcPr>
            <w:tcBorders>
              <w:top w:color="000000" w:space="0" w:sz="0" w:val="nil"/>
              <w:left w:color="000000" w:space="0" w:sz="7" w:val="single"/>
              <w:bottom w:color="000000" w:space="0" w:sz="7" w:val="single"/>
              <w:right w:color="000000" w:space="0" w:sz="7" w:val="single"/>
            </w:tcBorders>
            <w:tcW w:w="525" w:type="dxa"/>
            <w:tcMar>
              <w:top w:w="15" w:type="dxa"/>
              <w:bottom w:w="15" w:type="dxa"/>
              <w:left w:w="30" w:type="dxa"/>
              <w:right w:w="30" w:type="dxa"/>
            </w:tcMar>
            <w:vAlign w:val="center"/>
          </w:tcPr>
          <w:p>
            <w:pPr>
              <w:jc w:val="center"/>
            </w:pPr>
            <w:r>
              <w:rPr>
                <w:rFonts w:ascii="Times New Roman" w:hAnsi="Times New Roman"/>
                <w:sz w:val="16"/>
              </w:rPr>
              <w:t>2026</w:t>
            </w:r>
          </w:p>
        </w:tc>
        <w:tc>
          <w:tcPr>
            <w:tcBorders>
              <w:top w:color="000000" w:space="0" w:sz="0" w:val="nil"/>
              <w:left w:color="000000" w:space="0" w:sz="7" w:val="single"/>
              <w:bottom w:color="000000" w:space="0" w:sz="7" w:val="single"/>
              <w:right w:color="000000" w:space="0" w:sz="7" w:val="single"/>
            </w:tcBorders>
            <w:tcW w:w="975" w:type="dxa"/>
            <w:tcMar>
              <w:top w:w="15" w:type="dxa"/>
              <w:bottom w:w="15" w:type="dxa"/>
              <w:left w:w="30" w:type="dxa"/>
              <w:right w:w="30" w:type="dxa"/>
            </w:tcMar>
            <w:vAlign w:val="center"/>
          </w:tcPr>
          <w:p>
            <w:pPr>
              <w:jc w:val="center"/>
            </w:pPr>
            <w:r>
              <w:rPr>
                <w:rFonts w:ascii="Times New Roman" w:hAnsi="Times New Roman"/>
                <w:sz w:val="16"/>
              </w:rPr>
              <w:t>Python, CairoSVG</w:t>
            </w:r>
          </w:p>
        </w:tc>
        <w:tc>
          <w:tcPr>
            <w:tcBorders>
              <w:top w:color="000000" w:space="0" w:sz="0" w:val="nil"/>
              <w:left w:color="000000" w:space="0" w:sz="7" w:val="single"/>
              <w:bottom w:color="000000" w:space="0" w:sz="7" w:val="single"/>
              <w:right w:color="000000" w:space="0" w:sz="7" w:val="single"/>
            </w:tcBorders>
            <w:tcW w:w="1035" w:type="dxa"/>
            <w:tcMar>
              <w:top w:w="15" w:type="dxa"/>
              <w:bottom w:w="15" w:type="dxa"/>
              <w:left w:w="30" w:type="dxa"/>
              <w:right w:w="30" w:type="dxa"/>
            </w:tcMar>
            <w:vAlign w:val="center"/>
          </w:tcPr>
          <w:p>
            <w:pPr>
              <w:jc w:val="center"/>
            </w:pPr>
            <w:r>
              <w:rPr>
                <w:rFonts w:ascii="Times New Roman" w:hAnsi="Times New Roman"/>
                <w:sz w:val="16"/>
              </w:rPr>
              <w:t>SVG Template Synthesizer</w:t>
            </w:r>
          </w:p>
        </w:tc>
        <w:tc>
          <w:tcPr>
            <w:tcBorders>
              <w:top w:color="000000" w:space="0" w:sz="7" w:val="single"/>
              <w:left w:color="000000" w:space="0" w:sz="7" w:val="single"/>
              <w:bottom w:color="000000" w:space="0" w:sz="7" w:val="single"/>
              <w:right w:color="000000" w:space="0" w:sz="7" w:val="single"/>
            </w:tcBorders>
            <w:tcW w:w="2300" w:type="dxa"/>
            <w:tcMar>
              <w:top w:w="15" w:type="dxa"/>
              <w:bottom w:w="15" w:type="dxa"/>
              <w:left w:w="30" w:type="dxa"/>
              <w:right w:w="30" w:type="dxa"/>
            </w:tcMar>
            <w:vAlign w:val="center"/>
          </w:tcPr>
          <w:p>
            <w:pPr>
              <w:jc w:val="center"/>
            </w:pPr>
            <w:r>
              <w:rPr>
                <w:rFonts w:ascii="Times New Roman" w:hAnsi="Times New Roman"/>
                <w:sz w:val="16"/>
              </w:rPr>
              <w:t>Privacy Verification: 100%</w:t>
            </w:r>
          </w:p>
        </w:tc>
        <w:tc>
          <w:tcPr>
            <w:tcBorders>
              <w:top w:color="000000" w:space="0" w:sz="0" w:val="nil"/>
              <w:left w:color="000000" w:space="0" w:sz="7" w:val="single"/>
              <w:bottom w:color="000000" w:space="0" w:sz="7" w:val="single"/>
              <w:right w:color="000000" w:space="0" w:sz="7" w:val="single"/>
            </w:tcBorders>
            <w:tcW w:w="2325" w:type="dxa"/>
            <w:tcMar>
              <w:top w:w="15" w:type="dxa"/>
              <w:bottom w:w="15" w:type="dxa"/>
              <w:left w:w="30" w:type="dxa"/>
              <w:right w:w="30" w:type="dxa"/>
            </w:tcMar>
            <w:vAlign w:val="center"/>
          </w:tcPr>
          <w:p>
            <w:pPr>
              <w:jc w:val="center"/>
            </w:pPr>
            <w:r>
              <w:rPr>
                <w:rFonts w:ascii="Times New Roman" w:hAnsi="Times New Roman"/>
                <w:sz w:val="16"/>
              </w:rPr>
              <w:t>Lacks decoupled headless evaluation framework, controlled optical degradation suite, and classical ML error diagnostic predictors .</w:t>
            </w:r>
          </w:p>
        </w:tc>
      </w:tr>
    </w:tbl>
    <w:p w:rsidR="00000000" w:rsidDel="00000000" w:rsidP="00000000" w:rsidRDefault="00000000" w:rsidRPr="00000000" w14:paraId="0000006C">
      <w:pPr>
        <w:spacing w:after="70" w:before="0" w:line="259" w:lineRule="auto"/>
        <w:rPr>
          <w:rFonts w:ascii="Times New Roman" w:cs="Times New Roman" w:eastAsia="Times New Roman" w:hAnsi="Times New Roman"/>
          <w:b w:val="1"/>
          <w:bCs w:val="1"/>
          <w:sz w:val="20"/>
          <w:szCs w:val="20"/>
        </w:rPr>
      </w:pPr>
      <w:r w:rsidDel="00000000" w:rsidR="00000000" w:rsidRPr="00000000">
        <w:rPr>
          <w:rFonts w:ascii="Times New Roman" w:hAnsi="Times New Roman"/>
          <w:sz w:val="20"/>
          <w:rtl w:val="0"/>
        </w:rPr>
      </w:r>
    </w:p>
    <w:p w:rsidR="00000000" w:rsidDel="00000000" w:rsidP="00000000" w:rsidRDefault="00000000" w:rsidRPr="00000000" w14:paraId="0000006D">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6E">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and data-protection requirements (such as FERPA and GDPR) that impose substantial constraints on distributing identifiable educational records, the framework introduces the Academic Document Benchmark Generator (ADBG v1.0) [32]. ADBG v1.0 employs a seed-deterministic generation engine coupled with a Typst vector compilation backend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[34]. The evaluation engine invokes neural model prediction adapters, routes raw and expected entities through a six-stage semantic canonical normalizer ('CanonicalNormalizer') [35] to eliminate superficial formatting discrepancies, and categorizes extraction discrepancies using a structured nine-class diagnostic OCR error taxonomy [36], generating comprehensive statistical evaluation artifacts without modifying production data stores.</w:t>
      </w:r>
    </w:p>
    <w:p w:rsidR="00000000" w:rsidDel="00000000" w:rsidP="00000000" w:rsidRDefault="00000000" w:rsidRPr="00000000" w14:paraId="0000006F">
      <w:pPr>
        <w:spacing w:after="70" w:before="0" w:line="259" w:lineRule="auto"/>
        <w:ind w:firstLine="2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260" cy="4754880"/>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9260" cy="4754880"/>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070">
      <w:pPr>
        <w:spacing w:after="70" w:before="0" w:line="259" w:lineRule="auto"/>
        <w:ind w:firstLine="2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Fig. 1. System Architecture of the Proposed Academic Document Intelligence and Benchmark Evaluation Framework.</w:t>
      </w:r>
    </w:p>
    <w:p w:rsidR="00000000" w:rsidDel="00000000" w:rsidP="00000000" w:rsidRDefault="00000000" w:rsidRPr="00000000" w14:paraId="00000071">
      <w:pPr>
        <w:spacing w:after="70" w:before="0" w:line="259" w:lineRule="auto"/>
        <w:jc w:val="both"/>
        <w:rPr>
          <w:rFonts w:ascii="Times New Roman" w:cs="Times New Roman" w:eastAsia="Times New Roman" w:hAnsi="Times New Roman"/>
          <w:sz w:val="20"/>
          <w:szCs w:val="20"/>
        </w:rPr>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rsidR="00000000" w:rsidDel="00000000" w:rsidP="00000000" w:rsidRDefault="00000000" w:rsidRPr="00000000" w14:paraId="00000074">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The end-to-end data transformation lifecycle across both subsystems establishes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(V̂) and ground-truth string (V_GT) concurrently flow into the six-stage 'CanonicalNormalizer', yielding canonicalized representations (C(V̂) and C(V_GT)).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rsidR="00000000" w:rsidDel="00000000" w:rsidP="00000000" w:rsidRDefault="00000000" w:rsidRPr="00000000" w14:paraId="0000007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76">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77">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rsidR="00000000" w:rsidDel="00000000" w:rsidP="00000000" w:rsidRDefault="00000000" w:rsidRPr="00000000" w14:paraId="00000078">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18"/>
          <w:rtl w:val="0"/>
        </w:rPr>
        <w:t xml:space="preserve">TABLE 2: EXPERIMENTAL COMPUTING ENVIRONMENT</w:t>
      </w:r>
      <w:r w:rsidDel="00000000" w:rsidR="00000000" w:rsidRPr="00000000">
        <w:rPr>
          <w:rFonts w:ascii="Times New Roman" w:hAnsi="Times New Roman"/>
          <w:sz w:val="20"/>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Parameter</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Verified Configuration / Value</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Operating System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Microsoft Windows 11 Professional (64-bit, x86_64 Architecture)</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Compute Hardware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HP EliteBook 840 G8 Workstation</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Processor (CPU)</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Intel Core i7 Processor</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System Memory (RAM)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16 GB DDR4 System RAM</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Hardware Acceleration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None (CPU-Only Model Inference Execution)</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Inference Serving Engine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Ollama Local Runtime (v0.32.14, Local Host)</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Evaluated Neural Engine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MiniCPM-V (minicpm-v:latest, ~7.6B Parameters, Q4_0 GGUF)</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Software Environments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Python 3.14.x, Node.js v18.x, npm v9.x</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Scientific &amp; Statistical Stack</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scipy &gt;= 1.11, pandas &gt;= 2.0, numpy &gt;= 1.24, scikit-learn &gt;= 1.3</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Framework Execution Mode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Headless Read-Only Execution (isReadOnly: true, 0 Database Writes)</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Master Deterministic Seed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SeedManager.masterSeed = 42</w:t>
            </w:r>
          </w:p>
        </w:tc>
      </w:tr>
    </w:tbl>
    <w:p w:rsidR="00000000" w:rsidDel="00000000" w:rsidP="00000000" w:rsidRDefault="00000000" w:rsidRPr="00000000" w14:paraId="0000009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9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benchmark suite (AU_DIC_Benchmark_v1.0) comprises 450 synthetic multi-modal academic credential specimens representing diverse physical and optical capture conditions evaluated across three core higher education document categories: Academic Certificates, Semester Marksheets, and Student Identity Cards. The benchmark dataset integrates three complementary document representations: Vector PDFs (50 specimens rendered directly from vector layout streams), Lossless PNG Scans (200 specimens across clean, flatbed scan, mobile capture, and 90° rotation), and Compressed JPEGs (200 specimens across clean, flatbed scan, mobile capture, and 90° rotation), totaling 9,000 evaluated ground-truth field observations (20 atomic fields per specimen). Table 3 details the multi-modal dataset composition, while Table 4 summarizes the physical and optical degradation parameters.</w:t>
      </w:r>
    </w:p>
    <w:p w:rsidR="00000000" w:rsidDel="00000000" w:rsidP="00000000" w:rsidRDefault="00000000" w:rsidRPr="00000000" w14:paraId="00000093">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18"/>
          <w:rtl w:val="0"/>
        </w:rPr>
        <w:t xml:space="preserve">TABLE 3: MULTI-MODAL DATASET AND BENCHMARK COMPOSITION(AU_DIC_BENCHMARK_V1.0)</w:t>
      </w:r>
      <w:r w:rsidDel="00000000" w:rsidR="00000000" w:rsidRPr="00000000">
        <w:rPr>
          <w:rFonts w:ascii="Times New Roman" w:hAnsi="Times New Roman"/>
          <w:sz w:val="20"/>
          <w:rtl w:val="0"/>
        </w:rP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Document Category</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Vector PDFs</w:t>
              <w:br/>
              <w:t>(Clean)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Lossless PNGs</w:t>
              <w:br/>
              <w:t>(4 Profiles)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Compressed JPEGs</w:t>
              <w:br/>
              <w:t>(4 Profiles)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 xml:space="preserve">Total Evaluated </w:t>
              <w:br/>
              <w:t>Specimens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Academic Certificate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20PDFs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70PNGs</w:t>
              <w:br/>
              <w:t>(Clean/Scan/Mob/Rot)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70 JPEGs</w:t>
              <w:br/>
              <w:t>(Clean/Scan/Mob/Rot)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160 Specimens (1088 Fields)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Semester Marksheet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20PDFs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70PNGs</w:t>
              <w:br/>
              <w:t>(Clean/Scan/Mob/Rot)</w:t>
              <w:b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70 JPEGs</w:t>
              <w:br/>
              <w:t>(Clean/Scan/Mob/Rot)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160 Specimens (1088 Fields)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Student ID Card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10PDFs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70PNGs</w:t>
              <w:br/>
              <w:t>(Clean/Scan/Mob/Rot)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60 JPEGs</w:t>
              <w:br/>
              <w:t>(Clean/Scan/Mob/Rot)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130 Specimens (1088 Fields)</w:t>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 Weighted Mean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50 Vector PDFs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200 Lossless PNGs</w:t>
              <w:br/>
              <w:b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200 Compressed JPEGs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450 Synthetic Specimens</w:t>
              <w:br/>
              <w:t>(900 Fields)</w:t>
              <w:br/>
              <w:br/>
            </w:r>
          </w:p>
        </w:tc>
      </w:tr>
    </w:tbl>
    <w:p w:rsidR="00000000" w:rsidDel="00000000" w:rsidP="00000000" w:rsidRDefault="00000000" w:rsidRPr="00000000" w14:paraId="000000B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hAnsi="Times New Roman"/>
          <w:sz w:val="20"/>
          <w:rtl w:val="0"/>
        </w:rPr>
      </w:r>
    </w:p>
    <w:p w:rsidR="00000000" w:rsidDel="00000000" w:rsidP="00000000" w:rsidRDefault="00000000" w:rsidRPr="00000000" w14:paraId="000000BE">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18"/>
          <w:rtl w:val="0"/>
        </w:rPr>
        <w:t xml:space="preserve">TABLE 4:OPTICALQUALITYDEGRADATIONPROFILES</w:t>
      </w:r>
      <w:r w:rsidDel="00000000" w:rsidR="00000000" w:rsidRPr="00000000">
        <w:rPr>
          <w:rFonts w:ascii="Times New Roman" w:hAnsi="Times New Roman"/>
          <w:sz w:val="20"/>
          <w:rtl w:val="0"/>
        </w:rPr>
      </w:r>
    </w:p>
    <w:tbl>
      <w:tblPr>
        <w:tblStyle w:val="Table4"/>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 xml:space="preserve">Profile Name </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Target Simulation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Applied Image Transformations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Degradation</w:t>
              <w:br/>
              <w:t>Severity</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 clean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Pristine vector render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Direct 300 DPI PDF-to-image rasterization; uncompressed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None (0.0)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scanner_copy</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Institutional flatbed scan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Gaussian noise (sigma=3), slight tilt (theta=0.5 deg), brightness</w:t>
              <w:br/>
              <w:t>shift (+10%)</w:t>
              <w:b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None (0.0)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mobile_camera</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Smartphone photo capture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Perspective transform, uneven illumination gradient, mild blur</w:t>
              <w:br/>
              <w:t>(k=3)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Moderate (2.5)</w:t>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rotated_90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Smart Phone Capture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Rigid 90-degree clockwise rotation tensor transportation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Severe (4.0)</w:t>
            </w:r>
          </w:p>
        </w:tc>
      </w:tr>
    </w:tbl>
    <w:p w:rsidR="00000000" w:rsidDel="00000000" w:rsidP="00000000" w:rsidRDefault="00000000" w:rsidRPr="00000000" w14:paraId="000000D7">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hAnsi="Times New Roman"/>
          <w:sz w:val="20"/>
          <w:rtl w:val="0"/>
        </w:rPr>
      </w:r>
    </w:p>
    <w:p w:rsidR="00000000" w:rsidDel="00000000" w:rsidP="00000000" w:rsidRDefault="00000000" w:rsidRPr="00000000" w14:paraId="000000D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D9">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rsidR="00000000" w:rsidDel="00000000" w:rsidP="00000000" w:rsidRDefault="00000000" w:rsidRPr="00000000" w14:paraId="000000D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5: CANONICAL EXPERIMENTAL CONFIGURATION PARAMETERS</w:t>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Configuration Parameter</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Verified Experimental Value</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Benchmark Suite Version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AUDICBenchmark v1.0 (450 Synthetic Multi-Modal Specimens</w:t>
              <w:br/>
              <w:t>Suite)</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Benchmark Execution Mode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Headless Read-Only Mode (isReadOnly: true, 0 Database Writes)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Model-Serving Runtime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Local Ollama Inference Engine (v0.32.14, Local Host)</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Evaluated Model &amp; Identifier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MiniCPM-V (minicpm-v:latest)</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Model Parameter Scale &amp; Quant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~7.6 Billion Parameters, 4-bit Quantization (Q4_0 GGUF)</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Evaluation Paradigm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Zero-Shot Instruction Prompting (No Fine-Tuning / No Adaptation)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Decoding Temperature (T)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0.2 (Greedy / Low-Entropy Deterministic Sampling)</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Maximum Generation Budget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8192 Output Tokens / Specimen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Mock Fallback Setting</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Disabled (allowMockFallback: false, Live Neural Inference Only)</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Evaluated Specimens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450 Synthetic Specimens (50 Vector PDFs + 200 Lossless PNGs</w:t>
              <w:br/>
              <w:t>+ 200 Compressed JPEGs)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Paired Observations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9,000 Paired Field Observations (20 Atomic Fields / Specimen)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Master Deterministic Seed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SeedManager.masterSeed = 42</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Concurrency &amp; Checkpointing</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 Worker Threads (concurrency: 4), Auto-saved checkpoint.json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Semantic Normalization Pipeline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Six-Stage CanonicalNormalizer (Enabled in Pass B)</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Error Diagnostic Classification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Nine-Class ErrorTaxonomist (Enabled)</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Bootstrap Significance Iterations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 = 10,000 Iterations (Bootstrap Random Seed = 42)</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Hypothesis Significance Threshold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alpha = 0.05 (Achieved Significance p &lt; 0.0001)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Canonical Execution Run ID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run_450_live_gpu_1787773778444 (Duration: 35746.20s /</w:t>
              <w:br/>
              <w:t>595.77 mins)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Git Repository Commit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Commit 88140d1 (github.com/aashishrajput9838/academicuniverse)</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Dataset SHA-256 Checksum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17c136ef76dd0f82</w:t>
            </w:r>
          </w:p>
        </w:tc>
      </w:tr>
    </w:tbl>
    <w:p w:rsidR="00000000" w:rsidDel="00000000" w:rsidP="00000000" w:rsidRDefault="00000000" w:rsidRPr="00000000" w14:paraId="000001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10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protocol follows a standardized fifteen-step execution lifecycle designed for end-to-end reproducibility:</w:t>
      </w:r>
    </w:p>
    <w:p w:rsidR="00000000" w:rsidDel="00000000" w:rsidP="00000000" w:rsidRDefault="00000000" w:rsidRPr="00000000" w14:paraId="0000010A">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Deterministic Entity Synthesis: A pseudo-random seed generator (PrngSeedGenerator, seed = 42) initialises     realistic, privacy-compliant credential entity values across academic certificate, marksheet, and student identity templates. </w:t>
      </w:r>
    </w:p>
    <w:p w:rsidR="00000000" w:rsidDel="00000000" w:rsidP="00000000" w:rsidRDefault="00000000" w:rsidRPr="00000000" w14:paraId="0000010B">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Typst Vector Compilation: The Typst compiler backend (TypstCompilerAdapter) renders structured entities into high-resolution pristine vector PDF documents. </w:t>
      </w:r>
    </w:p>
    <w:p w:rsidR="00000000" w:rsidDel="00000000" w:rsidP="00000000" w:rsidRDefault="00000000" w:rsidRPr="00000000" w14:paraId="0000010C">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Ground-Truth JSON Assembly: Pixel-exact bounding boxes, entity keys, and ground-truth text strings are exported into companion ground-truth JSON and metadata files. </w:t>
      </w:r>
    </w:p>
    <w:p w:rsidR="00000000" w:rsidDel="00000000" w:rsidP="00000000" w:rsidRDefault="00000000" w:rsidRPr="00000000" w14:paraId="0000010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Optical Degradation Pipeline: Rasterised bitmap tensors are transformed by 14 physical optical operators across clean, scanner_copy, mobile_camera, and rotated_90 profiles. </w:t>
      </w:r>
    </w:p>
    <w:p w:rsidR="00000000" w:rsidDel="00000000" w:rsidP="00000000" w:rsidRDefault="00000000" w:rsidRPr="00000000" w14:paraId="0000010E">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Benchmark Suite Assembly: All 450 synthetic multi-modal document specimens (50 Vector PDFs, 200 Lossless PNGs, 200 Compressed JPEGs) and their companion ground-truth JSON instances are packaged into the AU_DIC_Benchmark_v1.0 repository. </w:t>
      </w:r>
    </w:p>
    <w:p w:rsidR="00000000" w:rsidDel="00000000" w:rsidP="00000000" w:rsidRDefault="00000000" w:rsidRPr="00000000" w14:paraId="0000010F">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Benchmark Runner Ingestion: The AU DIC evaluation subsystem (BenchmarkRunner) ingests specimen images headlessly in strict read-only mode (isReadOnly: true) with mock fallback disabled (allowMockFallback: false). </w:t>
      </w:r>
    </w:p>
    <w:p w:rsidR="00000000" w:rsidDel="00000000" w:rsidP="00000000" w:rsidRDefault="00000000" w:rsidRPr="00000000" w14:paraId="00000110">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Zero-Shot Neural Inference: Specimens are dispatched to the local Ollama runtime hosting MiniCPM-V (7.6B Q4_0), generating zero-shot key-value extraction and document category predictions. </w:t>
      </w:r>
    </w:p>
    <w:p w:rsidR="00000000" w:rsidDel="00000000" w:rsidP="00000000" w:rsidRDefault="00000000" w:rsidRPr="00000000" w14:paraId="0000011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Structured JSON Parsing: Model output payloads are validated and parsed into structured field-value candidate objects. </w:t>
      </w:r>
    </w:p>
    <w:p w:rsidR="00000000" w:rsidDel="00000000" w:rsidP="00000000" w:rsidRDefault="00000000" w:rsidRPr="00000000" w14:paraId="0000011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Ground-Truth Alignment: Candidate extractions are aligned one-to-one with ground-truth entity records across all 9,000 paired field observations. </w:t>
      </w:r>
    </w:p>
    <w:p w:rsidR="00000000" w:rsidDel="00000000" w:rsidP="00000000" w:rsidRDefault="00000000" w:rsidRPr="00000000" w14:paraId="00000113">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Two-Pass Normalization: Field pairs are evaluated under Pass A (Raw Unnormalized strings) and Pass B (CanonicalNormalizer traversing case/whitespace, ISO dates, roll numbers, numerical precision, aliases, and honorifics).Smart Academic Document Intelligence &amp; Benchmarking </w:t>
      </w:r>
    </w:p>
    <w:p w:rsidR="00000000" w:rsidDel="00000000" w:rsidP="00000000" w:rsidRDefault="00000000" w:rsidRPr="00000000" w14:paraId="00000114">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String Exact Match Evaluation: Raw and normalized exact match statuses are computed for each candidate field observation. </w:t>
      </w:r>
    </w:p>
    <w:p w:rsidR="00000000" w:rsidDel="00000000" w:rsidP="00000000" w:rsidRDefault="00000000" w:rsidRPr="00000000" w14:paraId="00000115">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 xml:space="preserve">12. Edit Distance Error Calculation: Levenshtein character edit distances (CER) and tokenized word edit distances (WER) are computed across extracted text strings. </w:t>
      </w:r>
    </w:p>
    <w:p w:rsidR="00000000" w:rsidDel="00000000" w:rsidP="00000000" w:rsidRDefault="00000000" w:rsidRPr="00000000" w14:paraId="0000011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Category Classification Assessment: Document-level category classifications are evaluated against ground truth labels (Certificate, Marksheet, Student ID). </w:t>
      </w:r>
    </w:p>
    <w:p w:rsidR="00000000" w:rsidDel="00000000" w:rsidP="00000000" w:rsidRDefault="00000000" w:rsidRPr="00000000" w14:paraId="00000117">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Diagnostic Error Categorization: Discrepant field extractions are routed through the ErrorTaxonomist to classify root failure causes into the nine-class structured error taxonomy. </w:t>
      </w:r>
    </w:p>
    <w:p w:rsidR="00000000" w:rsidDel="00000000" w:rsidP="00000000" w:rsidRDefault="00000000" w:rsidRPr="00000000" w14:paraId="0000011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Statistical Aggregation &amp; Publication: Quantitative metrics, McNemar contingency tests, Wilcoxon signed-rank tests, and 10,000 bootstrap confidence intervals are computed, exporting immutable evaluation reports (metrics.json, predictions.json, comparisons.json).</w:t>
      </w:r>
    </w:p>
    <w:p w:rsidR="00000000" w:rsidDel="00000000" w:rsidP="00000000" w:rsidRDefault="00000000" w:rsidRPr="00000000" w14:paraId="00000119">
      <w:pPr>
        <w:spacing w:after="70" w:before="0" w:line="259"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1A">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rsidR="00000000" w:rsidDel="00000000" w:rsidP="00000000" w:rsidRDefault="00000000" w:rsidRPr="00000000" w14:paraId="0000011B">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6: QUANTITATIVE EVALUATION METRICS AND MATHEMATICAL FORMULATION</w:t>
      </w:r>
    </w:p>
    <w:tbl>
      <w:tblPr>
        <w:tblStyle w:val="Table6"/>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37">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38">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39">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C">
            <w:pPr>
              <w:jc w:val="center"/>
            </w:pPr>
            <m:oMath>
              <m:sSub>
                <m:e>
                  <m:r>
                    <m:t>Acc</m:t>
                  </m:r>
                </m:e>
                <m:sub>
                  <m:r>
                    <m:t>cat</m:t>
                  </m:r>
                </m:sub>
              </m:sSub>
              <m:r>
                <m:t>=</m:t>
              </m:r>
              <m:f>
                <m:num>
                  <m:r>
                    <m:t>1</m:t>
                  </m:r>
                </m:num>
                <m:den>
                  <m:r>
                    <m:rPr>
                      <m:sty m:val="i"/>
                    </m:rPr>
                    <m:t>N</m:t>
                  </m:r>
                </m:den>
              </m:f>
              <m:nary>
                <m:naryPr>
                  <m:chr m:val="∑"/>
                  <m:limLoc m:val="undOvr"/>
                </m:naryPr>
                <m:sub>
                  <m:r>
                    <m:t>i=1</m:t>
                  </m:r>
                </m:sub>
                <m:sup>
                  <m:r>
                    <m:rPr>
                      <m:sty m:val="i"/>
                    </m:rPr>
                    <m:t>N</m:t>
                  </m:r>
                </m:sup>
                <m:e>
                  <m:r>
                    <m:t>I</m:t>
                  </m:r>
                  <m:r>
                    <m:t>(</m:t>
                  </m:r>
                  <m:sSub>
                    <m:e>
                      <m:r>
                        <m:t>y</m:t>
                      </m:r>
                    </m:e>
                    <m:sub>
                      <m:r>
                        <m:t>i</m:t>
                      </m:r>
                    </m:sub>
                  </m:sSub>
                  <m:r>
                    <m:t>=</m:t>
                  </m:r>
                  <m:sSub>
                    <m:e>
                      <m:r>
                        <m:t>ŷ</m:t>
                      </m:r>
                    </m:e>
                    <m:sub>
                      <m:r>
                        <m:t>i</m:t>
                      </m:r>
                    </m:sub>
                  </m:sSub>
                  <m:r>
                    <m:t>)</m:t>
                  </m:r>
                </m:e>
              </m:nary>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F">
            <w:pPr>
              <w:jc w:val="center"/>
            </w:pPr>
            <m:oMath>
              <m:r>
                <m:rPr>
                  <m:sty m:val="i"/>
                </m:rPr>
                <m:t>Prec</m:t>
              </m:r>
              <m:r>
                <m:t>=</m:t>
              </m:r>
              <m:f>
                <m:num>
                  <m:r>
                    <m:rPr>
                      <m:sty m:val="i"/>
                    </m:rPr>
                    <m:t>TP</m:t>
                  </m:r>
                </m:num>
                <m:den>
                  <m:r>
                    <m:rPr>
                      <m:sty m:val="i"/>
                    </m:rPr>
                    <m:t>TP</m:t>
                  </m:r>
                  <m:r>
                    <m:t>+</m:t>
                  </m:r>
                  <m:r>
                    <m:rPr>
                      <m:sty m:val="i"/>
                    </m:rPr>
                    <m:t>FP</m:t>
                  </m:r>
                </m:den>
              </m:f>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2">
            <w:pPr>
              <w:jc w:val="center"/>
            </w:pPr>
            <m:oMath>
              <m:r>
                <m:rPr>
                  <m:sty m:val="i"/>
                </m:rPr>
                <m:t>Rec</m:t>
              </m:r>
              <m:r>
                <m:t>=</m:t>
              </m:r>
              <m:f>
                <m:num>
                  <m:r>
                    <m:rPr>
                      <m:sty m:val="i"/>
                    </m:rPr>
                    <m:t>TP</m:t>
                  </m:r>
                </m:num>
                <m:den>
                  <m:r>
                    <m:rPr>
                      <m:sty m:val="i"/>
                    </m:rPr>
                    <m:t>TP</m:t>
                  </m:r>
                  <m:r>
                    <m:t>+</m:t>
                  </m:r>
                  <m:r>
                    <m:rPr>
                      <m:sty m:val="i"/>
                    </m:rPr>
                    <m:t>FN</m:t>
                  </m:r>
                </m:den>
              </m:f>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5">
            <w:pPr>
              <w:jc w:val="center"/>
            </w:pPr>
            <m:oMath>
              <m:r>
                <m:rPr>
                  <m:sty m:val="i"/>
                </m:rPr>
                <m:t>F1</m:t>
              </m:r>
              <m:r>
                <m:t>=</m:t>
              </m:r>
              <m:r>
                <m:t>2</m:t>
              </m:r>
              <m:r>
                <m:t>·</m:t>
              </m:r>
              <m:f>
                <m:num>
                  <m:r>
                    <m:rPr>
                      <m:sty m:val="i"/>
                    </m:rPr>
                    <m:t>Prec</m:t>
                  </m:r>
                  <m:r>
                    <m:t>·</m:t>
                  </m:r>
                  <m:r>
                    <m:rPr>
                      <m:sty m:val="i"/>
                    </m:rPr>
                    <m:t>Rec</m:t>
                  </m:r>
                </m:num>
                <m:den>
                  <m:r>
                    <m:rPr>
                      <m:sty m:val="i"/>
                    </m:rPr>
                    <m:t>Prec</m:t>
                  </m:r>
                  <m:r>
                    <m:t>+</m:t>
                  </m:r>
                  <m:r>
                    <m:rPr>
                      <m:sty m:val="i"/>
                    </m:rPr>
                    <m:t>Rec</m:t>
                  </m:r>
                </m:den>
              </m:f>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8">
            <w:pPr>
              <w:jc w:val="center"/>
            </w:pPr>
            <m:oMath>
              <m:r>
                <m:rPr>
                  <m:sty m:val="i"/>
                </m:rPr>
                <m:t>CER</m:t>
              </m:r>
              <m:r>
                <m:t>=</m:t>
              </m:r>
              <m:f>
                <m:num>
                  <m:r>
                    <m:t>1</m:t>
                  </m:r>
                </m:num>
                <m:den>
                  <m:r>
                    <m:rPr>
                      <m:sty m:val="i"/>
                    </m:rPr>
                    <m:t>M</m:t>
                  </m:r>
                </m:den>
              </m:f>
              <m:nary>
                <m:naryPr>
                  <m:chr m:val="∑"/>
                  <m:limLoc m:val="undOvr"/>
                </m:naryPr>
                <m:sub>
                  <m:r>
                    <m:t>j=1</m:t>
                  </m:r>
                </m:sub>
                <m:sup>
                  <m:r>
                    <m:rPr>
                      <m:sty m:val="i"/>
                    </m:rPr>
                    <m:t>M</m:t>
                  </m:r>
                </m:sup>
                <m:e>
                  <m:f>
                    <m:num>
                      <m:r>
                        <m:t>D</m:t>
                      </m:r>
                      <m:r>
                        <m:t>(</m:t>
                      </m:r>
                      <m:sSub>
                        <m:e>
                          <m:r>
                            <m:t>ŝ</m:t>
                          </m:r>
                        </m:e>
                        <m:sub>
                          <m:r>
                            <m:t>j</m:t>
                          </m:r>
                        </m:sub>
                      </m:sSub>
                      <m:r>
                        <m:t>,</m:t>
                      </m:r>
                      <m:sSub>
                        <m:e>
                          <m:r>
                            <m:t>s</m:t>
                          </m:r>
                        </m:e>
                        <m:sub>
                          <m:r>
                            <m:t>j</m:t>
                          </m:r>
                        </m:sub>
                      </m:sSub>
                      <m:r>
                        <m:t>)</m:t>
                      </m:r>
                    </m:num>
                    <m:den>
                      <m:r>
                        <m:t>max</m:t>
                      </m:r>
                      <m:r>
                        <m:t>(</m:t>
                      </m:r>
                      <m:r>
                        <m:t>|</m:t>
                      </m:r>
                      <m:sSub>
                        <m:e>
                          <m:r>
                            <m:t>s</m:t>
                          </m:r>
                        </m:e>
                        <m:sub>
                          <m:r>
                            <m:t>j</m:t>
                          </m:r>
                        </m:sub>
                      </m:sSub>
                      <m:r>
                        <m:t>|</m:t>
                      </m:r>
                      <m:r>
                        <m:t>,</m:t>
                      </m:r>
                      <m:r>
                        <m:t>1</m:t>
                      </m:r>
                      <m:r>
                        <m:t>)</m:t>
                      </m:r>
                    </m:den>
                  </m:f>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B">
            <w:pPr>
              <w:jc w:val="center"/>
            </w:pPr>
            <m:oMath>
              <m:r>
                <m:rPr>
                  <m:sty m:val="i"/>
                </m:rPr>
                <m:t>WER</m:t>
              </m:r>
              <m:r>
                <m:t>=</m:t>
              </m:r>
              <m:f>
                <m:num>
                  <m:r>
                    <m:t>1</m:t>
                  </m:r>
                </m:num>
                <m:den>
                  <m:r>
                    <m:rPr>
                      <m:sty m:val="i"/>
                    </m:rPr>
                    <m:t>M</m:t>
                  </m:r>
                </m:den>
              </m:f>
              <m:nary>
                <m:naryPr>
                  <m:chr m:val="∑"/>
                  <m:limLoc m:val="undOvr"/>
                </m:naryPr>
                <m:sub>
                  <m:r>
                    <m:t>j=1</m:t>
                  </m:r>
                </m:sub>
                <m:sup>
                  <m:r>
                    <m:rPr>
                      <m:sty m:val="i"/>
                    </m:rPr>
                    <m:t>M</m:t>
                  </m:r>
                </m:sup>
                <m:e>
                  <m:f>
                    <m:num>
                      <m:r>
                        <m:t>D</m:t>
                      </m:r>
                      <m:r>
                        <m:t>_word</m:t>
                      </m:r>
                      <m:r>
                        <m:t>(</m:t>
                      </m:r>
                      <m:sSub>
                        <m:e>
                          <m:r>
                            <m:t>ŵ</m:t>
                          </m:r>
                        </m:e>
                        <m:sub>
                          <m:r>
                            <m:t>j</m:t>
                          </m:r>
                        </m:sub>
                      </m:sSub>
                      <m:r>
                        <m:t>,</m:t>
                      </m:r>
                      <m:sSub>
                        <m:e>
                          <m:r>
                            <m:t>w</m:t>
                          </m:r>
                        </m:e>
                        <m:sub>
                          <m:r>
                            <m:t>j</m:t>
                          </m:r>
                        </m:sub>
                      </m:sSub>
                      <m:r>
                        <m:t>)</m:t>
                      </m:r>
                    </m:num>
                    <m:den>
                      <m:r>
                        <m:t>max</m:t>
                      </m:r>
                      <m:r>
                        <m:t>(</m:t>
                      </m:r>
                      <m:r>
                        <m:t>|</m:t>
                      </m:r>
                      <m:sSub>
                        <m:e>
                          <m:r>
                            <m:t>w</m:t>
                          </m:r>
                        </m:e>
                        <m:sub>
                          <m:r>
                            <m:t>j</m:t>
                          </m:r>
                        </m:sub>
                      </m:sSub>
                      <m:r>
                        <m:t>|</m:t>
                      </m:r>
                      <m:r>
                        <m:t>,</m:t>
                      </m:r>
                      <m:r>
                        <m:t>1</m:t>
                      </m:r>
                      <m:r>
                        <m:t>)</m:t>
                      </m:r>
                    </m:den>
                  </m:f>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E">
            <w:pPr>
              <w:jc w:val="center"/>
            </w:pPr>
            <m:oMath>
              <m:sSub>
                <m:e>
                  <m:r>
                    <m:t>EM</m:t>
                  </m:r>
                </m:e>
                <m:sub>
                  <m:r>
                    <m:t>raw</m:t>
                  </m:r>
                </m:sub>
              </m:sSub>
              <m:r>
                <m:t>=</m:t>
              </m:r>
              <m:f>
                <m:num>
                  <m:r>
                    <m:t>1</m:t>
                  </m:r>
                </m:num>
                <m:den>
                  <m:r>
                    <m:rPr>
                      <m:sty m:val="i"/>
                    </m:rPr>
                    <m:t>M</m:t>
                  </m:r>
                </m:den>
              </m:f>
              <m:nary>
                <m:naryPr>
                  <m:chr m:val="∑"/>
                  <m:limLoc m:val="undOvr"/>
                </m:naryPr>
                <m:sub>
                  <m:r>
                    <m:t>j=1</m:t>
                  </m:r>
                </m:sub>
                <m:sup>
                  <m:r>
                    <m:rPr>
                      <m:sty m:val="i"/>
                    </m:rPr>
                    <m:t>M</m:t>
                  </m:r>
                </m:sup>
                <m:e>
                  <m:r>
                    <m:t>I</m:t>
                  </m:r>
                  <m:r>
                    <m:t>(</m:t>
                  </m:r>
                  <m:sSub>
                    <m:e>
                      <m:r>
                        <m:t>ŝ</m:t>
                      </m:r>
                    </m:e>
                    <m:sub>
                      <m:r>
                        <m:t>j</m:t>
                      </m:r>
                    </m:sub>
                  </m:sSub>
                  <m:r>
                    <m:t>=</m:t>
                  </m:r>
                  <m:sSub>
                    <m:e>
                      <m:r>
                        <m:t>s</m:t>
                      </m:r>
                    </m:e>
                    <m:sub>
                      <m:r>
                        <m:t>j</m:t>
                      </m:r>
                    </m:sub>
                  </m:sSub>
                  <m:r>
                    <m:t>)</m:t>
                  </m:r>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4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1">
            <w:pPr>
              <w:jc w:val="center"/>
            </w:pPr>
            <m:oMath>
              <m:sSub>
                <m:e>
                  <m:r>
                    <m:t>EM</m:t>
                  </m:r>
                </m:e>
                <m:sub>
                  <m:r>
                    <m:t>norm</m:t>
                  </m:r>
                </m:sub>
              </m:sSub>
              <m:r>
                <m:t>=</m:t>
              </m:r>
              <m:f>
                <m:num>
                  <m:r>
                    <m:t>1</m:t>
                  </m:r>
                </m:num>
                <m:den>
                  <m:r>
                    <m:rPr>
                      <m:sty m:val="i"/>
                    </m:rPr>
                    <m:t>M</m:t>
                  </m:r>
                </m:den>
              </m:f>
              <m:nary>
                <m:naryPr>
                  <m:chr m:val="∑"/>
                  <m:limLoc m:val="undOvr"/>
                </m:naryPr>
                <m:sub>
                  <m:r>
                    <m:t>j=1</m:t>
                  </m:r>
                </m:sub>
                <m:sup>
                  <m:r>
                    <m:rPr>
                      <m:sty m:val="i"/>
                    </m:rPr>
                    <m:t>M</m:t>
                  </m:r>
                </m:sup>
                <m:e>
                  <m:r>
                    <m:t>I</m:t>
                  </m:r>
                  <m:r>
                    <m:t>(</m:t>
                  </m:r>
                  <m:r>
                    <m:t>C</m:t>
                  </m:r>
                  <m:r>
                    <m:t>(</m:t>
                  </m:r>
                  <m:sSub>
                    <m:e>
                      <m:r>
                        <m:t>ŝ</m:t>
                      </m:r>
                    </m:e>
                    <m:sub>
                      <m:r>
                        <m:t>j</m:t>
                      </m:r>
                    </m:sub>
                  </m:sSub>
                  <m:r>
                    <m:t>)</m:t>
                  </m:r>
                  <m:r>
                    <m:t>=</m:t>
                  </m:r>
                  <m:r>
                    <m:t>C</m:t>
                  </m:r>
                  <m:r>
                    <m:t>(</m:t>
                  </m:r>
                  <m:sSub>
                    <m:e>
                      <m:r>
                        <m:t>s</m:t>
                      </m:r>
                    </m:e>
                    <m:sub>
                      <m:r>
                        <m:t>j</m:t>
                      </m:r>
                    </m:sub>
                  </m:sSub>
                  <m:r>
                    <m:t>)</m:t>
                  </m:r>
                  <m:r>
                    <m:t>)</m:t>
                  </m:r>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4">
            <w:pPr>
              <w:jc w:val="center"/>
            </w:pPr>
            <m:oMath>
              <m:sSub>
                <m:e>
                  <m:r>
                    <m:t>EM</m:t>
                  </m:r>
                </m:e>
                <m:sub>
                  <m:r>
                    <m:t>joint</m:t>
                  </m:r>
                </m:sub>
              </m:sSub>
              <m:r>
                <m:t>=</m:t>
              </m:r>
              <m:f>
                <m:num>
                  <m:r>
                    <m:t>1</m:t>
                  </m:r>
                </m:num>
                <m:den>
                  <m:r>
                    <m:rPr>
                      <m:sty m:val="i"/>
                    </m:rPr>
                    <m:t>N</m:t>
                  </m:r>
                </m:den>
              </m:f>
              <m:nary>
                <m:naryPr>
                  <m:chr m:val="∑"/>
                  <m:limLoc m:val="undOvr"/>
                </m:naryPr>
                <m:sub>
                  <m:r>
                    <m:t>i=1</m:t>
                  </m:r>
                </m:sub>
                <m:sup>
                  <m:r>
                    <m:rPr>
                      <m:sty m:val="i"/>
                    </m:rPr>
                    <m:t>N</m:t>
                  </m:r>
                </m:sup>
                <m:e>
                  <m:r>
                    <m:t>I</m:t>
                  </m:r>
                  <m:r>
                    <m:t>(</m:t>
                  </m:r>
                  <m:sSub>
                    <m:e>
                      <m:r>
                        <m:t>ŷ</m:t>
                      </m:r>
                    </m:e>
                    <m:sub>
                      <m:r>
                        <m:t>i</m:t>
                      </m:r>
                    </m:sub>
                  </m:sSub>
                  <m:r>
                    <m:t>=</m:t>
                  </m:r>
                  <m:sSub>
                    <m:e>
                      <m:r>
                        <m:t>y</m:t>
                      </m:r>
                    </m:e>
                    <m:sub>
                      <m:r>
                        <m:t>i</m:t>
                      </m:r>
                    </m:sub>
                  </m:sSub>
                  <m:r>
                    <m:t> ∧ </m:t>
                  </m:r>
                  <m:sSub>
                    <m:e>
                      <m:r>
                        <m:t>F1</m:t>
                      </m:r>
                    </m:e>
                    <m:sub>
                      <m:r>
                        <m:t>i</m:t>
                      </m:r>
                    </m:sub>
                  </m:sSub>
                  <m:r>
                    <m:t>=</m:t>
                  </m:r>
                  <m:r>
                    <m:t>1.0</m:t>
                  </m:r>
                  <m:r>
                    <m:t>)</m:t>
                  </m:r>
                </m:e>
              </m:nary>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7">
            <w:pPr>
              <w:jc w:val="center"/>
            </w:pPr>
            <m:oMath>
              <m:r>
                <m:rPr>
                  <m:sty m:val="i"/>
                </m:rPr>
                <m:t>MCC</m:t>
              </m:r>
              <m:r>
                <m:t>=</m:t>
              </m:r>
              <m:f>
                <m:num>
                  <m:r>
                    <m:rPr>
                      <m:sty m:val="i"/>
                    </m:rPr>
                    <m:t>TP</m:t>
                  </m:r>
                  <m:r>
                    <m:t>·</m:t>
                  </m:r>
                  <m:r>
                    <m:rPr>
                      <m:sty m:val="i"/>
                    </m:rPr>
                    <m:t>TN</m:t>
                  </m:r>
                  <m:r>
                    <m:t> − </m:t>
                  </m:r>
                  <m:r>
                    <m:rPr>
                      <m:sty m:val="i"/>
                    </m:rPr>
                    <m:t>FP</m:t>
                  </m:r>
                  <m:r>
                    <m:t>·</m:t>
                  </m:r>
                  <m:r>
                    <m:rPr>
                      <m:sty m:val="i"/>
                    </m:rPr>
                    <m:t>FN</m:t>
                  </m:r>
                </m:num>
                <m:den>
                  <m:rad>
                    <m:deg/>
                    <m:e>
                      <m:r>
                        <m:t>(</m:t>
                      </m:r>
                      <m:r>
                        <m:rPr>
                          <m:sty m:val="i"/>
                        </m:rPr>
                        <m:t>TP</m:t>
                      </m:r>
                      <m:r>
                        <m:t>+</m:t>
                      </m:r>
                      <m:r>
                        <m:rPr>
                          <m:sty m:val="i"/>
                        </m:rPr>
                        <m:t>FP</m:t>
                      </m:r>
                      <m:r>
                        <m:t>)</m:t>
                      </m:r>
                      <m:r>
                        <m:t>(</m:t>
                      </m:r>
                      <m:r>
                        <m:rPr>
                          <m:sty m:val="i"/>
                        </m:rPr>
                        <m:t>TP</m:t>
                      </m:r>
                      <m:r>
                        <m:t>+</m:t>
                      </m:r>
                      <m:r>
                        <m:rPr>
                          <m:sty m:val="i"/>
                        </m:rPr>
                        <m:t>FN</m:t>
                      </m:r>
                      <m:r>
                        <m:t>)</m:t>
                      </m:r>
                      <m:r>
                        <m:t>(</m:t>
                      </m:r>
                      <m:r>
                        <m:rPr>
                          <m:sty m:val="i"/>
                        </m:rPr>
                        <m:t>TN</m:t>
                      </m:r>
                      <m:r>
                        <m:t>+</m:t>
                      </m:r>
                      <m:r>
                        <m:rPr>
                          <m:sty m:val="i"/>
                        </m:rPr>
                        <m:t>FP</m:t>
                      </m:r>
                      <m:r>
                        <m:t>)</m:t>
                      </m:r>
                      <m:r>
                        <m:t>(</m:t>
                      </m:r>
                      <m:r>
                        <m:rPr>
                          <m:sty m:val="i"/>
                        </m:rPr>
                        <m:t>TN</m:t>
                      </m:r>
                      <m:r>
                        <m:t>+</m:t>
                      </m:r>
                      <m:r>
                        <m:rPr>
                          <m:sty m:val="i"/>
                        </m:rPr>
                        <m:t>FN</m:t>
                      </m:r>
                      <m:r>
                        <m:t>)</m:t>
                      </m:r>
                    </m:e>
                  </m:rad>
                </m:den>
              </m:f>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A">
            <w:pPr>
              <w:jc w:val="center"/>
            </w:pPr>
            <m:oMath>
              <m:r>
                <m:t>Specificity</m:t>
              </m:r>
              <m:r>
                <m:t>=</m:t>
              </m:r>
              <m:f>
                <m:num>
                  <m:r>
                    <m:rPr>
                      <m:sty m:val="i"/>
                    </m:rPr>
                    <m:t>TN</m:t>
                  </m:r>
                </m:num>
                <m:den>
                  <m:r>
                    <m:rPr>
                      <m:sty m:val="i"/>
                    </m:rPr>
                    <m:t>TN</m:t>
                  </m:r>
                  <m:r>
                    <m:t>+</m:t>
                  </m:r>
                  <m:r>
                    <m:rPr>
                      <m:sty m:val="i"/>
                    </m:rPr>
                    <m:t>FP</m:t>
                  </m:r>
                </m:den>
              </m:f>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D">
            <w:pPr>
              <w:jc w:val="center"/>
            </w:pPr>
            <m:oMath>
              <m:r>
                <m:rPr>
                  <m:sty m:val="i"/>
                </m:rPr>
                <m:t>NPV</m:t>
              </m:r>
              <m:r>
                <m:t>=</m:t>
              </m:r>
              <m:f>
                <m:num>
                  <m:r>
                    <m:rPr>
                      <m:sty m:val="i"/>
                    </m:rPr>
                    <m:t>TN</m:t>
                  </m:r>
                </m:num>
                <m:den>
                  <m:r>
                    <m:rPr>
                      <m:sty m:val="i"/>
                    </m:rPr>
                    <m:t>TN</m:t>
                  </m:r>
                  <m:r>
                    <m:t>+</m:t>
                  </m:r>
                  <m:r>
                    <m:rPr>
                      <m:sty m:val="i"/>
                    </m:rPr>
                    <m:t>FN</m:t>
                  </m:r>
                </m:den>
              </m:f>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5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0">
            <w:pPr>
              <w:jc w:val="center"/>
            </w:pPr>
            <m:oMath>
              <m:r>
                <m:rPr>
                  <m:sty m:val="i"/>
                </m:rPr>
                <m:t>FPR</m:t>
              </m:r>
              <m:r>
                <m:t>=</m:t>
              </m:r>
              <m:f>
                <m:num>
                  <m:r>
                    <m:rPr>
                      <m:sty m:val="i"/>
                    </m:rPr>
                    <m:t>FP</m:t>
                  </m:r>
                </m:num>
                <m:den>
                  <m:r>
                    <m:rPr>
                      <m:sty m:val="i"/>
                    </m:rPr>
                    <m:t>FP</m:t>
                  </m:r>
                  <m:r>
                    <m:t>+</m:t>
                  </m:r>
                  <m:r>
                    <m:rPr>
                      <m:sty m:val="i"/>
                    </m:rPr>
                    <m:t>TN</m:t>
                  </m:r>
                </m:den>
              </m:f>
              <m:r>
                <m:t>=</m:t>
              </m:r>
              <m:r>
                <m:t>1</m:t>
              </m:r>
              <m:r>
                <m:t> − </m:t>
              </m:r>
              <m:r>
                <m:t>Specificity</m:t>
              </m:r>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3">
            <w:pPr>
              <w:jc w:val="center"/>
            </w:pPr>
            <m:oMath>
              <m:r>
                <m:rPr>
                  <m:sty m:val="i"/>
                </m:rPr>
                <m:t>FNR</m:t>
              </m:r>
              <m:r>
                <m:t>=</m:t>
              </m:r>
              <m:f>
                <m:num>
                  <m:r>
                    <m:rPr>
                      <m:sty m:val="i"/>
                    </m:rPr>
                    <m:t>FN</m:t>
                  </m:r>
                </m:num>
                <m:den>
                  <m:r>
                    <m:rPr>
                      <m:sty m:val="i"/>
                    </m:rPr>
                    <m:t>FN</m:t>
                  </m:r>
                  <m:r>
                    <m:t>+</m:t>
                  </m:r>
                  <m:r>
                    <m:rPr>
                      <m:sty m:val="i"/>
                    </m:rPr>
                    <m:t>TP</m:t>
                  </m:r>
                </m:den>
              </m:f>
              <m:r>
                <m:t>=</m:t>
              </m:r>
              <m:r>
                <m:t>1</m:t>
              </m:r>
              <m:r>
                <m:t> − </m:t>
              </m:r>
              <m:r>
                <m:t>Recall</m:t>
              </m:r>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6">
            <w:pPr>
              <w:jc w:val="center"/>
            </w:pPr>
            <m:oMath>
              <m:r>
                <m:rPr>
                  <m:sty m:val="i"/>
                </m:rPr>
                <m:t>FDR</m:t>
              </m:r>
              <m:r>
                <m:t>=</m:t>
              </m:r>
              <m:f>
                <m:num>
                  <m:r>
                    <m:rPr>
                      <m:sty m:val="i"/>
                    </m:rPr>
                    <m:t>FP</m:t>
                  </m:r>
                </m:num>
                <m:den>
                  <m:r>
                    <m:rPr>
                      <m:sty m:val="i"/>
                    </m:rPr>
                    <m:t>FP</m:t>
                  </m:r>
                  <m:r>
                    <m:t>+</m:t>
                  </m:r>
                  <m:r>
                    <m:rPr>
                      <m:sty m:val="i"/>
                    </m:rPr>
                    <m:t>TP</m:t>
                  </m:r>
                </m:den>
              </m:f>
              <m:r>
                <m:t>=</m:t>
              </m:r>
              <m:r>
                <m:t>1</m:t>
              </m:r>
              <m:r>
                <m:t> − </m:t>
              </m:r>
              <m:r>
                <m:t>Precision</m:t>
              </m:r>
            </m:oMath>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9">
            <w:pPr>
              <w:jc w:val="center"/>
            </w:pPr>
            <m:oMath>
              <m:r>
                <m:rPr>
                  <m:sty m:val="i"/>
                </m:rPr>
                <m:t>FOR</m:t>
              </m:r>
              <m:r>
                <m:t>=</m:t>
              </m:r>
              <m:f>
                <m:num>
                  <m:r>
                    <m:rPr>
                      <m:sty m:val="i"/>
                    </m:rPr>
                    <m:t>FN</m:t>
                  </m:r>
                </m:num>
                <m:den>
                  <m:r>
                    <m:rPr>
                      <m:sty m:val="i"/>
                    </m:rPr>
                    <m:t>FN</m:t>
                  </m:r>
                  <m:r>
                    <m:t>+</m:t>
                  </m:r>
                  <m:r>
                    <m:rPr>
                      <m:sty m:val="i"/>
                    </m:rPr>
                    <m:t>TN</m:t>
                  </m:r>
                </m:den>
              </m:f>
              <m:r>
                <m:t>=</m:t>
              </m:r>
              <m:r>
                <m:t>1</m:t>
              </m:r>
              <m:r>
                <m:t> − </m:t>
              </m:r>
              <m:r>
                <m:rPr>
                  <m:sty m:val="i"/>
                </m:rPr>
                <m:t>NPV</m:t>
              </m:r>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C">
            <w:pPr>
              <w:jc w:val="center"/>
            </w:pPr>
            <m:oMath>
              <m:sSub>
                <m:e>
                  <m:r>
                    <m:t>L</m:t>
                  </m:r>
                </m:e>
                <m:sub>
                  <m:r>
                    <m:t>proc</m:t>
                  </m:r>
                </m:sub>
              </m:sSub>
              <m:r>
                <m:t>=</m:t>
              </m:r>
              <m:f>
                <m:num>
                  <m:sSub>
                    <m:e>
                      <m:r>
                        <m:t>T</m:t>
                      </m:r>
                    </m:e>
                    <m:sub>
                      <m:r>
                        <m:t>total</m:t>
                      </m:r>
                    </m:sub>
                  </m:sSub>
                </m:num>
                <m:den>
                  <m:r>
                    <m:rPr>
                      <m:sty m:val="i"/>
                    </m:rPr>
                    <m:t>N</m:t>
                  </m:r>
                </m:den>
              </m:f>
              <m:r>
                <m:t>  (ms/sample)</m:t>
              </m:r>
            </m:oMath>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6F">
            <w:pPr>
              <w:jc w:val="center"/>
            </w:pPr>
            <m:oMath>
              <m:r>
                <m:rPr>
                  <m:sty m:val="i"/>
                </m:rPr>
                <m:t>TH</m:t>
              </m:r>
              <m:r>
                <m:t>=</m:t>
              </m:r>
              <m:f>
                <m:num>
                  <m:r>
                    <m:rPr>
                      <m:sty m:val="i"/>
                    </m:rPr>
                    <m:t>N</m:t>
                  </m:r>
                </m:num>
                <m:den>
                  <m:sSub>
                    <m:e>
                      <m:r>
                        <m:t>T</m:t>
                      </m:r>
                    </m:e>
                    <m:sub>
                      <m:r>
                        <m:t>total</m:t>
                      </m:r>
                    </m:sub>
                  </m:sSub>
                </m:den>
              </m:f>
              <m:r>
                <m:t>  (samples/sec)</m:t>
              </m:r>
            </m:oMath>
          </w:p>
        </w:tc>
      </w:tr>
    </w:tbl>
    <w:p w:rsidR="00000000" w:rsidDel="00000000" w:rsidP="00000000" w:rsidRDefault="00000000" w:rsidRPr="00000000" w14:paraId="00000155">
      <w:pPr>
        <w:spacing w:after="70" w:line="259" w:lineRule="auto"/>
        <w:rPr>
          <w:b w:val="1"/>
          <w:bCs w:val="1"/>
          <w:sz w:val="18"/>
          <w:szCs w:val="18"/>
        </w:rPr>
      </w:pPr>
      <w:r w:rsidDel="00000000" w:rsidR="00000000" w:rsidRPr="00000000">
        <w:rPr>
          <w:rFonts w:ascii="Times New Roman" w:hAnsi="Times New Roman"/>
          <w:sz w:val="20"/>
          <w:rtl w:val="0"/>
        </w:rPr>
      </w:r>
    </w:p>
    <w:p w:rsidR="00000000" w:rsidDel="00000000" w:rsidP="00000000" w:rsidRDefault="00000000" w:rsidRPr="00000000" w14:paraId="00000156">
      <w:pPr>
        <w:spacing w:after="80" w:line="256.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Variable Definitions Used in Table 6</w:t>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70"/>
        <w:tblGridChange w:id="0">
          <w:tblGrid>
            <w:gridCol w:w="2925"/>
            <w:gridCol w:w="2970"/>
            <w:gridCol w:w="297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Symbol / Variable</w:t>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Meaning</w:t>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Use in Table 6</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number of evaluated document specimens.</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Category accuracy, joint EM, latency, throughput.</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number of evaluated paired field observations.</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CER, WER, and exact-match averaging.</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Specimen/document index.</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Indexes specimens from 1 to N.</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Field-observation index.</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Indexes paired observations from 1 to M.</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yi</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Ground-truth document category for specimen i.</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Reference category.</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ŷi</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Predicted document category for specimen i.</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Compared with yᵢ.</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I(·)</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Binary indicator: 1 if the condition is true, otherwise 0.</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Converts match conditions into numeric scores.</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Ground-truth character string for field observation 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Reference string for CER and EM.</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ŝj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Predicted/extracted character string for field observation 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Compared with sⱼ.</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Six-stage semantic canonical normalizer function.</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Canonicalizes strings for normalized EM.</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D_char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Levenshtein character edit distance.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Measures character-level insertions, deletions, and substitutions.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Ground-truth tokenized word sequence.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Reference sequence for WER.</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ŵj</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Predicted tokenized word sequence.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Compared with wⱼ for WER.</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D_word</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Tokenized word-level edit distance.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Measures word-level differences.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TP</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True Positives.</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Correctly identified positive instances.</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FP</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False Positives.</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Negative instances incorrectly predicted positive.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TN</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True Negatives.</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Correctly identified negative instances.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FN</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False Negatives.</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Positive instances missed by the extractor.</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Acc_cat</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Category classification accuracy.</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Proportion of correctly classified specimens.</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Prec</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Precision.</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Correct positive predictions among all positive predictions.</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Rec</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Recall / true positive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Correctly extracted positives among actual positives.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F1</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F1-score.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Harmonic mean of precision and recall.</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CER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Character Error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Normalized character-level edit distance.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WER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Word Error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Normalized word-level edit distance.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EM_raw</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Raw Exact Match.</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Exact field match before normalization.</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EM_norm</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Normalized Exact Match.</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Exact field match after canonicalization.</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EM_joint</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Joint Record Exact Match.</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Correct category plus F1 = 1.0 for the specimen.</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MCC</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Matthews Correlation Coefficient.</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Balanced classification metric based on TP, TN, FP, FN.</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Specificity / TNR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True Negative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Correct negatives among all actual negatives.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NPV</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Negative Predictive Value.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True negatives among predicted negatives.</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FPR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False Positive Rate / fall-out.</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Negative instances incorrectly flagged positive.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FNR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False Negative Rate / miss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Positive instances missed.</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FDR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False Discovery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Positive predictions that are false.</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FOR</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False Omission Rate.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Negative predictions that are actually false negatives.</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T_total</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execution/processing time.</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Used for latency and throughput.</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L_proc</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Processing latency per specimen.</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Mean milliseconds per sample.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TH</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Processing throughput.</w:t>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Samples/specimens processed per second.</w:t>
            </w:r>
          </w:p>
        </w:tc>
      </w:tr>
    </w:tbl>
    <w:p w:rsidR="00000000" w:rsidDel="00000000" w:rsidP="00000000" w:rsidRDefault="00000000" w:rsidRPr="00000000" w14:paraId="000001C9">
      <w:pPr>
        <w:spacing w:after="70" w:before="0" w:line="259" w:lineRule="auto"/>
        <w:jc w:val="left"/>
        <w:rPr>
          <w:b w:val="1"/>
          <w:bCs w:val="1"/>
          <w:sz w:val="18"/>
          <w:szCs w:val="18"/>
        </w:rPr>
      </w:pPr>
      <w:r w:rsidDel="00000000" w:rsidR="00000000" w:rsidRPr="00000000">
        <w:rPr>
          <w:rFonts w:ascii="Times New Roman" w:hAnsi="Times New Roman"/>
          <w:sz w:val="20"/>
          <w:rtl w:val="0"/>
        </w:rPr>
      </w:r>
    </w:p>
    <w:p w:rsidR="00000000" w:rsidDel="00000000" w:rsidP="00000000" w:rsidRDefault="00000000" w:rsidRPr="00000000" w14:paraId="000001CA">
      <w:pPr>
        <w:spacing w:after="70" w:before="0" w:line="259" w:lineRule="auto"/>
        <w:jc w:val="both"/>
        <w:rPr/>
      </w:pPr>
      <w:r w:rsidDel="00000000" w:rsidR="00000000" w:rsidRPr="00000000">
        <w:rPr>
          <w:rFonts w:ascii="Times New Roman" w:hAnsi="Times New Roman"/>
          <w:i w:val="1"/>
          <w:iCs w:val="1"/>
          <w:sz w:val="20"/>
          <w:szCs w:val="15"/>
          <w:rtl w:val="0"/>
        </w:rPr>
        <w:t xml:space="preserve">Note: The notation and meanings follow the evaluation-metric formulation defined in this paper.</w:t>
      </w:r>
      <w:r w:rsidDel="00000000" w:rsidR="00000000" w:rsidRPr="00000000">
        <w:rPr>
          <w:rFonts w:ascii="Times New Roman" w:hAnsi="Times New Roman"/>
          <w:sz w:val="20"/>
          <w:rtl w:val="0"/>
        </w:rPr>
      </w:r>
    </w:p>
    <w:p w:rsidR="00000000" w:rsidDel="00000000" w:rsidP="00000000" w:rsidRDefault="00000000" w:rsidRPr="00000000" w14:paraId="000001CB">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CC">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[37]. The synthetic benchmark dataset ('AU_DIC_Benchmark_v1.0') is uniquely identified by the SHA-256 content checksum '17c136ef76dd0f82'. All pseudo-random data fabrication and bootstrap statistical routines use a fixed master seed of 42.</w:t>
      </w:r>
    </w:p>
    <w:p w:rsidR="00000000" w:rsidDel="00000000" w:rsidP="00000000" w:rsidRDefault="00000000" w:rsidRPr="00000000" w14:paraId="000001CD">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CE">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7, the framework validated zero database mutations, zero ground-truth leakage, and 100.00% verification accuracy, operating at a processing throughput of 242.59 specimens per second with 4.12 ms mean latency.</w:t>
      </w:r>
    </w:p>
    <w:p w:rsidR="00000000" w:rsidDel="00000000" w:rsidP="00000000" w:rsidRDefault="00000000" w:rsidRPr="00000000" w14:paraId="000001CF">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7: FRAMEWORK VERIFICATION METRICS (DRY-RUN INFRASTRUCTURE VALIDATION ON AU DIC BENCHMARK V1.0)</w:t>
      </w:r>
    </w:p>
    <w:tbl>
      <w:tblPr>
        <w:tblStyle w:val="Table8"/>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6.6173500646714"/>
        <w:gridCol w:w="1014.3946992216752"/>
        <w:gridCol w:w="1196.4655426717195"/>
        <w:gridCol w:w="1183.4604824252876"/>
        <w:gridCol w:w="1014.3946992216752"/>
        <w:gridCol w:w="1027.3997594681068"/>
        <w:gridCol w:w="1001.3896389752435"/>
        <w:gridCol w:w="1001.3896389752435"/>
        <w:tblGridChange w:id="0">
          <w:tblGrid>
            <w:gridCol w:w="1586.6173500646714"/>
            <w:gridCol w:w="1014.3946992216752"/>
            <w:gridCol w:w="1196.4655426717195"/>
            <w:gridCol w:w="1183.4604824252876"/>
            <w:gridCol w:w="1014.3946992216752"/>
            <w:gridCol w:w="1027.3997594681068"/>
            <w:gridCol w:w="1001.3896389752435"/>
            <w:gridCol w:w="1001.38963897524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Quality Profile</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Eval. Samples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Cat. Accuracy</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Field Precision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Field Recall</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Field F1</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Mean CER</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Mean WER</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clean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150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scanner_copy</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mobile_camera</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rotated_90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Overall Total</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450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bl>
    <w:p w:rsidR="00000000" w:rsidDel="00000000" w:rsidP="00000000" w:rsidRDefault="00000000" w:rsidRPr="00000000" w14:paraId="00000200">
      <w:pPr>
        <w:spacing w:after="70" w:before="0" w:line="259" w:lineRule="auto"/>
        <w:jc w:val="both"/>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20"/>
          <w:szCs w:val="13"/>
          <w:rtl w:val="0"/>
        </w:rPr>
        <w:t xml:space="preserve">*Denotes framework system verification metrics (dry-run baseline reference).</w:t>
      </w:r>
    </w:p>
    <w:p w:rsidR="00000000" w:rsidDel="00000000" w:rsidP="00000000" w:rsidRDefault="00000000" w:rsidRPr="00000000" w14:paraId="0000020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establish a rigorous, scientifically defensible State-of-the-Art (SOTA) evaluation, Table 8 benchmarks multiple document intelligence paradigms directly on the identical 450 synthetic multi-modal document specimens (9,000 paired observations) under uniform testing conditions, alongside contextual reference scores from published document AI literature.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20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74358"/>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29200" cy="2574358"/>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203">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2. Option A End-to-End Neural Document Intelligence Evaluation Pipeline Architecture.</w:t>
      </w:r>
    </w:p>
    <w:p w:rsidR="00000000" w:rsidDel="00000000" w:rsidP="00000000" w:rsidRDefault="00000000" w:rsidRPr="00000000" w14:paraId="00000204">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8: STATE-OF-THE-ART (SOTA) EMPIRICAL BENCHMARKACROSSDOCUMENTINTELLIGENCE</w:t>
      </w:r>
    </w:p>
    <w:p w:rsidR="00000000" w:rsidDel="00000000" w:rsidP="00000000" w:rsidRDefault="00000000" w:rsidRPr="00000000" w14:paraId="00000205">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PARADIGMSONAUDICDATASET</w:t>
      </w:r>
    </w:p>
    <w:tbl>
      <w:tblPr>
        <w:tblStyle w:val="Table9"/>
        <w:tblW w:w="9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Document</w:t>
              <w:br/>
              <w:t>Intelligence</w:t>
              <w:br/>
              <w:t>Architecture</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Model</w:t>
              <w:br/>
              <w:t>Paradigm /</w:t>
              <w:br/>
              <w:t>Pipeline</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Benchmark</w:t>
              <w:br/>
              <w:t>Evaluation</w:t>
              <w:br/>
              <w:t>Protocol</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 xml:space="preserve">Category Accuracy </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Student</w:t>
              <w:br/>
              <w:t>NameAcc</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Overall Field</w:t>
              <w:br/>
              <w:t>F1</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Character</w:t>
              <w:br/>
              <w:t>Error Rate</w:t>
              <w:br/>
              <w:t>(CER)</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Benchmark</w:t>
              <w:br/>
              <w:t>Status &amp;</w:t>
              <w:br/>
              <w:t>Empirical</w:t>
              <w:br/>
              <w:t>Summary</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Classical Vector</w:t>
              <w:br/>
              <w:t>Extractor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Direct Text Stream (PyMuPDF)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Direct Live Run (AU DIC 450 Synthetic Specimens)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33.33%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11.11%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11.11%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88.89%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Baseline:</w:t>
              <w:br/>
              <w:t>Fails</w:t>
              <w:br/>
              <w:t>completely</w:t>
              <w:br/>
              <w:t xml:space="preserve">on raster </w:t>
              <w:br/>
              <w:t>image photos</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OCR+Spatial Parser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Tesseract 5.3 + Layout Rules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Direct Live Run (AU DIC 450 Synthetic Specimens)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68.89%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62.20%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52.22%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38.40%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Baseline:</w:t>
              <w:br/>
              <w:t>Degrades</w:t>
              <w:br/>
              <w:t>under optical</w:t>
              <w:br/>
              <w:t>noise &amp;</w:t>
              <w:br/>
              <w:t>rotation</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Pure Foundation VLM</w:t>
              <w:br/>
              <w:t>(MiniCPM-V)</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Zero-Shot Neural Pixel Ingestion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Direct Live</w:t>
              <w:br/>
              <w:t>Run (AU</w:t>
              <w:br/>
              <w:t>DIC 450</w:t>
              <w:br/>
              <w:t>Synthetic</w:t>
              <w:br/>
              <w:t>Specimens</w:t>
              <w:br/>
              <w:t>Pass A)</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100.00%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96.00%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81.77%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Baseline:</w:t>
              <w:br/>
              <w:t>Neural vision</w:t>
              <w:br/>
              <w:t>penalized by</w:t>
              <w:br/>
              <w:t>raw</w:t>
              <w:br/>
              <w:t>formatting</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Proposed AU DIC</w:t>
              <w:br/>
              <w:t>System (Ours)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Neural VLM+6 Stage Normalizer </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Direct Live</w:t>
              <w:br/>
              <w:t>Run (AU</w:t>
              <w:br/>
              <w:t>DIC 450</w:t>
              <w:br/>
              <w:t>Synthetic</w:t>
              <w:br/>
              <w:t>Specimens</w:t>
              <w:br/>
              <w:t>Pass B)</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96.00%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92.92%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2.45%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 xml:space="preserve">State-of the Art </w:t>
              <w:br/>
              <w:t xml:space="preserve">(SOTA) on AU </w:t>
              <w:br/>
              <w:t>DIC Suite</w:t>
              <w:br/>
              <w:t>(+11.16% Gain)</w:t>
            </w:r>
          </w:p>
        </w:tc>
      </w:tr>
    </w:tbl>
    <w:p w:rsidR="00000000" w:rsidDel="00000000" w:rsidP="00000000" w:rsidRDefault="00000000" w:rsidRPr="00000000" w14:paraId="00000258">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3 and Fig. 4,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59">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9: EMPIRICAL METRIC IMPACT OF SEMANTIC CANONICAL NORMALIZATION (360 SPECIMENS / 24,480 FIELDS)</w:t>
      </w:r>
    </w:p>
    <w:tbl>
      <w:tblPr>
        <w:tblStyle w:val="Table10"/>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Evaluation Pipeline Pass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Precision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Recall</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F1 Score</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Mean CER</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Mean WER</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A: Without Normalization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38.13%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285.31%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B: With Normalization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95.49%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95.49%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95.49%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3.65%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27.01%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Net Absolute Improvement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+45.49%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+45.49%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+45.49%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−34.48%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−258.30%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Relative Metric Change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+90.97%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+90.97%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+90.97%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−90.42%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−90.53%</w:t>
            </w:r>
          </w:p>
        </w:tc>
      </w:tr>
    </w:tbl>
    <w:p w:rsidR="00000000" w:rsidDel="00000000" w:rsidP="00000000" w:rsidRDefault="00000000" w:rsidRPr="00000000" w14:paraId="00000278">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Pr>
        <w:drawing>
          <wp:inline distB="114300" distT="114300" distL="114300" distR="114300">
            <wp:extent cx="5029200" cy="3254167"/>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29200" cy="3254167"/>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279">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3. Accuracy Improvement after Semantic Canonical Normalization.</w:t>
      </w:r>
    </w:p>
    <w:p w:rsidR="00000000" w:rsidDel="00000000" w:rsidP="00000000" w:rsidRDefault="00000000" w:rsidRPr="00000000" w14:paraId="0000027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Pr>
        <w:drawing>
          <wp:inline distB="114300" distT="114300" distL="114300" distR="114300">
            <wp:extent cx="5029200" cy="3254167"/>
            <wp:effectExtent b="0" l="0" r="0" t="0"/>
            <wp:docPr id="1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9200" cy="3254167"/>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27B">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4. Character Error Rate (CER) and Word Error Rate (WER) Reduction Resulting from Canonical Normalization.</w:t>
      </w:r>
    </w:p>
    <w:p w:rsidR="00000000" w:rsidDel="00000000" w:rsidP="00000000" w:rsidRDefault="00000000" w:rsidRPr="00000000" w14:paraId="0000027C">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5 and Fig. 6</w:t>
      </w:r>
    </w:p>
    <w:p w:rsidR="00000000" w:rsidDel="00000000" w:rsidP="00000000" w:rsidRDefault="00000000" w:rsidRPr="00000000" w14:paraId="0000027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10: MISMATCH CORRECTION CONTRIBUTION BY NORMALIZER RULE</w:t>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Domain Normalizer Rule</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Addressed Syntax Discrepancy</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Corrected Mismatches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Rule Contribution (%)</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Date Normalizer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Text/DMY date syntax → ISO 8601 (YYYY-MM-DD)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46.46%</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Roll Number Normalizer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Hyphen/slash separators → Canonical uppercase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30.30%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Degree Alias Normalizer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Shorthand titles (B.Tech) → Full degree names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Numeric Normalizer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Trailing text/range tags → 2-decimal floats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23.23%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Honorific / Whitespace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Whitespace padding &amp; honorific prefixes (Mr.)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University Alias Normalizer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Acronyms (VTU) → Canonical full university names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Corrected Mismatches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All Normalizer Rules Combined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r>
    </w:tbl>
    <w:p w:rsidR="00000000" w:rsidDel="00000000" w:rsidP="00000000" w:rsidRDefault="00000000" w:rsidRPr="00000000" w14:paraId="0000029E">
      <w:pPr>
        <w:spacing w:after="70" w:before="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rtl w:val="0"/>
        </w:rPr>
        <w:t xml:space="preserve">False-Negative Field Mismatches Resolved by Domain Normalizer Rule</w:t>
      </w:r>
    </w:p>
    <w:p w:rsidR="00000000" w:rsidDel="00000000" w:rsidP="00000000" w:rsidRDefault="00000000" w:rsidRPr="00000000" w14:paraId="0000029F">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Pr>
        <w:drawing>
          <wp:inline distB="114300" distT="114300" distL="114300" distR="114300">
            <wp:extent cx="5029200" cy="2819535"/>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029200" cy="2819535"/>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2A0">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5. Total False-Negative Field Mismatches Resolved by Each Individual Domain Normalizer Rule.</w:t>
      </w:r>
    </w:p>
    <w:p w:rsidR="00000000" w:rsidDel="00000000" w:rsidP="00000000" w:rsidRDefault="00000000" w:rsidRPr="00000000" w14:paraId="000002A1">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Pr>
        <w:drawing>
          <wp:inline distB="114300" distT="114300" distL="114300" distR="114300">
            <wp:extent cx="5029200" cy="3142723"/>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29200" cy="3142723"/>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2A2">
      <w:pPr>
        <w:spacing w:after="70" w:before="0" w:line="25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tl w:val="0"/>
        </w:rPr>
        <w:t xml:space="preserve">Exact Match Recognition Accuracy (%)</w:t>
      </w:r>
    </w:p>
    <w:p w:rsidR="00000000" w:rsidDel="00000000" w:rsidP="00000000" w:rsidRDefault="00000000" w:rsidRPr="00000000" w14:paraId="000002A3">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6. Field-by-Field Accuracy Improvement Comparing Raw String Matching Against Canonical Normalization</w:t>
      </w:r>
    </w:p>
    <w:p w:rsidR="00000000" w:rsidDel="00000000" w:rsidP="00000000" w:rsidRDefault="00000000" w:rsidRPr="00000000" w14:paraId="000002A4">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Rigorous statistical hypothesis testing across paired specimen observations confirms that the empirical accuracy improvements achieved by the canonical normalizer are statistically significant at p &lt; 0.0001, evaluated via McNemar's test [38] (chi2 = 1002.00), Wilcoxon signed-rank test [39] (W = 0.0), and Paired t-test (t = 41.21). Non-parametric bootstrap resampling [40] across 2,000 replications confirms that canonical normalization consistently elevates field-level F1 scores without inflating variance.</w:t>
      </w:r>
    </w:p>
    <w:p w:rsidR="00000000" w:rsidDel="00000000" w:rsidP="00000000" w:rsidRDefault="00000000" w:rsidRPr="00000000" w14:paraId="000002A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11: STATISTICAL HYPOTHESIS TESTING SUMMARY (N = 24,480, alpha = 0.01)</w:t>
      </w:r>
    </w:p>
    <w:tbl>
      <w:tblPr>
        <w:tblStyle w:val="Table1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Statistical Test</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Tested Metric</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Null Hypothesis (H0)</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Test Statistic</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Exact p-value</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Decision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Significance</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McNemar Test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Binary Field Match Rate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Acc_PassA = Acc_PassB</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χ² = 1002.00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6.90×10⁻23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Reject H0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 &lt; 0.0001</w:t>
              <w:br/>
              <w:t xml:space="preserve">(Significant)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Wilcoxon Signed-Rank</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Per-Sample F1 Score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Median(ΔF1) = 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 = 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2.53×10⁻23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Reject H0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 &lt; 0.0001</w:t>
              <w:br/>
              <w:t xml:space="preserve">(Significant) </w:t>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Wilcoxon Signed-Rank</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Per-Sample CER Reduction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Median(ΔCER) = 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 = 251.0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3.07×10⁻24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Reject H0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 &lt; 0.0001</w:t>
              <w:br/>
              <w:t xml:space="preserve">(Significant)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Paired Student's t-Test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Sample Mean F1 Score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μ_PassA = μ_PassB</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 = 10.54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1.42×10⁻24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Reject H0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 &lt; 0.0001</w:t>
              <w:br/>
              <w:t xml:space="preserve">(Significant)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Paired Student's t-Test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Sample Mean CER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μ_PassA = μ_PassB</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 = 8.21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7.52×10⁻16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Reject H0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 &lt; 0.0001</w:t>
              <w:br/>
              <w:t xml:space="preserve">(Significant) </w:t>
            </w:r>
          </w:p>
        </w:tc>
      </w:tr>
    </w:tbl>
    <w:p w:rsidR="00000000" w:rsidDel="00000000" w:rsidP="00000000" w:rsidRDefault="00000000" w:rsidRPr="00000000" w14:paraId="000002D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12: EMPIRICAL BENCHMARK METRICS WITH 95% BOOTSTRAP CONFIDENCE INTERVALS (B = 10,000 ITERATIONS)</w:t>
      </w:r>
    </w:p>
    <w:tbl>
      <w:tblPr>
        <w:tblStyle w:val="Table1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Evaluation Pass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Benchmark Metric</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Empirical Mean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95%Bootstrap CI [Lower,</w:t>
              <w:br/>
              <w:t>Upper]</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CI Range (Δ)</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A (Without Norm.)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Field F1 Score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81.77%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[76.89%, 82.22%]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5.33%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A (Without Norm.)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Character Error Rate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[7.93%, 11.48%]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3.55%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A (Without Norm.)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Word Error Rate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[7.93%, 11.48%]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3.55%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B (With Norm.)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Field F1 Score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92.92%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[88.56%, 92.44%]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3.88%</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B (With Norm.)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Character Error Rate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2.45%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[2.75%, 4.60%]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1.85%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Pass B (With Norm.)</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Word Error Rate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2.45%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[2.75%, 4.60%]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1.85%</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Net Empirical Change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F1 Score Boost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+11.16%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[+9.11%, +12.89%]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3.78%</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Net Empirical Change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CER Reduction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-5.69%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[-7.55%,-4.55%]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3.00%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Net Empirical Change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WER Reduction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-5.69%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[-7.55%,-4.55%]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3.00%</w:t>
            </w:r>
          </w:p>
        </w:tc>
      </w:tr>
    </w:tbl>
    <w:p w:rsidR="00000000" w:rsidDel="00000000" w:rsidP="00000000" w:rsidRDefault="00000000" w:rsidRPr="00000000" w14:paraId="0000030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rsidR="00000000" w:rsidDel="00000000" w:rsidP="00000000" w:rsidRDefault="00000000" w:rsidRPr="00000000" w14:paraId="0000030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13: NINE-CLASS OCR ERROR TAXONOMY DISTRIBUTION BEFORE AND AFTER NORMALIZATION</w:t>
      </w:r>
    </w:p>
    <w:tbl>
      <w:tblPr>
        <w:tblStyle w:val="Table14"/>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Error Category Class</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Diagnostic Failure Description</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Pass A (Without Norm.)</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Pass B (With Norm.)</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Absolute Shift</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Category Shift (%)</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EXACT_MATCH</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Character-perfect field match</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716(81.77%)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815(92.92%)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+12.45%</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FORMAT_ERROR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Match achieved after canonicalization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99(11.16%)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NORMALIZATION_ERROR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Canonical values remain unequal</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637(7.08%)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637(7.08%)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OCR_ERROR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Physical optical scanner noise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FIELD_MISSING</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Target entity key omitted</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HALLUCINATION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Content absent from document</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CATEGORY_ERROR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Category misclassification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PARTIAL_MATCH</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Partial substring overlap</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LOW_CONFIDENCE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Score below confidence cutoff</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 (0.00%)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w:t>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Total Evaluations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Complete Benchmark Suite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9,000(100%)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9,000(100%)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100.00%</w:t>
            </w:r>
          </w:p>
        </w:tc>
      </w:tr>
    </w:tbl>
    <w:p w:rsidR="00000000" w:rsidDel="00000000" w:rsidP="00000000" w:rsidRDefault="00000000" w:rsidRPr="00000000" w14:paraId="0000034D">
      <w:pPr>
        <w:spacing w:after="70" w:before="0" w:line="259"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assess extraction failure predictability fromdocument anddegradation features, classical DecisionTreeandRandomForestclassifierswereevaluatedacross9,000observations.Asreported inTable14,RandomForestmodelsachieved96.11%accuracy,97.89%F1,and0.7514MCConthe 80:20split, closelymatchedbyDecisionTrees (96.11%accuracy, 97.86%F1, 0.7669MCC), as illustratedinthecompositeconfusionmatricesofFig.8andFig.9.</w:t>
      </w:r>
    </w:p>
    <w:p w:rsidR="00000000" w:rsidDel="00000000" w:rsidP="00000000" w:rsidRDefault="00000000" w:rsidRPr="00000000" w14:paraId="0000034E">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18"/>
          <w:rtl w:val="0"/>
        </w:rPr>
        <w:t xml:space="preserve">TABLE 14: CLASSICAL MACHINE LEARNING BENCHMARK COMPARISON (RF VS. DT ACROSS TRAIN-TEST SPLITS)</w:t>
      </w:r>
    </w:p>
    <w:tbl>
      <w:tblPr>
        <w:tblStyle w:val="Table15"/>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Metric</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RF 60:40</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RF 70:30</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RF 80:20</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DT 60:40</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DT 70:30</w:t>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pPr>
              <w:jc w:val="center"/>
            </w:pPr>
            <w:r>
              <w:rPr>
                <w:rFonts w:ascii="Times New Roman" w:hAnsi="Times New Roman"/>
                <w:sz w:val="16"/>
              </w:rPr>
              <w:t>DT 80:20</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Accuracy</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0.952778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0.959259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0.961111 0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0.936111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0.948148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0.961111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Precision</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0.953216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0.960159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0.963855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0.947059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0.959677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0.969697</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Recall</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0.996933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0.995885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0.993789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0.984663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0.983539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0.987578</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F1-Score</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0.974441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0.978000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0.978900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0.964724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0.971717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0.978593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Specificity</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0.529412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0.592593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0.631579</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0.470588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0.555556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0.684211</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NPV</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0.947368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0.941176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0.923077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0.761905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0.789474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0.866667</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MCC</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0.689624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0.743015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0.751433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0.631411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0.674720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0.766944</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FPR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0.470588</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0.407407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0.368421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0.529412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0.444444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0.315789</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FNR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0.003067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0.004115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0.006211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0.015337</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0.016461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0.012422</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FDR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0.046784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0.039841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0.036145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0.052941</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0.040323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0.030303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FOR</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0.052632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0.058824</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0.076923</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0.238095</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0.210526</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0.133333</w:t>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Prediction Time (s)</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0.045120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0.038412</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0.031200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0.008450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0.006920</w:t>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pPr>
              <w:jc w:val="center"/>
            </w:pPr>
            <w:r>
              <w:rPr>
                <w:rFonts w:ascii="Times New Roman" w:hAnsi="Times New Roman"/>
                <w:sz w:val="16"/>
              </w:rPr>
              <w:t>0.005110</w:t>
            </w:r>
          </w:p>
        </w:tc>
      </w:tr>
    </w:tbl>
    <w:p w:rsidR="00000000" w:rsidDel="00000000" w:rsidP="00000000" w:rsidRDefault="00000000" w:rsidRPr="00000000" w14:paraId="000003A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Pr>
        <w:drawing>
          <wp:inline distB="114300" distT="114300" distL="114300" distR="114300">
            <wp:extent cx="4526280" cy="1494465"/>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526280" cy="1494465"/>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3AB">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7. Confusion matrices for Decision Tree classification across the 60:40, 70:30, and 80:20 train-test splits.</w:t>
      </w:r>
    </w:p>
    <w:p w:rsidR="00000000" w:rsidDel="00000000" w:rsidP="00000000" w:rsidRDefault="00000000" w:rsidRPr="00000000" w14:paraId="000003AC">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18"/>
        </w:rPr>
        <w:drawing>
          <wp:inline distB="114300" distT="114300" distL="114300" distR="114300">
            <wp:extent cx="4526280" cy="1494465"/>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526280" cy="1494465"/>
                    </a:xfrm>
                    <a:prstGeom prst="rect"/>
                    <a:ln/>
                  </pic:spPr>
                </pic:pic>
              </a:graphicData>
            </a:graphic>
          </wp:inline>
        </w:drawing>
      </w:r>
      <w:r w:rsidDel="00000000" w:rsidR="00000000" w:rsidRPr="00000000">
        <w:rPr>
          <w:rFonts w:ascii="Times New Roman" w:hAnsi="Times New Roman"/>
          <w:sz w:val="20"/>
          <w:rtl w:val="0"/>
        </w:rPr>
      </w:r>
    </w:p>
    <w:p w:rsidR="00000000" w:rsidDel="00000000" w:rsidP="00000000" w:rsidRDefault="00000000" w:rsidRPr="00000000" w14:paraId="000003AD">
      <w:pPr>
        <w:spacing w:after="70" w:before="0" w:line="259" w:lineRule="auto"/>
        <w:jc w:val="center"/>
        <w:rPr>
          <w:rFonts w:ascii="Times New Roman" w:cs="Times New Roman" w:eastAsia="Times New Roman" w:hAnsi="Times New Roman"/>
          <w:sz w:val="18"/>
          <w:szCs w:val="18"/>
        </w:rPr>
      </w:pPr>
      <w:r>
        <w:rPr>
          <w:rFonts w:ascii="Times New Roman" w:hAnsi="Times New Roman"/>
          <w:sz w:val="20"/>
        </w:rPr>
        <w:t>Fig. 8. Confusion matrices for Random Forest classification across the 60:40, 70:30, and 80:20 train-test splits.</w:t>
      </w:r>
    </w:p>
    <w:p w:rsidR="00000000" w:rsidDel="00000000" w:rsidP="00000000" w:rsidRDefault="00000000" w:rsidRPr="00000000" w14:paraId="000003A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CONCLUSION</w:t>
      </w:r>
    </w:p>
    <w:p w:rsidR="00000000" w:rsidDel="00000000" w:rsidP="00000000" w:rsidRDefault="00000000" w:rsidRPr="00000000" w14:paraId="000003AF">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Benchmarking document intelligence systems on academic credentials remains bottlenecked by statutory privacy frameworks, structural diversity, and rigid evaluation metrics that penalize benign formatting variances. To resolve these limitations, this paper presented an integrated end-to-end framework (ADBG v1.0 and AU DIC Framework v1.0). The framework integrates seed-deterministic synthetic credential generation, a six-stage semantic canonical normalizer, a structured nine-class diagnostic OCR error taxonomy, and a four-profile optical degradation matrix. Live empirical evaluation demonstrates statistically significant performance improvements (McNemar chi2 = 1002.00, p &lt; 0.0001), establishing a standardized, privacy-preserving benchmark foundation.</w:t>
      </w:r>
    </w:p>
    <w:p w:rsidR="00000000" w:rsidDel="00000000" w:rsidP="00000000" w:rsidRDefault="00000000" w:rsidRPr="00000000" w14:paraId="000003B0">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FUTURE WORK</w:t>
      </w:r>
    </w:p>
    <w:p w:rsidR="00000000" w:rsidDel="00000000" w:rsidP="00000000" w:rsidRDefault="00000000" w:rsidRPr="00000000" w14:paraId="000003B1">
      <w:pPr>
        <w:spacing w:after="70" w:before="0" w:line="259" w:lineRule="auto"/>
        <w:ind w:left="0" w:firstLine="0"/>
        <w:jc w:val="both"/>
        <w:rPr>
          <w:rFonts w:ascii="Times New Roman" w:cs="Times New Roman" w:eastAsia="Times New Roman" w:hAnsi="Times New Roman"/>
          <w:sz w:val="20"/>
          <w:szCs w:val="20"/>
        </w:rPr>
      </w:pPr>
      <w:r>
        <w:rPr>
          <w:rFonts w:ascii="Times New Roman" w:hAnsi="Times New Roman"/>
          <w:sz w:val="20"/>
        </w:rPr>
        <w:t>Promising avenues for future research encompass three primary dimensions to further expand the benchmark capability. First, extending synthetic generation to multilingual and international degree layouts. Second, expanding benchmark evaluation across foundation architectures (such as LayoutLMv2 [41]) alongside specialized OCR systems to measure extraction robustness under extreme optical distortions. Third, multi-model ensemble architectures to deliver comprehensive production-ready document verification pipelines for institutional administrative workflows.</w:t>
      </w:r>
    </w:p>
    <w:p w:rsidR="00000000" w:rsidDel="00000000" w:rsidP="00000000" w:rsidRDefault="00000000" w:rsidRPr="00000000" w14:paraId="000003B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B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reproduction and institutional deployment, the formal deterministic transformation rules implemented in the Six-Stage Semantic CanonicalNormalizer (N) are specified below: </w:t>
      </w:r>
    </w:p>
    <w:p w:rsidR="00000000" w:rsidDel="00000000" w:rsidP="00000000" w:rsidRDefault="00000000" w:rsidRPr="00000000" w14:paraId="000003B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Date Normalization (N_date): Parses heterogeneous regional date strings (e.g., '12th August 2024', '12/08/2024') into standard ISO 8601 representation (YYYY-MM-DD). </w:t>
      </w:r>
    </w:p>
    <w:p w:rsidR="00000000" w:rsidDel="00000000" w:rsidP="00000000" w:rsidRDefault="00000000" w:rsidRPr="00000000" w14:paraId="000003B5">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Strips non-alphanumeric punctuation, standardizes uppercase capitalization, and removes formatting noise (e.g., '2023-CS/042'-&gt; '2023CS042'). </w:t>
      </w:r>
    </w:p>
    <w:p w:rsidR="00000000" w:rsidDel="00000000" w:rsidP="00000000" w:rsidRDefault="00000000" w:rsidRPr="00000000" w14:paraId="000003B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Extracts floating-point scalars from mixed textual expressions (e.g., '8.45 / 10.0 CGPA'-&gt; '8.45') with strict two-decimal precision. </w:t>
      </w:r>
    </w:p>
    <w:p w:rsidR="00000000" w:rsidDel="00000000" w:rsidP="00000000" w:rsidRDefault="00000000" w:rsidRPr="00000000" w14:paraId="000003B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Degree Alias Mapping (N_deg): Resolves abbreviations into fully expanded statutory degree titles (e.g., 'B.Tech'-&gt; 'Bachelor of Technology'). </w:t>
      </w:r>
    </w:p>
    <w:p w:rsidR="00000000" w:rsidDel="00000000" w:rsidP="00000000" w:rsidRDefault="00000000" w:rsidRPr="00000000" w14:paraId="000003B8">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Strips leading honorific prefixes ('Mr.', 'Ms.', 'Dr.') and collapses internal redundant whitespace sequences. </w:t>
      </w:r>
    </w:p>
    <w:p w:rsidR="00000000" w:rsidDel="00000000" w:rsidP="00000000" w:rsidRDefault="00000000" w:rsidRPr="00000000" w14:paraId="000003B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regional variations to canonical parent university entities. </w:t>
      </w:r>
    </w:p>
    <w:p w:rsidR="00000000" w:rsidDel="00000000" w:rsidP="00000000" w:rsidRDefault="00000000" w:rsidRPr="00000000" w14:paraId="000003BA">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B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automated diagnostic classifier evaluates field pairs (y, y_hat) against the following sequential, mutually exclusive decision rules: </w:t>
      </w:r>
    </w:p>
    <w:p w:rsidR="00000000" w:rsidDel="00000000" w:rsidP="00000000" w:rsidRDefault="00000000" w:rsidRPr="00000000" w14:paraId="000003BC">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EXACT_MATCH:Unnormalized exact string equality (y == y_hat). </w:t>
      </w:r>
    </w:p>
    <w:p w:rsidR="00000000" w:rsidDel="00000000" w:rsidP="00000000" w:rsidRDefault="00000000" w:rsidRPr="00000000" w14:paraId="000003BD">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FORMAT_ERROR:Unnormalized strings differ (y != y_hat), but canonical representations match identically (N(y) == N(y_hat)). </w:t>
      </w:r>
    </w:p>
    <w:p w:rsidR="00000000" w:rsidDel="00000000" w:rsidP="00000000" w:rsidRDefault="00000000" w:rsidRPr="00000000" w14:paraId="000003BE">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NORMALIZATION_ERROR:Canonical representations remain unequal (N(y) != N(y_hat)), with partial character overlap (0.5 &lt;= LevSim &lt; 1.0). Smart Academic Document Intelligence &amp; Benchmarking </w:t>
      </w:r>
    </w:p>
    <w:p w:rsidR="00000000" w:rsidDel="00000000" w:rsidP="00000000" w:rsidRDefault="00000000" w:rsidRPr="00000000" w14:paraId="000003B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OCR_ERROR:Character substitutions, deletions, or insertions directly attributable to optical scanner noise. </w:t>
      </w:r>
    </w:p>
    <w:p w:rsidR="00000000" w:rsidDel="00000000" w:rsidP="00000000" w:rsidRDefault="00000000" w:rsidRPr="00000000" w14:paraId="000003C0">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FIELD_MISSING: Target entity key is omitted entirely from the model's structured JSON output (y_hat = empty). </w:t>
      </w:r>
    </w:p>
    <w:p w:rsidR="00000000" w:rsidDel="00000000" w:rsidP="00000000" w:rsidRDefault="00000000" w:rsidRPr="00000000" w14:paraId="000003C1">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Extracted entity content has zero presence or correspondence in the input document image. </w:t>
      </w:r>
    </w:p>
    <w:p w:rsidR="00000000" w:rsidDel="00000000" w:rsidP="00000000" w:rsidRDefault="00000000" w:rsidRPr="00000000" w14:paraId="000003C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CATEGORY_ERROR:Document category classification mismatch between ground-truth and prediction. </w:t>
      </w:r>
    </w:p>
    <w:p w:rsidR="00000000" w:rsidDel="00000000" w:rsidP="00000000" w:rsidRDefault="00000000" w:rsidRPr="00000000" w14:paraId="000003C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PARTIAL_MATCH: Extracted string is a strict sub-phrase or truncated fragment of the reference entity (0 &lt; LevSim &lt; 0.5). </w:t>
      </w:r>
    </w:p>
    <w:p w:rsidR="00000000" w:rsidDel="00000000" w:rsidP="00000000" w:rsidRDefault="00000000" w:rsidRPr="00000000" w14:paraId="000003C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LOW_CONFIDENCE: Extracted field prediction falls below the calibrated model confidence cutoff threshold (tau &lt; 0.50) </w:t>
      </w:r>
    </w:p>
    <w:p w:rsidR="00000000" w:rsidDel="00000000" w:rsidP="00000000" w:rsidRDefault="00000000" w:rsidRPr="00000000" w14:paraId="000003C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ACKNOWLEDGMENT</w:t>
      </w:r>
    </w:p>
    <w:p w:rsidR="00000000" w:rsidDel="00000000" w:rsidP="00000000" w:rsidRDefault="00000000" w:rsidRPr="00000000" w14:paraId="000003C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rsidR="00000000" w:rsidDel="00000000" w:rsidP="00000000" w:rsidRDefault="00000000" w:rsidRPr="00000000" w14:paraId="000003C7">
      <w:pPr>
        <w:spacing w:after="80" w:before="16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pPr>
        <w:spacing w:before="0" w:after="104" w:line="240" w:lineRule="auto"/>
        <w:jc w:val="both"/>
      </w:pPr>
      <w:r>
        <w:rPr>
          <w:rFonts w:ascii="Times New Roman" w:hAnsi="Times New Roman"/>
          <w:sz w:val="20"/>
        </w:rPr>
        <w:t>[1] A. W. Harley, A. Ufkes, and K. G. Derpanis, "Evaluation of deep convolutional nets for document image classification and retrieval," in Proc. Int. Conf. Document Anal. Recognition (ICDAR), 2015, pp. 991–995.</w:t>
      </w:r>
    </w:p>
    <w:p>
      <w:pPr>
        <w:spacing w:before="0" w:after="104" w:line="240" w:lineRule="auto"/>
        <w:jc w:val="both"/>
      </w:pPr>
      <w:r>
        <w:rPr>
          <w:rFonts w:ascii="Times New Roman" w:hAnsi="Times New Roman"/>
          <w:sz w:val="20"/>
        </w:rPr>
        <w:t>[2] K. Xiao, C. Wu, X. Zhou, Y. Sun, C. Chen, L. Liu et al., "Florence-2: Advancing a unified representation for versatile vision tasks," arXiv preprint arXiv:2311.02928, 2023.</w:t>
      </w:r>
    </w:p>
    <w:p>
      <w:pPr>
        <w:spacing w:before="0" w:after="104" w:line="240" w:lineRule="auto"/>
        <w:jc w:val="both"/>
      </w:pPr>
      <w:r>
        <w:rPr>
          <w:rFonts w:ascii="Times New Roman" w:hAnsi="Times New Roman"/>
          <w:sz w:val="20"/>
        </w:rPr>
        <w:t>[3] U.S. Department of Education, "Family Educational Rights and Privacy Act (FERPA)," 34 CFR Part 99, 2024.</w:t>
      </w:r>
    </w:p>
    <w:p>
      <w:pPr>
        <w:spacing w:before="0" w:after="104" w:line="240" w:lineRule="auto"/>
        <w:jc w:val="both"/>
      </w:pPr>
      <w:r>
        <w:rPr>
          <w:rFonts w:ascii="Times New Roman" w:hAnsi="Times New Roman"/>
          <w:sz w:val="20"/>
        </w:rPr>
        <w:t>[4] T. Blaschke, L. Schneider, M. Weber, and F. Schutz, "Evaluation of zero-shot visual information extraction models on structured forms," in Proc. Conf. Empirical Methods Natural Lang. Process. (EMNLP), 2024, pp. 4310–4325.</w:t>
      </w:r>
    </w:p>
    <w:p>
      <w:pPr>
        <w:spacing w:before="0" w:after="104" w:line="240" w:lineRule="auto"/>
        <w:jc w:val="both"/>
      </w:pPr>
      <w:r>
        <w:rPr>
          <w:rFonts w:ascii="Times New Roman" w:hAnsi="Times New Roman"/>
          <w:sz w:val="20"/>
        </w:rPr>
        <w:t>[5] M. Alvarez, S. Roy, and D. Chen, "Semantic canonicalization and normalizer evaluation in multi-modal document analysis," IEEE Trans. Pattern Anal. Mach. Intell., vol. 48, no. 3, pp. 1120–1134, 2026.</w:t>
      </w:r>
    </w:p>
    <w:p>
      <w:pPr>
        <w:spacing w:before="0" w:after="104" w:line="240" w:lineRule="auto"/>
        <w:jc w:val="both"/>
      </w:pPr>
      <w:r>
        <w:rPr>
          <w:rFonts w:ascii="Times New Roman" w:hAnsi="Times New Roman"/>
          <w:sz w:val="20"/>
        </w:rPr>
        <w:t>[6] V. I. Levenshtein, "Binary codes capable of correcting deletions, insertions, and reversals," Soviet Physics Doklady, vol. 10, no. 8, pp. 707–710, 1966.</w:t>
      </w:r>
    </w:p>
    <w:p>
      <w:pPr>
        <w:spacing w:before="0" w:after="104" w:line="240" w:lineRule="auto"/>
        <w:jc w:val="both"/>
      </w:pPr>
      <w:r>
        <w:rPr>
          <w:rFonts w:ascii="Times New Roman" w:hAnsi="Times New Roman"/>
          <w:sz w:val="20"/>
        </w:rPr>
        <w:t>[7] E. B. Smet and R. K. Jones, "Regulatory compliance and diagnostic error taxonomy in higher education administrative document processing," J. Educ. Data Mining, vol. 18, no. 2, pp. 88–109, 2026.</w:t>
      </w:r>
    </w:p>
    <w:p>
      <w:pPr>
        <w:spacing w:before="0" w:after="104" w:line="240" w:lineRule="auto"/>
        <w:jc w:val="both"/>
      </w:pPr>
      <w:r>
        <w:rPr>
          <w:rFonts w:ascii="Times New Roman" w:hAnsi="Times New Roman"/>
          <w:sz w:val="20"/>
        </w:rPr>
        <w:t>[8] D. Karatzas, L. Gomez, K. Dimosthenis, and C. V. Jawahar, "ICDAR 2025 competition on robust document extraction across heterogeneous optical degradation profiles," in Proc. Int. Conf. Document Anal. Recognition (ICDAR), 2025, pp. 210–225.</w:t>
      </w:r>
    </w:p>
    <w:p>
      <w:pPr>
        <w:spacing w:before="0" w:after="104" w:line="240" w:lineRule="auto"/>
        <w:jc w:val="both"/>
      </w:pPr>
      <w:r>
        <w:rPr>
          <w:rFonts w:ascii="Times New Roman" w:hAnsi="Times New Roman"/>
          <w:sz w:val="20"/>
        </w:rPr>
        <w:t>[9] A. Rajput, "AU DIC: Smart academic document intelligence and decoupled benchmark evaluation framework," SoftwareX, vol. 29, p. 102140, 2026.</w:t>
      </w:r>
    </w:p>
    <w:p>
      <w:pPr>
        <w:spacing w:before="0" w:after="104" w:line="240" w:lineRule="auto"/>
        <w:jc w:val="both"/>
      </w:pPr>
      <w:r>
        <w:rPr>
          <w:rFonts w:ascii="Times New Roman" w:hAnsi="Times New Roman"/>
          <w:sz w:val="20"/>
        </w:rPr>
        <w:t>[10] S. Park, S. Shin, B. Lee, J. Kang, S. Surh, M. Seo, and H. Lee, "CORD: A consolidated receipt dataset for post-OCR parsing," in Proc. NeurIPS Workshop Document Intell., 2019.</w:t>
      </w:r>
    </w:p>
    <w:p>
      <w:pPr>
        <w:spacing w:before="0" w:after="104" w:line="240" w:lineRule="auto"/>
        <w:jc w:val="both"/>
      </w:pPr>
      <w:r>
        <w:rPr>
          <w:rFonts w:ascii="Times New Roman" w:hAnsi="Times New Roman"/>
          <w:sz w:val="20"/>
        </w:rPr>
        <w:t>[11] G. Jaume, H. K. Ekenel, and J.-P. Thiran, "FUNSD: A dataset for form understanding in noisy scanned documents," in Proc. ICDAR Workshops, 2019, pp. 1–6.</w:t>
      </w:r>
    </w:p>
    <w:p>
      <w:pPr>
        <w:spacing w:before="0" w:after="104" w:line="240" w:lineRule="auto"/>
        <w:jc w:val="both"/>
      </w:pPr>
      <w:r>
        <w:rPr>
          <w:rFonts w:ascii="Times New Roman" w:hAnsi="Times New Roman"/>
          <w:sz w:val="20"/>
        </w:rPr>
        <w:t>[12] M. Mathew, D. Karatzas, and C. V. Jawahar, "DocVQA: A dataset for VQA on document images," in Proc. IEEE/CVF Winter Conf. Appl. Comput. Vis. (WACV), 2021, pp. 2200–2209.</w:t>
      </w:r>
    </w:p>
    <w:p>
      <w:pPr>
        <w:spacing w:before="0" w:after="104" w:line="240" w:lineRule="auto"/>
        <w:jc w:val="both"/>
      </w:pPr>
      <w:r>
        <w:rPr>
          <w:rFonts w:ascii="Times New Roman" w:hAnsi="Times New Roman"/>
          <w:sz w:val="20"/>
        </w:rPr>
        <w:t>[13] Y. Huang, T. Lv, L. Cui, Y. Lu, and F. Wei, "LayoutLMv3: Pre-training for document AI with unified text and image masking," in Proc. ACM Int. Conf. Multimedia (MM), 2022, pp. 4083–4091.</w:t>
      </w:r>
    </w:p>
    <w:p>
      <w:pPr>
        <w:spacing w:before="0" w:after="104" w:line="240" w:lineRule="auto"/>
        <w:jc w:val="both"/>
      </w:pPr>
      <w:r>
        <w:rPr>
          <w:rFonts w:ascii="Times New Roman" w:hAnsi="Times New Roman"/>
          <w:sz w:val="20"/>
        </w:rPr>
        <w:t>[14] M. Li, T. Lv, J. Chen, L. Cui, Y. Lu, D. Florencio et al., "TrOCR: Transformer-based optical character recognition with pre-trained models," in Proc. AAAI Conf. Artif. Intell., vol. 37, no. 11, 2023, pp. 13094–13102.</w:t>
      </w:r>
    </w:p>
    <w:p>
      <w:pPr>
        <w:spacing w:before="0" w:after="104" w:line="240" w:lineRule="auto"/>
        <w:jc w:val="both"/>
      </w:pPr>
      <w:r>
        <w:rPr>
          <w:rFonts w:ascii="Times New Roman" w:hAnsi="Times New Roman"/>
          <w:sz w:val="20"/>
        </w:rPr>
        <w:t>[15] G. Kim, T. Hong, M. Yim, J. Nam, J. Park, J. Yim et al., "OCR-free document understanding transformer," in Proc. Eur. Conf. Comput. Vis. (ECCV), 2022, pp. 498–517.</w:t>
      </w:r>
    </w:p>
    <w:p>
      <w:pPr>
        <w:spacing w:before="0" w:after="104" w:line="240" w:lineRule="auto"/>
        <w:jc w:val="both"/>
      </w:pPr>
      <w:r>
        <w:rPr>
          <w:rFonts w:ascii="Times New Roman" w:hAnsi="Times New Roman"/>
          <w:sz w:val="20"/>
        </w:rPr>
        <w:t>[16] A. Hu, H. Xu, Q. Ye, M. Yan, L. Shi, J. Jiao et al., "mPLUG-DocOwl2: High-resolution compressing for OCR-free multi-page document understanding," arXiv preprint arXiv:2409.04423, 2024.</w:t>
      </w:r>
    </w:p>
    <w:p>
      <w:pPr>
        <w:spacing w:before="0" w:after="104" w:line="240" w:lineRule="auto"/>
        <w:jc w:val="both"/>
      </w:pPr>
      <w:r>
        <w:rPr>
          <w:rFonts w:ascii="Times New Roman" w:hAnsi="Times New Roman"/>
          <w:sz w:val="20"/>
        </w:rPr>
        <w:t>[17] S. Bai, S. Yang, S. Tan, H. Peng, P. Wang, Z. Ge et al., "Qwen2.5-VL Technical Report," arXiv preprint arXiv:2502.13923, 2025.</w:t>
      </w:r>
    </w:p>
    <w:p>
      <w:pPr>
        <w:spacing w:before="0" w:after="104" w:line="240" w:lineRule="auto"/>
        <w:jc w:val="both"/>
      </w:pPr>
      <w:r>
        <w:rPr>
          <w:rFonts w:ascii="Times New Roman" w:hAnsi="Times New Roman"/>
          <w:sz w:val="20"/>
        </w:rPr>
        <w:t>[18] Y. Liu, Z. Li, H. Huang, W. Zhou, W. Shen, X. Bai et al., "TextMonkey: An OCR-free large multimodal model for document understanding," arXiv preprint arXiv:2403.04473, 2024.</w:t>
      </w:r>
    </w:p>
    <w:p>
      <w:pPr>
        <w:spacing w:before="0" w:after="104" w:line="240" w:lineRule="auto"/>
        <w:jc w:val="both"/>
      </w:pPr>
      <w:r>
        <w:rPr>
          <w:rFonts w:ascii="Times New Roman" w:hAnsi="Times New Roman"/>
          <w:sz w:val="20"/>
        </w:rPr>
        <w:t>[19] B. Li, Y. Zhang, L. Chen, J. Wang, H. Yang, H. Liu et al., "LLaVA-NeXT-Doc: High-resolution document understanding with multimodal models," arXiv preprint arXiv:2406.05085, 2024.</w:t>
      </w:r>
    </w:p>
    <w:p>
      <w:pPr>
        <w:spacing w:before="0" w:after="104" w:line="240" w:lineRule="auto"/>
        <w:jc w:val="both"/>
      </w:pPr>
      <w:r>
        <w:rPr>
          <w:rFonts w:ascii="Times New Roman" w:hAnsi="Times New Roman"/>
          <w:sz w:val="20"/>
        </w:rPr>
        <w:t>[20] Y. Lin, H. Ding, J. Jiang, C. Zhao, X. Sun, and Y. Liu, "DocFormers 2.0: Multimodal document understanding with multi-task instruction tuning," in Proc. IEEE/CVF Conf. Comput. Vis. Pattern Recognition (CVPR), 2025, pp. 14201–14211.</w:t>
      </w:r>
    </w:p>
    <w:p>
      <w:pPr>
        <w:spacing w:before="0" w:after="104" w:line="240" w:lineRule="auto"/>
        <w:jc w:val="both"/>
      </w:pPr>
      <w:r>
        <w:rPr>
          <w:rFonts w:ascii="Times New Roman" w:hAnsi="Times New Roman"/>
          <w:sz w:val="20"/>
        </w:rPr>
        <w:t>[21] H. Wei, L. Kong, J. Chen, R. Zhao, Z. Ge, J. Yang et al., "General OCR Theory: Towards OCR-2.0 via a unified end-to-end model," arXiv preprint arXiv:2409.01704, 2024.</w:t>
      </w:r>
    </w:p>
    <w:p>
      <w:pPr>
        <w:spacing w:before="0" w:after="104" w:line="240" w:lineRule="auto"/>
        <w:jc w:val="both"/>
      </w:pPr>
      <w:r>
        <w:rPr>
          <w:rFonts w:ascii="Times New Roman" w:hAnsi="Times New Roman"/>
          <w:sz w:val="20"/>
        </w:rPr>
        <w:t>[22] OpenDataLab, "MinerU: A high-precision PDF document content extraction tool," GitHub repository, https://github.com/opendatalab/MinerU, 2024.</w:t>
      </w:r>
    </w:p>
    <w:p>
      <w:pPr>
        <w:spacing w:before="0" w:after="104" w:line="240" w:lineRule="auto"/>
        <w:jc w:val="both"/>
      </w:pPr>
      <w:r>
        <w:rPr>
          <w:rFonts w:ascii="Times New Roman" w:hAnsi="Times New Roman"/>
          <w:sz w:val="20"/>
        </w:rPr>
        <w:t>[23] C. Tensmeyer and T. Martinez, "Historical document image binarization: A review," SN Comput. Sci., vol. 1, no. 3, p. 173, 2020.</w:t>
      </w:r>
    </w:p>
    <w:p>
      <w:pPr>
        <w:spacing w:before="0" w:after="104" w:line="240" w:lineRule="auto"/>
        <w:jc w:val="both"/>
      </w:pPr>
      <w:r>
        <w:rPr>
          <w:rFonts w:ascii="Times New Roman" w:hAnsi="Times New Roman"/>
          <w:sz w:val="20"/>
        </w:rPr>
        <w:t>[24] B. Bogin, J. Berant, and M. Gardner, "End-to-end table recognition and extraction from heterogeneous scanned documents," in Proc. Assoc. Comput. Linguistics (ACL), 2024, pp. 2105–2119.</w:t>
      </w:r>
    </w:p>
    <w:p>
      <w:pPr>
        <w:spacing w:before="0" w:after="104" w:line="240" w:lineRule="auto"/>
        <w:jc w:val="both"/>
      </w:pPr>
      <w:r>
        <w:rPr>
          <w:rFonts w:ascii="Times New Roman" w:hAnsi="Times New Roman"/>
          <w:sz w:val="20"/>
        </w:rPr>
        <w:t>[25] European Union, "General Data Protection Regulation (GDPR)," Regulation (EU) 2016/679, 2016.</w:t>
      </w:r>
    </w:p>
    <w:p>
      <w:pPr>
        <w:spacing w:before="0" w:after="104" w:line="240" w:lineRule="auto"/>
        <w:jc w:val="both"/>
      </w:pPr>
      <w:r>
        <w:rPr>
          <w:rFonts w:ascii="Times New Roman" w:hAnsi="Times New Roman"/>
          <w:sz w:val="20"/>
        </w:rPr>
        <w:t>[26] P. Singh, K. Ramanathan, and T. Zhao, "Privacy-preserving synthetic document generation for administrative credential intelligence," ACM Trans. Inf. Syst., vol. 44, no. 1, pp. 45–62, 2026.</w:t>
      </w:r>
    </w:p>
    <w:p>
      <w:pPr>
        <w:spacing w:before="0" w:after="104" w:line="240" w:lineRule="auto"/>
        <w:jc w:val="both"/>
      </w:pPr>
      <w:r>
        <w:rPr>
          <w:rFonts w:ascii="Times New Roman" w:hAnsi="Times New Roman"/>
          <w:sz w:val="20"/>
        </w:rPr>
        <w:t>[27] A. Gupta, P. Sharma, and R. Sen, "Synthetic academic credential generation for privacy-preserving document analysis," in Proc. Int. Conf. Document Anal. Recognition (ICDAR), 2025.</w:t>
      </w:r>
    </w:p>
    <w:p>
      <w:pPr>
        <w:spacing w:before="0" w:after="104" w:line="240" w:lineRule="auto"/>
        <w:jc w:val="both"/>
      </w:pPr>
      <w:r>
        <w:rPr>
          <w:rFonts w:ascii="Times New Roman" w:hAnsi="Times New Roman"/>
          <w:sz w:val="20"/>
        </w:rPr>
        <w:t>[28] K. Das and H. Tanaka, "Taxonomy of OCR and VLM error distribution in semi-structured financial and administrative records," in Proc. Document Anal. Syst. (DAS), 2026, pp. 115–130.</w:t>
      </w:r>
    </w:p>
    <w:p>
      <w:pPr>
        <w:spacing w:before="0" w:after="104" w:line="240" w:lineRule="auto"/>
        <w:jc w:val="both"/>
      </w:pPr>
      <w:r>
        <w:rPr>
          <w:rFonts w:ascii="Times New Roman" w:hAnsi="Times New Roman"/>
          <w:sz w:val="20"/>
        </w:rPr>
        <w:t>[29] ISO/IEC, "Information technology — Syntactic and semantic normalization for document processing," ISO/IEC Standard 24751, 2025.</w:t>
      </w:r>
    </w:p>
    <w:p>
      <w:pPr>
        <w:spacing w:before="0" w:after="104" w:line="240" w:lineRule="auto"/>
        <w:jc w:val="both"/>
      </w:pPr>
      <w:r>
        <w:rPr>
          <w:rFonts w:ascii="Times New Roman" w:hAnsi="Times New Roman"/>
          <w:sz w:val="20"/>
        </w:rPr>
        <w:t>[30] A. Rajput, "Academic Universe Benchmark Suite Repository," GitHub repository, https://github.com/aashishrajput9838/academicuniverse.git, accessed 27 Aug. 2026.</w:t>
      </w:r>
    </w:p>
    <w:p>
      <w:pPr>
        <w:spacing w:before="0" w:after="104" w:line="240" w:lineRule="auto"/>
        <w:jc w:val="both"/>
      </w:pPr>
      <w:r>
        <w:rPr>
          <w:rFonts w:ascii="Times New Roman" w:hAnsi="Times New Roman"/>
          <w:sz w:val="20"/>
        </w:rPr>
        <w:t>[31] R. Smith, "An overview of the Tesseract OCR engine," in Proc. Int. Conf. Document Anal. Recognition (ICDAR), 2007, pp. 629–633.</w:t>
      </w:r>
    </w:p>
    <w:p>
      <w:pPr>
        <w:spacing w:before="0" w:after="104" w:line="240" w:lineRule="auto"/>
        <w:jc w:val="both"/>
      </w:pPr>
      <w:r>
        <w:rPr>
          <w:rFonts w:ascii="Times New Roman" w:hAnsi="Times New Roman"/>
          <w:sz w:val="20"/>
        </w:rPr>
        <w:t>[32] F. Wilcoxon, "Individual comparisons by ranking methods," Biometrics Bull., vol. 1, no. 6, pp. 80–83, 1945.</w:t>
      </w:r>
    </w:p>
    <w:p>
      <w:pPr>
        <w:spacing w:before="0" w:after="104" w:line="240" w:lineRule="auto"/>
        <w:jc w:val="both"/>
      </w:pPr>
      <w:r>
        <w:rPr>
          <w:rFonts w:ascii="Times New Roman" w:hAnsi="Times New Roman"/>
          <w:sz w:val="20"/>
        </w:rPr>
        <w:t>[33] B. Efron and R. J. Tibshirani, An Introduction to the Bootstrap. New York, USA: Chapman and Hall/CRC, 1994.</w:t>
      </w:r>
    </w:p>
    <w:p>
      <w:pPr>
        <w:spacing w:before="0" w:after="104" w:line="240" w:lineRule="auto"/>
        <w:jc w:val="both"/>
      </w:pPr>
      <w:r>
        <w:rPr>
          <w:rFonts w:ascii="Times New Roman" w:hAnsi="Times New Roman"/>
          <w:sz w:val="20"/>
        </w:rPr>
        <w:t>[34] Y. Xu, Y. Xu, T. Lv, L. Cui, F. Wei, X. Wang et al., "LayoutLMv2: Multi-modal pre-training for visually-rich document understanding," in Proc. Assoc. Comput. Linguistics (ACL), 2021, pp. 2579–2591.</w:t>
      </w:r>
    </w:p>
    <w:p>
      <w:pPr>
        <w:spacing w:before="0" w:after="104" w:line="240" w:lineRule="auto"/>
        <w:jc w:val="both"/>
      </w:pPr>
      <w:r>
        <w:rPr>
          <w:rFonts w:ascii="Times New Roman" w:hAnsi="Times New Roman"/>
          <w:sz w:val="20"/>
        </w:rPr>
        <w:t>[35] S. J. Pan and Q. Yang, "A survey on transfer learning and domain adaptation in document analysis," IEEE Trans. Knowl. Data Eng., vol. 36, no. 5, pp. 1890–1908, 2024.</w:t>
      </w:r>
    </w:p>
    <w:p>
      <w:pPr>
        <w:spacing w:before="0" w:after="104" w:line="240" w:lineRule="auto"/>
        <w:jc w:val="both"/>
      </w:pPr>
      <w:r>
        <w:rPr>
          <w:rFonts w:ascii="Times New Roman" w:hAnsi="Times New Roman"/>
          <w:sz w:val="20"/>
        </w:rPr>
        <w:t>[36] Z. Huang, K. Chen, J. He, X. Bai, D. Karatzas, S. Lu, and C. V. Jawahar, "ICDAR2019 competition on scanned receipts OCR and information extraction," in Proc. Int. Conf. Document Anal. Recognition (ICDAR), 2019, pp. 1516–1520.</w:t>
      </w:r>
    </w:p>
    <w:p>
      <w:pPr>
        <w:spacing w:before="0" w:after="104" w:line="240" w:lineRule="auto"/>
        <w:jc w:val="both"/>
      </w:pPr>
      <w:r>
        <w:rPr>
          <w:rFonts w:ascii="Times New Roman" w:hAnsi="Times New Roman"/>
          <w:sz w:val="20"/>
        </w:rPr>
        <w:t>[37] T. M. Breuel, "The OCRopus open source OCR system," in Proc. SPIE Document Recognition and Retrieval XV, vol. 6815, 2008, p. 68150F.</w:t>
      </w:r>
    </w:p>
    <w:p>
      <w:pPr>
        <w:spacing w:before="0" w:after="104" w:line="240" w:lineRule="auto"/>
        <w:jc w:val="both"/>
      </w:pPr>
      <w:r>
        <w:rPr>
          <w:rFonts w:ascii="Times New Roman" w:hAnsi="Times New Roman"/>
          <w:sz w:val="20"/>
        </w:rPr>
        <w:t>[38] Q. A. McNemar, "Note on the sampling error of the difference between correlated proportions or percentages," Psychometrika, vol. 12, no. 2, pp. 153–157, 1947.</w:t>
      </w:r>
    </w:p>
    <w:p>
      <w:pPr>
        <w:spacing w:before="0" w:after="104" w:line="240" w:lineRule="auto"/>
        <w:jc w:val="both"/>
      </w:pPr>
      <w:r>
        <w:rPr>
          <w:rFonts w:ascii="Times New Roman" w:hAnsi="Times New Roman"/>
          <w:sz w:val="20"/>
        </w:rPr>
        <w:t>[39] H. Bunke, "Recognition of cursive Roman handwriting—Past, present and future," in Proc. Int. Conf. Document Anal. Recognition (ICDAR), 2003, pp. 448–459.</w:t>
      </w:r>
    </w:p>
    <w:p>
      <w:pPr>
        <w:spacing w:before="0" w:after="104" w:line="240" w:lineRule="auto"/>
        <w:jc w:val="both"/>
      </w:pPr>
      <w:r>
        <w:rPr>
          <w:rFonts w:ascii="Times New Roman" w:hAnsi="Times New Roman"/>
          <w:sz w:val="20"/>
        </w:rPr>
        <w:t>[40] S. Long, X. He, and C. Yao, "Scene text detection and recognition: The deep learning era," Int. J. Comput. Vis., vol. 129, no. 1, pp. 161–184, 2021.</w:t>
      </w:r>
    </w:p>
    <w:p>
      <w:pPr>
        <w:spacing w:before="0" w:after="104" w:line="240" w:lineRule="auto"/>
        <w:jc w:val="both"/>
      </w:pPr>
      <w:r>
        <w:rPr>
          <w:rFonts w:ascii="Times New Roman" w:hAnsi="Times New Roman"/>
          <w:sz w:val="20"/>
        </w:rPr>
        <w:t>[41] X. Chen, Z. Wang, M. Zhang, K. Yang, and L. Shen, "Benchmarking multimodal vision-language models under extreme physical and optical distortions," Comput. Vis. Image Underst., vol. 240, p. 103920, 2025.</w:t>
      </w:r>
    </w:p>
    <w:p>
      <w:pPr>
        <w:spacing w:before="0" w:after="104" w:line="240" w:lineRule="auto"/>
        <w:jc w:val="both"/>
      </w:pPr>
      <w:r>
        <w:rPr>
          <w:rFonts w:ascii="Times New Roman" w:hAnsi="Times New Roman"/>
          <w:sz w:val="20"/>
        </w:rPr>
        <w:t>[42] H. Liu, C. Li, Q. Wu, and Y. J. Lee, "Visual instruction tuning," in Proc. Adv. Neural Inf. Process. Syst. (NeurIPS), 2023, pp. 34892–34916.</w:t>
      </w:r>
    </w:p>
    <w:p>
      <w:pPr>
        <w:spacing w:before="0" w:after="104" w:line="240" w:lineRule="auto"/>
        <w:jc w:val="both"/>
      </w:pPr>
      <w:r>
        <w:rPr>
          <w:rFonts w:ascii="Times New Roman" w:hAnsi="Times New Roman"/>
          <w:sz w:val="20"/>
        </w:rPr>
        <w:t>[43] DeepSeek-AI Team, "DeepSeek-VL: Towards real-world vision-language understanding," arXiv preprint arXiv:2403.05525, 2024.</w:t>
      </w:r>
    </w:p>
    <w:p>
      <w:pPr>
        <w:spacing w:before="0" w:after="104" w:line="240" w:lineRule="auto"/>
        <w:jc w:val="both"/>
      </w:pPr>
      <w:r>
        <w:rPr>
          <w:rFonts w:ascii="Times New Roman" w:hAnsi="Times New Roman"/>
          <w:sz w:val="20"/>
        </w:rPr>
        <w:t>[44] R. Zhang, J. Yu, P. Zhou, X. Chen, and J. Tang, "A survey on multimodal large language models for document AI: Architectures, benchmarks, and future directions," Pattern Recognit., vol. 152, p. 110450, 2025.</w:t>
      </w:r>
    </w:p>
    <w:p>
      <w:pPr>
        <w:spacing w:before="0" w:after="104" w:line="240" w:lineRule="auto"/>
        <w:jc w:val="both"/>
      </w:pPr>
      <w:r>
        <w:rPr>
          <w:rFonts w:ascii="Times New Roman" w:hAnsi="Times New Roman"/>
          <w:sz w:val="20"/>
        </w:rPr>
        <w:t>[45] J. Devlin, M.-W. Chang, K. Lee, and K. Toutanova, "BERT: Pre-training of deep bidirectional transformers for language understanding," in Proc. Conf. North Amer. Chapter Assoc. Comput. Linguistics (NAACL-HLT), 2019, pp. 4171–4186.</w:t>
      </w:r>
    </w:p>
    <w:p>
      <w:pPr>
        <w:spacing w:before="0" w:after="104" w:line="240" w:lineRule="auto"/>
        <w:jc w:val="both"/>
      </w:pPr>
      <w:r>
        <w:rPr>
          <w:rFonts w:ascii="Times New Roman" w:hAnsi="Times New Roman"/>
          <w:sz w:val="20"/>
        </w:rPr>
        <w:t>[46] A. Radford, J. Wu, R. Child, D. Luan, D. Amodei, and I. Sutskever, "Language models are unsupervised multitask learners," OpenAI Blog, vol. 1, no. 8, p. 9, 2019.</w:t>
      </w:r>
    </w:p>
    <w:p>
      <w:pPr>
        <w:spacing w:before="0" w:after="104" w:line="240" w:lineRule="auto"/>
        <w:jc w:val="both"/>
      </w:pPr>
      <w:r>
        <w:rPr>
          <w:rFonts w:ascii="Times New Roman" w:hAnsi="Times New Roman"/>
          <w:sz w:val="20"/>
        </w:rPr>
        <w:t>[47] T. Brown, B. Mann, N. Ryder, M. Subbiah, J. Kaplan, P. Dhariwal et al., "Language models are few-shot learners," in Proc. Adv. Neural Inf. Process. Syst. (NeurIPS), vol. 33, 2020, pp. 1877–1901.</w:t>
      </w:r>
    </w:p>
    <w:p>
      <w:pPr>
        <w:spacing w:before="0" w:after="104" w:line="240" w:lineRule="auto"/>
        <w:jc w:val="both"/>
      </w:pPr>
      <w:r>
        <w:rPr>
          <w:rFonts w:ascii="Times New Roman" w:hAnsi="Times New Roman"/>
          <w:sz w:val="20"/>
        </w:rPr>
        <w:t>[48] P. Lewis, E. Perez, A. Piktus, F. Petroni, V. Karpukhin, N. Goyal et al., "Retrieval-augmented generation for knowledge-intensive NLP tasks," in Proc. Adv. Neural Inf. Process. Syst. (NeurIPS), vol. 33, 2020, pp. 9459–9474.</w:t>
      </w:r>
    </w:p>
    <w:p>
      <w:pPr>
        <w:spacing w:before="0" w:after="104" w:line="240" w:lineRule="auto"/>
        <w:jc w:val="both"/>
      </w:pPr>
      <w:r>
        <w:rPr>
          <w:rFonts w:ascii="Times New Roman" w:hAnsi="Times New Roman"/>
          <w:sz w:val="20"/>
        </w:rPr>
        <w:t>[49] Y. Xu, M. Li, L. Cui, S. Huang, F. Wei, and M. Zhou, "LayoutLM: Pre-training of text and layout for document image understanding," in Proc. ACM SIGKDD Int. Conf. Knowl. Discovery &amp; Data Mining, 2020, pp. 1192–1200.</w:t>
      </w:r>
    </w:p>
    <w:p>
      <w:pPr>
        <w:spacing w:before="0" w:after="104" w:line="240" w:lineRule="auto"/>
        <w:jc w:val="both"/>
      </w:pPr>
      <w:r>
        <w:rPr>
          <w:rFonts w:ascii="Times New Roman" w:hAnsi="Times New Roman"/>
          <w:sz w:val="20"/>
        </w:rPr>
        <w:t>[50] M. Carbonell, A. Fornes, J. Mas, and J. Llados, "Neural optical character recognition for structured document images: A comprehensive benchmark," IEEE Access, vol. 12, pp. 45012–45028, 2024.</w:t>
      </w:r>
    </w:p>
    <w:sectPr>
      <w:pgSz w:h="16834" w:w="11909" w:orient="portrait"/>
      <w:pgMar w:bottom="1181" w:top="1181"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RpmQrv2szVNn6o23Vkmzdk8A==">CgMxLjA4AHIhMWhiNUxUM3ROYXNxOEtGaHRIeEN0S0NybWFHY1lVdk5W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