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3182112" cy="3394253"/>
            <wp:docPr id="16" name="Picture 16"/>
            <wp:cNvGraphicFramePr>
              <a:graphicFrameLocks noChangeAspect="1"/>
            </wp:cNvGraphicFramePr>
            <a:graphic>
              <a:graphicData uri="http://schemas.openxmlformats.org/drawingml/2006/picture">
                <pic:pic>
                  <pic:nvPicPr>
                    <pic:cNvPr id="0" name="deepfake_architecture_flowchart.png"/>
                    <pic:cNvPicPr/>
                  </pic:nvPicPr>
                  <pic:blipFill>
                    <a:blip r:embed="rId17"/>
                    <a:stretch>
                      <a:fillRect/>
                    </a:stretch>
                  </pic:blipFill>
                  <pic:spPr>
                    <a:xfrm>
                      <a:off x="0" y="0"/>
                      <a:ext cx="3182112" cy="3394253"/>
                    </a:xfrm>
                    <a:prstGeom prst="rect"/>
                  </pic:spPr>
                </pic:pic>
              </a:graphicData>
            </a:graphic>
          </wp:inline>
        </w:drawing>
      </w:r>
    </w:p>
    <w:p w:rsidR="00E473DE" w:rsidRDefault="00DC7A2E">
      <w:pPr>
        <w:spacing w:before="59"/>
        <w:ind w:left="478" w:right="3"/>
        <w:jc w:val="center"/>
        <w:rPr>
          <w:rFonts w:ascii="Symbol" w:hAnsi="Symbol"/>
          <w:sz w:val="18"/>
        </w:rPr>
      </w:pPr>
      <w:r>
        <w:rPr>
          <w:i/>
          <w:sz w:val="18"/>
        </w:rPr>
        <w:t>Fig. 1. Overall architecture of the proposed explainable temporal deepfake authentication framework.</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type w:val="continuous"/>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