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3337560" cy="939752"/>
            <wp:docPr id="16" name="Picture 16"/>
            <wp:cNvGraphicFramePr>
              <a:graphicFrameLocks noChangeAspect="1"/>
            </wp:cNvGraphicFramePr>
            <a:graphic>
              <a:graphicData uri="http://schemas.openxmlformats.org/drawingml/2006/picture">
                <pic:pic>
                  <pic:nvPicPr>
                    <pic:cNvPr id="0" name="deepfake_architecture_flowchart_horizontal.png"/>
                    <pic:cNvPicPr/>
                  </pic:nvPicPr>
                  <pic:blipFill>
                    <a:blip r:embed="rId17"/>
                    <a:stretch>
                      <a:fillRect/>
                    </a:stretch>
                  </pic:blipFill>
                  <pic:spPr>
                    <a:xfrm>
                      <a:off x="0" y="0"/>
                      <a:ext cx="3337560" cy="939752"/>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of the proposed explainable temporal deepfake authentication framework.</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