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png" ContentType="image/jpeg"/>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8.14% to 2.45%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60" w:after="3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jc w:val="center"/>
          <w:cantSplit/>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40" w:after="40" w:line="252" w:lineRule="auto"/>
        <w:jc w:val="center"/>
        <w:rPr>
          <w:rFonts w:hint="default"/>
          <w:lang w:val="en-IN"/>
        </w:rPr>
      </w:pPr>
      <w:r>
        <w:drawing>
          <wp:inline xmlns:a="http://schemas.openxmlformats.org/drawingml/2006/main" xmlns:pic="http://schemas.openxmlformats.org/drawingml/2006/picture">
            <wp:extent cx="2834640" cy="4968057"/>
            <wp:docPr id="17" name="Picture 17"/>
            <wp:cNvGraphicFramePr>
              <a:graphicFrameLocks noChangeAspect="1"/>
            </wp:cNvGraphicFramePr>
            <a:graphic>
              <a:graphicData uri="http://schemas.openxmlformats.org/drawingml/2006/picture">
                <pic:pic>
                  <pic:nvPicPr>
                    <pic:cNvPr id="0" name="figure1_system_architecture_mermaid.png"/>
                    <pic:cNvPicPr/>
                  </pic:nvPicPr>
                  <pic:blipFill>
                    <a:blip r:embed="rId21"/>
                    <a:stretch>
                      <a:fillRect/>
                    </a:stretch>
                  </pic:blipFill>
                  <pic:spPr>
                    <a:xfrm>
                      <a:off x="0" y="0"/>
                      <a:ext cx="2834640" cy="4968057"/>
                    </a:xfrm>
                    <a:prstGeom prst="rect"/>
                  </pic:spPr>
                </pic:pic>
              </a:graphicData>
            </a:graphic>
          </wp:inline>
        </w:drawing>
      </w:r>
    </w:p>
    <w:p w14:paraId="3824FF20">
      <w:pPr>
        <w:keepNext/>
        <w:spacing w:before="3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40" w:after="40" w:line="252" w:lineRule="auto"/>
        <w:jc w:val="center"/>
      </w:pPr>
      <w:r>
        <w:drawing>
          <wp:inline xmlns:a="http://schemas.openxmlformats.org/drawingml/2006/main" xmlns:pic="http://schemas.openxmlformats.org/drawingml/2006/picture">
            <wp:extent cx="2468880" cy="7157677"/>
            <wp:docPr id="18" name="Picture 18"/>
            <wp:cNvGraphicFramePr>
              <a:graphicFrameLocks noChangeAspect="1"/>
            </wp:cNvGraphicFramePr>
            <a:graphic>
              <a:graphicData uri="http://schemas.openxmlformats.org/drawingml/2006/picture">
                <pic:pic>
                  <pic:nvPicPr>
                    <pic:cNvPr id="0" name="figure2_data_flow_mermaid.png"/>
                    <pic:cNvPicPr/>
                  </pic:nvPicPr>
                  <pic:blipFill>
                    <a:blip r:embed="rId22"/>
                    <a:stretch>
                      <a:fillRect/>
                    </a:stretch>
                  </pic:blipFill>
                  <pic:spPr>
                    <a:xfrm>
                      <a:off x="0" y="0"/>
                      <a:ext cx="2468880" cy="7157677"/>
                    </a:xfrm>
                    <a:prstGeom prst="rect"/>
                  </pic:spPr>
                </pic:pic>
              </a:graphicData>
            </a:graphic>
          </wp:inline>
        </w:drawing>
      </w:r>
    </w:p>
    <w:p w14:paraId="62A8FED5">
      <w:pPr>
        <w:keepNext/>
        <w:spacing w:before="3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60" w:after="3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jc w:val="center"/>
          <w:cantSplit/>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jc w:val="center"/>
          <w:cantSplit/>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jc w:val="center"/>
          <w:cantSplit/>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60" w:after="3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440"/>
        <w:gridCol w:w="1584"/>
        <w:gridCol w:w="2304"/>
        <w:gridCol w:w="1872"/>
      </w:tblGrid>
      <w:tr w14:paraId="19AA9128">
        <w:tblPrEx>
          <w:tblCellMar>
            <w:top w:w="0" w:type="dxa"/>
            <w:left w:w="108" w:type="dxa"/>
            <w:bottom w:w="0" w:type="dxa"/>
            <w:right w:w="108" w:type="dxa"/>
          </w:tblCellMar>
        </w:tblPrEx>
        <w:trPr>
          <w:jc w:val="center"/>
          <w:cantSplit/>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color w:val="1E293B"/>
                <w:sz w:val="14"/>
              </w:rPr>
              <w:t>16 Specimens (1,088 Fields)</w:t>
            </w:r>
          </w:p>
        </w:tc>
      </w:tr>
      <w:tr w14:paraId="1C8A094A">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color w:val="1E293B"/>
                <w:sz w:val="14"/>
              </w:rPr>
              <w:t>16 Specimens (4,554 Fields)</w:t>
            </w:r>
          </w:p>
        </w:tc>
      </w:tr>
      <w:tr w14:paraId="48A660A1">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color w:val="1E293B"/>
                <w:sz w:val="14"/>
              </w:rPr>
              <w:t>13 Specimens (884 Fields)</w:t>
            </w:r>
          </w:p>
        </w:tc>
      </w:tr>
      <w:tr w14:paraId="5CE3D04C">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60" w:after="30"/>
        <w:jc w:val="center"/>
      </w:pPr>
      <w:r>
        <w:rPr>
          <w:rFonts w:ascii="Times New Roman" w:hAnsi="Times New Roman"/>
          <w:b/>
          <w:sz w:val="18"/>
        </w:rPr>
        <w:t>TABLE 4: OPTICAL QUALITY DEGRADATION PROFILES</w:t>
      </w:r>
    </w:p>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5BFB018">
      <w:pPr>
        <w:keepNext/>
        <w:spacing w:before="60" w:after="3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rPr>
          <w:jc w:val="center"/>
          <w:cantSplit/>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jc w:val="center"/>
          <w:cantSplit/>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jc w:val="center"/>
          <w:cantSplit/>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3F1BF42F">
      <w:pPr>
        <w:keepNext/>
        <w:spacing w:before="60" w:after="3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jc w:val="center"/>
          <w:cantSplit/>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60" w:after="3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jc w:val="center"/>
          <w:cantSplit/>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4143BE0">
      <w:pPr>
        <w:spacing w:before="30" w:after="60"/>
        <w:jc w:val="center"/>
      </w:pPr>
      <w:r>
        <w:rPr>
          <w:rFonts w:ascii="Times New Roman" w:hAnsi="Times New Roman"/>
          <w:i/>
          <w:sz w:val="18"/>
        </w:rPr>
        <w:t>Fig. 3. Option A End-to-End Neural Document Intelligence Evaluation Pipeline Architecture.</w:t>
      </w:r>
    </w:p>
    <w:p w14:paraId="7255D7DD">
      <w:pPr>
        <w:keepNext/>
        <w:spacing w:before="60" w:after="3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870"/>
      </w:tblGrid>
      <w:tr w14:paraId="492496A2">
        <w:tblPrEx>
          <w:tblCellMar>
            <w:top w:w="0" w:type="dxa"/>
            <w:left w:w="108" w:type="dxa"/>
            <w:bottom w:w="0" w:type="dxa"/>
            <w:right w:w="108" w:type="dxa"/>
          </w:tblCellMar>
        </w:tblPrEx>
        <w:trPr>
          <w:jc w:val="center"/>
          <w:cantSplit/>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jc w:val="center"/>
          <w:cantSplit/>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jc w:val="center"/>
          <w:cantSplit/>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jc w:val="center"/>
          <w:cantSplit/>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jc w:val="center"/>
          <w:cantSplit/>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8.14% to 2.45% (a 62.44% relative error reduction).</w:t>
      </w:r>
    </w:p>
    <w:p w14:paraId="6D448B09">
      <w:pPr>
        <w:keepNext/>
        <w:spacing w:before="60" w:after="3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jc w:val="center"/>
          <w:cantSplit/>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jc w:val="center"/>
          <w:cantSplit/>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jc w:val="center"/>
          <w:cantSplit/>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jc w:val="center"/>
          <w:cantSplit/>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jc w:val="center"/>
          <w:cantSplit/>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+13.64%</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0777EC43">
      <w:pPr>
        <w:spacing w:before="30" w:after="6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620FDBA">
      <w:pPr>
        <w:spacing w:before="3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60" w:after="3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jc w:val="center"/>
          <w:cantSplit/>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397DBFA4">
      <w:pPr>
        <w:spacing w:before="30" w:after="6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121C3644">
      <w:pPr>
        <w:spacing w:before="3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14:paraId="039715DD">
      <w:pPr>
        <w:keepNext/>
        <w:spacing w:before="60" w:after="3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1"/>
        <w:gridCol w:w="1714"/>
        <w:gridCol w:w="1144"/>
        <w:gridCol w:w="999"/>
        <w:gridCol w:w="1002"/>
        <w:gridCol w:w="1148"/>
      </w:tblGrid>
      <w:tr w14:paraId="3EA7A990">
        <w:tblPrEx>
          <w:tblCellMar>
            <w:top w:w="0" w:type="dxa"/>
            <w:left w:w="108" w:type="dxa"/>
            <w:bottom w:w="0" w:type="dxa"/>
            <w:right w:w="108" w:type="dxa"/>
          </w:tblCellMar>
        </w:tblPrEx>
        <w:trPr>
          <w:jc w:val="center"/>
          <w:cantSplit/>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jc w:val="center"/>
          <w:cantSplit/>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jc w:val="center"/>
          <w:cantSplit/>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60" w:after="3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1"/>
        <w:gridCol w:w="2143"/>
        <w:gridCol w:w="1289"/>
        <w:gridCol w:w="1999"/>
        <w:gridCol w:w="1428"/>
      </w:tblGrid>
      <w:tr w14:paraId="53D28790">
        <w:tblPrEx>
          <w:tblCellMar>
            <w:top w:w="0" w:type="dxa"/>
            <w:left w:w="108" w:type="dxa"/>
            <w:bottom w:w="0" w:type="dxa"/>
            <w:right w:w="108" w:type="dxa"/>
          </w:tblCellMar>
        </w:tblPrEx>
        <w:trPr>
          <w:jc w:val="center"/>
          <w:cantSplit/>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jc w:val="center"/>
          <w:cantSplit/>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jc w:val="center"/>
          <w:cantSplit/>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 atomic field observations across the 450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14:paraId="0DECD3CC">
      <w:pPr>
        <w:keepNext/>
        <w:spacing w:before="60" w:after="3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2"/>
        <w:gridCol w:w="2413"/>
        <w:gridCol w:w="1432"/>
        <w:gridCol w:w="1432"/>
        <w:gridCol w:w="1000"/>
        <w:gridCol w:w="1141"/>
      </w:tblGrid>
      <w:tr w14:paraId="4BCC1689">
        <w:tblPrEx>
          <w:tblCellMar>
            <w:top w:w="0" w:type="dxa"/>
            <w:left w:w="108" w:type="dxa"/>
            <w:bottom w:w="0" w:type="dxa"/>
            <w:right w:w="108" w:type="dxa"/>
          </w:tblCellMar>
        </w:tblPrEx>
        <w:trPr>
          <w:jc w:val="center"/>
          <w:cantSplit/>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+13.64%</w:t>
            </w:r>
          </w:p>
        </w:tc>
      </w:tr>
      <w:tr w14:paraId="25111E07">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jc w:val="center"/>
          <w:cantSplit/>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jc w:val="center"/>
          <w:cantSplit/>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60" w:after="3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jc w:val="center"/>
          <w:cantSplit/>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jc w:val="center"/>
          <w:cantSplit/>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jc w:val="center"/>
          <w:cantSplit/>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0FA0587E">
      <w:pPr>
        <w:spacing w:before="30" w:after="6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486400" cy="2926080"/>
                    </a:xfrm>
                    <a:prstGeom prst="rect">
                      <a:avLst/>
                    </a:prstGeom>
                  </pic:spPr>
                </pic:pic>
              </a:graphicData>
            </a:graphic>
          </wp:inline>
        </w:drawing>
      </w:r>
    </w:p>
    <w:p w14:paraId="3C71E21D">
      <w:pPr>
        <w:spacing w:before="3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97.01,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250FA6F4">
      <w:pPr>
        <w:spacing w:before="60" w:after="20" w:line="252" w:lineRule="auto"/>
        <w:outlineLvl w:val="0"/>
      </w:pPr>
      <w:r>
        <w:rPr>
          <w:rFonts w:ascii="Times New Roman" w:hAnsi="Times New Roman"/>
          <w:b/>
          <w:color w:val="1B365D"/>
          <w:sz w:val="20"/>
        </w:rPr>
        <w:t>REFERENCES</w:t>
      </w:r>
    </w:p>
    <w:p w14:paraId="7B5F048C">
      <w:pPr>
        <w:spacing w:before="0" w:after="10"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10"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10"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10"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10"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10"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10"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10"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10"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10"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10"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10"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10"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10"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10"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10"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10"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10"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10"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10"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10"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10"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10"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10"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10"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10"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10"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10"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10"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10"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10"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10"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10"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10"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10"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10"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10"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10"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10"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10"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10"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10"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10"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10"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10"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10"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10"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10"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10"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10"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7503</Words>
  <Characters>49126</Characters>
  <Lines>0</Lines>
  <Paragraphs>0</Paragraphs>
  <TotalTime>46</TotalTime>
  <ScaleCrop>false</ScaleCrop>
  <LinksUpToDate>false</LinksUpToDate>
  <CharactersWithSpaces>55837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2026-08-26T18:34:50Z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