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t>Chaitra, 2082</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w:t>
      </w:r>
      <w:r>
        <w:rPr>
          <w:rFonts w:ascii="Times New Roman" w:hAnsi="Times New Roman"/>
        </w:rPr>
        <w:t>C</w:t>
      </w:r>
      <w:r>
        <w:rPr>
          <w:rFonts w:ascii="Times New Roman" w:hAnsi="Times New Roman"/>
        </w:rPr>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360" w:before="228" w:after="228"/>
        <w:jc w:val="both"/>
        <w:rPr>
          <w:rFonts w:ascii="Times New Roman" w:hAnsi="Times New Roman"/>
          <w:b w:val="false"/>
          <w:bCs w:val="false"/>
          <w:sz w:val="26"/>
          <w:szCs w:val="26"/>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20</w:t>
        <w:br/>
      </w: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 21</w:t>
        <w:br/>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 xml:space="preserve">The </w:t>
      </w:r>
      <w:r>
        <w:rPr>
          <w:rFonts w:ascii="Times New Roman" w:hAnsi="Times New Roman"/>
          <w:b w:val="false"/>
          <w:bCs w:val="false"/>
          <w:sz w:val="24"/>
          <w:szCs w:val="24"/>
        </w:rPr>
        <w:t>Futsal bookings and management</w:t>
      </w:r>
      <w:r>
        <w:rPr>
          <w:rFonts w:ascii="Times New Roman" w:hAnsi="Times New Roman"/>
          <w:b w:val="false"/>
          <w:bCs w:val="false"/>
          <w:sz w:val="24"/>
          <w:szCs w:val="24"/>
        </w:rPr>
        <w:t xml:space="preserve">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 xml:space="preserve">For players, </w:t>
      </w:r>
      <w:r>
        <w:rPr/>
        <w:t>this platform</w:t>
      </w:r>
      <w:r>
        <w:rPr/>
        <w:t xml:space="preserve">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 xml:space="preserve">From the administrative perspective, </w:t>
      </w:r>
      <w:r>
        <w:rPr/>
        <w:t>Futsal Bookings and management system</w:t>
      </w:r>
      <w:r>
        <w:rPr/>
        <w:t xml:space="preserve">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 xml:space="preserve">One of the key advantages of </w:t>
      </w:r>
      <w:r>
        <w:rPr/>
        <w:t>Futsal bookings and management platform</w:t>
      </w:r>
      <w:r>
        <w:rPr/>
        <w:t xml:space="preserve">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 xml:space="preserve">Moreover, </w:t>
      </w:r>
      <w:r>
        <w:rPr/>
        <w:t>Futsal Bookings and Management</w:t>
      </w:r>
      <w:r>
        <w:rPr/>
        <w:t xml:space="preserve">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
      <w:r>
        <w:br w:type="page"/>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
    </w:p>
    <w:p>
      <w:pPr>
        <w:pStyle w:val="Normal"/>
        <w:bidi w:val="0"/>
        <w:spacing w:lineRule="auto" w:line="360" w:before="57" w:after="57"/>
        <w:jc w:val="center"/>
        <w:rPr>
          <w:rFonts w:ascii="Times New Roman" w:hAnsi="Times New Roman"/>
          <w:b/>
          <w:bCs/>
          <w:sz w:val="24"/>
          <w:szCs w:val="24"/>
        </w:rPr>
      </w:pPr>
      <w:r>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 xml:space="preserve">Figure 4.5 illustrates the component-based architecture of the </w:t>
      </w:r>
      <w:r>
        <w:rPr>
          <w:rFonts w:ascii="Times New Roman" w:hAnsi="Times New Roman"/>
          <w:b w:val="false"/>
          <w:bCs w:val="false"/>
          <w:sz w:val="24"/>
          <w:szCs w:val="24"/>
        </w:rPr>
        <w:t xml:space="preserve">futsal booking and management </w:t>
      </w:r>
      <w:r>
        <w:rPr>
          <w:rFonts w:ascii="Times New Roman" w:hAnsi="Times New Roman"/>
          <w:b w:val="false"/>
          <w:bCs w:val="false"/>
          <w:sz w:val="24"/>
          <w:szCs w:val="24"/>
        </w:rPr>
        <w:t>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
      <w:r>
        <w:br w:type="page"/>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91134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pPr>
      <w:r>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p = 1 / (1 + e^(−z))</w:t>
      </w:r>
    </w:p>
    <w:p>
      <w:pPr>
        <w:pStyle w:val="BodyText"/>
        <w:bidi w:val="0"/>
        <w:spacing w:lineRule="auto" w:line="360"/>
        <w:jc w:val="both"/>
        <w:rPr/>
      </w:pPr>
      <w:r>
        <w:rPr/>
        <w:t>Where:</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z = w₀ + w₁x₁ + w₂x₂ + … + wₙxₙ</w:t>
      </w:r>
    </w:p>
    <w:p>
      <w:pPr>
        <w:pStyle w:val="BodyText"/>
        <w:bidi w:val="0"/>
        <w:spacing w:lineRule="auto" w:line="360"/>
        <w:jc w:val="both"/>
        <w:rPr/>
      </w:pPr>
      <w:r>
        <w:rPr/>
        <w:t>Decision Rule:</w:t>
      </w:r>
    </w:p>
    <w:p>
      <w:pPr>
        <w:pStyle w:val="PreformattedText"/>
        <w:bidi w:val="0"/>
        <w:spacing w:lineRule="auto" w:line="360"/>
        <w:ind w:hanging="0" w:start="0" w:end="0"/>
        <w:jc w:val="both"/>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hd w:fill="auto" w:val="clear"/>
        </w:rPr>
        <w:t>Sentiment = Negative   if p &lt; 0.5</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both"/>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both"/>
        <w:rPr/>
      </w:pPr>
      <w:r>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b/>
          <w:bCs/>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b/>
          <w:bCs/>
        </w:rPr>
      </w:r>
    </w:p>
    <w:p>
      <w:pPr>
        <w:pStyle w:val="Heading4"/>
        <w:bidi w:val="0"/>
        <w:spacing w:lineRule="auto" w:line="360" w:before="57" w:after="57"/>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Normal"/>
        <w:bidi w:val="0"/>
        <w:spacing w:lineRule="auto" w:line="360" w:before="57" w:after="57"/>
        <w:jc w:val="both"/>
        <w:rPr>
          <w:rFonts w:ascii="Times New Roman" w:hAnsi="Times New Roman"/>
          <w:sz w:val="24"/>
          <w:szCs w:val="24"/>
        </w:rPr>
      </w:pPr>
      <w:r>
        <w:rPr>
          <w:b w:val="false"/>
          <w:bCs w:val="false"/>
        </w:rPr>
      </w:r>
    </w:p>
    <w:p>
      <w:pPr>
        <w:pStyle w:val="Normal"/>
        <w:bidi w:val="0"/>
        <w:spacing w:lineRule="auto" w:line="360" w:before="57" w:after="57"/>
        <w:jc w:val="both"/>
        <w:rPr>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b w:val="false"/>
          <w:bCs w:val="false"/>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jc w:val="both"/>
        <w:rPr>
          <w:rStyle w:val="Strong"/>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jc w:val="both"/>
        <w:rPr>
          <w:rStyle w:val="Strong"/>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b w:val="false"/>
          <w:bCs w:val="false"/>
        </w:rPr>
      </w:r>
    </w:p>
    <w:p>
      <w:pPr>
        <w:pStyle w:val="Heading4"/>
        <w:bidi w:val="0"/>
        <w:spacing w:lineRule="auto" w:line="360" w:before="57" w:after="57"/>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b w:val="false"/>
          <w:bCs w:val="false"/>
        </w:rPr>
      </w:r>
      <w:r>
        <w:br w:type="page"/>
      </w:r>
    </w:p>
    <w:p>
      <w:pPr>
        <w:pStyle w:val="Normal"/>
        <w:bidi w:val="0"/>
        <w:spacing w:lineRule="auto" w:line="360" w:before="57"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rFonts w:ascii="Times New Roman" w:hAnsi="Times New Roman"/>
          <w:sz w:val="24"/>
          <w:szCs w:val="24"/>
        </w:rPr>
      </w:pPr>
      <w:r>
        <w:rPr>
          <w:b w:val="false"/>
          <w:bCs w:val="false"/>
        </w:rPr>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80"/>
        <w:gridCol w:w="1474"/>
        <w:gridCol w:w="2774"/>
        <w:gridCol w:w="1598"/>
        <w:gridCol w:w="1607"/>
        <w:gridCol w:w="793"/>
      </w:tblGrid>
      <w:tr>
        <w:trPr>
          <w:tblHeader w:val="true"/>
        </w:trPr>
        <w:tc>
          <w:tcPr>
            <w:tcW w:w="78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8"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UT01</w:t>
            </w:r>
          </w:p>
        </w:tc>
        <w:tc>
          <w:tcPr>
            <w:tcW w:w="1474"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4" w:type="dxa"/>
            <w:tcBorders>
              <w:start w:val="single" w:sz="2" w:space="0" w:color="000000"/>
              <w:bottom w:val="single" w:sz="2" w:space="0" w:color="000000"/>
            </w:tcBorders>
            <w:vAlign w:val="center"/>
          </w:tcPr>
          <w:p>
            <w:pPr>
              <w:pStyle w:val="TableContents"/>
              <w:spacing w:lineRule="auto" w:line="360"/>
              <w:rPr/>
            </w:pPr>
            <w:r>
              <w:rPr/>
              <w:t xml:space="preserve">Email: </w:t>
            </w:r>
            <w:hyperlink r:id="rId13">
              <w:r>
                <w:rPr>
                  <w:rStyle w:val="Hyperlink"/>
                </w:rPr>
                <w:t>aashisrijal252@gmail.com</w:t>
              </w:r>
            </w:hyperlink>
          </w:p>
        </w:tc>
        <w:tc>
          <w:tcPr>
            <w:tcW w:w="1598"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UT02</w:t>
            </w:r>
          </w:p>
        </w:tc>
        <w:tc>
          <w:tcPr>
            <w:tcW w:w="1474" w:type="dxa"/>
            <w:tcBorders>
              <w:start w:val="single" w:sz="2" w:space="0" w:color="000000"/>
              <w:bottom w:val="single" w:sz="2" w:space="0" w:color="000000"/>
            </w:tcBorders>
            <w:vAlign w:val="center"/>
          </w:tcPr>
          <w:p>
            <w:pPr>
              <w:pStyle w:val="TableContents"/>
              <w:spacing w:lineRule="auto" w:line="360"/>
              <w:rPr/>
            </w:pPr>
            <w:r>
              <w:rPr/>
              <w:t>User Login</w:t>
            </w:r>
          </w:p>
        </w:tc>
        <w:tc>
          <w:tcPr>
            <w:tcW w:w="2774" w:type="dxa"/>
            <w:tcBorders>
              <w:start w:val="single" w:sz="2" w:space="0" w:color="000000"/>
              <w:bottom w:val="single" w:sz="2" w:space="0" w:color="000000"/>
            </w:tcBorders>
            <w:vAlign w:val="center"/>
          </w:tcPr>
          <w:p>
            <w:pPr>
              <w:pStyle w:val="TableContents"/>
              <w:spacing w:lineRule="auto" w:line="360"/>
              <w:rPr/>
            </w:pPr>
            <w:r>
              <w:rPr/>
              <w:t xml:space="preserve">Email: </w:t>
            </w:r>
            <w:hyperlink r:id="rId14">
              <w:r>
                <w:rPr>
                  <w:rStyle w:val="Hyperlink"/>
                </w:rPr>
                <w:t>aashisrijal252@gmail.com</w:t>
              </w:r>
            </w:hyperlink>
          </w:p>
        </w:tc>
        <w:tc>
          <w:tcPr>
            <w:tcW w:w="1598"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UT03</w:t>
            </w:r>
          </w:p>
        </w:tc>
        <w:tc>
          <w:tcPr>
            <w:tcW w:w="1474"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4"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ashisrijal252@gmail.com</w:t>
              </w:r>
            </w:hyperlink>
          </w:p>
        </w:tc>
        <w:tc>
          <w:tcPr>
            <w:tcW w:w="1598"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UT04</w:t>
            </w:r>
          </w:p>
        </w:tc>
        <w:tc>
          <w:tcPr>
            <w:tcW w:w="1474"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4"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ashisrijal252@gmail.com</w:t>
              </w:r>
            </w:hyperlink>
          </w:p>
        </w:tc>
        <w:tc>
          <w:tcPr>
            <w:tcW w:w="1598"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UT05</w:t>
            </w:r>
          </w:p>
        </w:tc>
        <w:tc>
          <w:tcPr>
            <w:tcW w:w="1474"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4"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8"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UT06</w:t>
            </w:r>
          </w:p>
        </w:tc>
        <w:tc>
          <w:tcPr>
            <w:tcW w:w="1474"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4" w:type="dxa"/>
            <w:tcBorders>
              <w:start w:val="single" w:sz="2" w:space="0" w:color="000000"/>
              <w:bottom w:val="single" w:sz="2" w:space="0" w:color="000000"/>
            </w:tcBorders>
            <w:vAlign w:val="center"/>
          </w:tcPr>
          <w:p>
            <w:pPr>
              <w:pStyle w:val="TableContents"/>
              <w:spacing w:lineRule="auto" w:line="360"/>
              <w:rPr/>
            </w:pPr>
            <w:r>
              <w:rPr/>
              <w:t>Same time slot</w:t>
            </w:r>
          </w:p>
        </w:tc>
        <w:tc>
          <w:tcPr>
            <w:tcW w:w="1598"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UT07</w:t>
            </w:r>
          </w:p>
        </w:tc>
        <w:tc>
          <w:tcPr>
            <w:tcW w:w="1474"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4"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8"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80" w:type="dxa"/>
            <w:tcBorders>
              <w:start w:val="single" w:sz="2" w:space="0" w:color="000000"/>
              <w:bottom w:val="single" w:sz="2" w:space="0" w:color="000000"/>
            </w:tcBorders>
            <w:vAlign w:val="center"/>
          </w:tcPr>
          <w:p>
            <w:pPr>
              <w:pStyle w:val="TableContents"/>
              <w:spacing w:lineRule="auto" w:line="360"/>
              <w:rPr/>
            </w:pPr>
            <w:r>
              <w:rPr/>
              <w:t>UT08</w:t>
            </w:r>
          </w:p>
        </w:tc>
        <w:tc>
          <w:tcPr>
            <w:tcW w:w="1474"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4" w:type="dxa"/>
            <w:tcBorders>
              <w:start w:val="single" w:sz="2" w:space="0" w:color="000000"/>
              <w:bottom w:val="single" w:sz="2" w:space="0" w:color="000000"/>
            </w:tcBorders>
            <w:vAlign w:val="center"/>
          </w:tcPr>
          <w:p>
            <w:pPr>
              <w:pStyle w:val="TableContents"/>
              <w:spacing w:lineRule="auto" w:line="360"/>
              <w:rPr/>
            </w:pPr>
            <w:r>
              <w:rPr/>
              <w:t>Positive text</w:t>
            </w:r>
          </w:p>
        </w:tc>
        <w:tc>
          <w:tcPr>
            <w:tcW w:w="1598"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b/>
          <w:bCs/>
          <w:sz w:val="24"/>
          <w:szCs w:val="24"/>
        </w:rPr>
      </w:pPr>
      <w:r>
        <w:rPr>
          <w:rFonts w:ascii="Times New Roman" w:hAnsi="Times New Roman"/>
          <w:b/>
          <w:bCs/>
          <w:sz w:val="24"/>
          <w:szCs w:val="24"/>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b w:val="false"/>
          <w:bCs w:val="false"/>
          <w:sz w:val="24"/>
          <w:szCs w:val="24"/>
        </w:rPr>
      </w:r>
    </w:p>
    <w:tbl>
      <w:tblPr>
        <w:tblW w:w="9026" w:type="dxa"/>
        <w:jc w:val="start"/>
        <w:tblInd w:w="0" w:type="dxa"/>
        <w:tblLayout w:type="fixed"/>
        <w:tblCellMar>
          <w:top w:w="29" w:type="dxa"/>
          <w:start w:w="29" w:type="dxa"/>
          <w:bottom w:w="29" w:type="dxa"/>
          <w:end w:w="29" w:type="dxa"/>
        </w:tblCellMar>
      </w:tblPr>
      <w:tblGrid>
        <w:gridCol w:w="824"/>
        <w:gridCol w:w="1589"/>
        <w:gridCol w:w="2378"/>
        <w:gridCol w:w="1763"/>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9"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8"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3"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9"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8"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3"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9"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8"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3"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9"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8"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3"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9"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8"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3"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9"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8"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3"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b w:val="false"/>
          <w:bCs w:val="false"/>
          <w:sz w:val="24"/>
          <w:szCs w:val="24"/>
        </w:rPr>
      </w:r>
    </w:p>
    <w:p>
      <w:pPr>
        <w:pStyle w:val="Normal"/>
        <w:bidi w:val="0"/>
        <w:spacing w:lineRule="auto" w:line="360" w:before="57" w:after="57"/>
        <w:jc w:val="both"/>
        <w:rPr>
          <w:b/>
          <w:bCs/>
          <w:sz w:val="24"/>
          <w:szCs w:val="24"/>
        </w:rPr>
      </w:pPr>
      <w:r>
        <w:rPr>
          <w:rFonts w:ascii="Times New Roman" w:hAnsi="Times New Roman"/>
          <w:b/>
          <w:bCs/>
          <w:sz w:val="24"/>
          <w:szCs w:val="24"/>
        </w:rPr>
        <w:t>5.2.3 Payment Feature Testing</w:t>
      </w:r>
    </w:p>
    <w:p>
      <w:pPr>
        <w:pStyle w:val="Normal"/>
        <w:bidi w:val="0"/>
        <w:spacing w:lineRule="auto" w:line="360" w:before="57" w:after="57"/>
        <w:jc w:val="both"/>
        <w:rPr>
          <w:b/>
          <w:bCs/>
          <w:sz w:val="24"/>
          <w:szCs w:val="24"/>
        </w:rPr>
      </w:pPr>
      <w:r>
        <w:rPr>
          <w:rFonts w:ascii="Times New Roman" w:hAnsi="Times New Roman"/>
          <w:b/>
          <w:bCs/>
          <w:sz w:val="24"/>
          <w:szCs w:val="24"/>
        </w:rPr>
        <w:t>5.2.4 Booking Feature Testing</w:t>
      </w:r>
    </w:p>
    <w:p>
      <w:pPr>
        <w:pStyle w:val="Normal"/>
        <w:bidi w:val="0"/>
        <w:spacing w:lineRule="auto" w:line="360" w:before="57" w:after="57"/>
        <w:jc w:val="both"/>
        <w:rPr>
          <w:b/>
          <w:bCs/>
          <w:sz w:val="24"/>
          <w:szCs w:val="24"/>
        </w:rPr>
      </w:pPr>
      <w:r>
        <w:rPr>
          <w:rFonts w:ascii="Times New Roman" w:hAnsi="Times New Roman"/>
          <w:b/>
          <w:bCs/>
          <w:sz w:val="24"/>
          <w:szCs w:val="24"/>
        </w:rPr>
        <w:t>5.2.5 Futsal Owner Feature Testing</w:t>
      </w:r>
    </w:p>
    <w:p>
      <w:pPr>
        <w:pStyle w:val="Normal"/>
        <w:bidi w:val="0"/>
        <w:spacing w:lineRule="auto" w:line="360" w:before="57" w:after="57"/>
        <w:jc w:val="both"/>
        <w:rPr>
          <w:b/>
          <w:bCs/>
          <w:sz w:val="24"/>
          <w:szCs w:val="24"/>
        </w:rPr>
      </w:pPr>
      <w:r>
        <w:rPr>
          <w:rFonts w:ascii="Times New Roman" w:hAnsi="Times New Roman"/>
          <w:b/>
          <w:bCs/>
          <w:sz w:val="24"/>
          <w:szCs w:val="24"/>
        </w:rPr>
        <w:t>5.2.6 System Testing</w:t>
      </w:r>
    </w:p>
    <w:p>
      <w:pPr>
        <w:pStyle w:val="Normal"/>
        <w:bidi w:val="0"/>
        <w:spacing w:lineRule="auto" w:line="360" w:before="57" w:after="57"/>
        <w:jc w:val="both"/>
        <w:rPr>
          <w:rFonts w:ascii="Times New Roman" w:hAnsi="Times New Roman"/>
        </w:rPr>
      </w:pPr>
      <w:r>
        <w:rPr>
          <w:b/>
          <w:bCs/>
          <w:sz w:val="24"/>
          <w:szCs w:val="24"/>
        </w:rPr>
      </w:r>
      <w:r>
        <w:br w:type="page"/>
      </w:r>
    </w:p>
    <w:p>
      <w:pPr>
        <w:pStyle w:val="Normal"/>
        <w:bidi w:val="0"/>
        <w:spacing w:lineRule="auto" w:line="360" w:before="57" w:after="57"/>
        <w:jc w:val="both"/>
        <w:rPr>
          <w:b/>
          <w:bCs/>
          <w:sz w:val="28"/>
          <w:szCs w:val="28"/>
        </w:rPr>
      </w:pPr>
      <w:r>
        <w:rPr>
          <w:rFonts w:ascii="Times New Roman" w:hAnsi="Times New Roman"/>
          <w:b/>
          <w:bCs/>
          <w:sz w:val="28"/>
          <w:szCs w:val="28"/>
        </w:rPr>
        <w:t>5.3 Result Analysis</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The system was tested through unit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b/>
          <w:bCs/>
          <w:sz w:val="28"/>
          <w:szCs w:val="28"/>
        </w:rPr>
      </w:r>
    </w:p>
    <w:p>
      <w:pPr>
        <w:pStyle w:val="Normal"/>
        <w:bidi w:val="0"/>
        <w:spacing w:lineRule="auto" w:line="360" w:before="57" w:after="57"/>
        <w:jc w:val="both"/>
        <w:rPr>
          <w:b/>
          <w:bCs/>
          <w:sz w:val="28"/>
          <w:szCs w:val="28"/>
        </w:rPr>
      </w:pPr>
      <w:r>
        <w:rPr>
          <w:rFonts w:ascii="Times New Roman" w:hAnsi="Times New Roman"/>
          <w:b/>
          <w:bCs/>
          <w:sz w:val="28"/>
          <w:szCs w:val="28"/>
        </w:rPr>
        <w:t>5.3.1 Evaluation of Review Sentiment Analysis Model</w:t>
      </w:r>
    </w:p>
    <w:p>
      <w:pPr>
        <w:pStyle w:val="Normal"/>
        <w:bidi w:val="0"/>
        <w:spacing w:lineRule="auto" w:line="360" w:before="57" w:after="57"/>
        <w:jc w:val="both"/>
        <w:rPr>
          <w:rFonts w:ascii="Times New Roman" w:hAnsi="Times New Roman"/>
        </w:rPr>
      </w:pPr>
      <w:r>
        <w:rPr>
          <w:b w:val="false"/>
          <w:bCs w:val="false"/>
          <w:sz w:val="28"/>
          <w:szCs w:val="28"/>
        </w:rPr>
      </w:r>
      <w:r>
        <w:br w:type="page"/>
      </w:r>
    </w:p>
    <w:p>
      <w:pPr>
        <w:pStyle w:val="Heading3"/>
        <w:bidi w:val="0"/>
        <w:spacing w:lineRule="auto" w:line="480" w:before="0" w:after="57"/>
        <w:ind w:hanging="0" w:start="0"/>
        <w:jc w:val="both"/>
        <w:rPr>
          <w:rFonts w:ascii="Times New Roman" w:hAnsi="Times New Roman"/>
          <w:b w:val="false"/>
          <w:bCs w:val="false"/>
          <w:sz w:val="30"/>
          <w:szCs w:val="30"/>
        </w:rPr>
      </w:pPr>
      <w:r>
        <w:rPr>
          <w:rFonts w:ascii="Times New Roman" w:hAnsi="Times New Roman"/>
          <w:b w:val="false"/>
          <w:bCs w:val="false"/>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1"/>
      <w:footerReference w:type="default" r:id="rId22"/>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39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mailto:aashisrijal252@gmail.com" TargetMode="External"/><Relationship Id="rId14" Type="http://schemas.openxmlformats.org/officeDocument/2006/relationships/hyperlink" Target="mailto:aashisrijal252@gmail.com" TargetMode="External"/><Relationship Id="rId15" Type="http://schemas.openxmlformats.org/officeDocument/2006/relationships/hyperlink" Target="mailto:ashisrijal252@gmail.com" TargetMode="External"/><Relationship Id="rId16" Type="http://schemas.openxmlformats.org/officeDocument/2006/relationships/hyperlink" Target="mailto:ashisrijal252@gmail.com" TargetMode="External"/><Relationship Id="rId17" Type="http://schemas.openxmlformats.org/officeDocument/2006/relationships/hyperlink" Target="https://www.sportskey.com/" TargetMode="External"/><Relationship Id="rId18" Type="http://schemas.openxmlformats.org/officeDocument/2006/relationships/hyperlink" Target="https://www.ibm.com/think/topics/multi-tenant" TargetMode="External"/><Relationship Id="rId19" Type="http://schemas.openxmlformats.org/officeDocument/2006/relationships/hyperlink" Target="https://www.coursera.org/articles/what-is-tfidf" TargetMode="External"/><Relationship Id="rId20" Type="http://schemas.openxmlformats.org/officeDocument/2006/relationships/hyperlink" Target="https://www.geeksforgeeks.org/software-engineering/agile-sdlc-software-development-life-cycle/" TargetMode="Externa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454</TotalTime>
  <Application>LibreOffice/24.2.7.2$Linux_X86_64 LibreOffice_project/420$Build-2</Application>
  <AppVersion>15.0000</AppVersion>
  <Pages>49</Pages>
  <Words>9088</Words>
  <Characters>57122</Characters>
  <CharactersWithSpaces>65858</CharactersWithSpaces>
  <Paragraphs>466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2026-04-27T22:03:12Z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