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color w:val="64748B"/>
          <w:sz w:val="17"/>
        </w:rPr>
        <w:t>CONFIDENTIAL &amp; PROPRIETARY • MER-VDP-2023-V2</w:t>
        <w:br/>
        <w:t>ISSUING ENTITY: MERIDIAN ENTERPRISE LOGISTICS INC.</w:t>
      </w:r>
    </w:p>
    <w:p>
      <w:pPr>
        <w:jc w:val="center"/>
      </w:pPr>
      <w:r>
        <w:rPr>
          <w:rFonts w:ascii="Calibri" w:hAnsi="Calibri"/>
          <w:b/>
          <w:color w:val="0F172A"/>
          <w:sz w:val="36"/>
        </w:rPr>
        <w:t>GLOBAL SUPPLY CHAIN VENDOR DUE DILIGENCE &amp; SUBPROCESSOR OBLIGATIONS STANDARD</w:t>
      </w:r>
    </w:p>
    <w:p>
      <w:pPr>
        <w:jc w:val="center"/>
      </w:pPr>
      <w:r>
        <w:rPr>
          <w:color w:val="CBD5E1"/>
        </w:rPr>
        <w:t>_______________________________________________________________________________</w:t>
      </w:r>
    </w:p>
    <w:p>
      <w:pPr>
        <w:spacing w:before="240" w:after="80"/>
      </w:pPr>
      <w:r>
        <w:rPr>
          <w:rFonts w:ascii="Calibri" w:hAnsi="Calibri"/>
          <w:b/>
          <w:color w:val="1E293B"/>
          <w:sz w:val="22"/>
        </w:rPr>
        <w:t>SECTION 1. THIRD-PARTY LOGISTICS DATA SAFEGUARDS</w:t>
      </w:r>
    </w:p>
    <w:p>
      <w:pPr>
        <w:spacing w:after="160" w:line="276" w:lineRule="auto"/>
      </w:pPr>
      <w:r>
        <w:rPr>
          <w:rFonts w:ascii="Calibri" w:hAnsi="Calibri"/>
          <w:color w:val="334155"/>
          <w:sz w:val="20"/>
        </w:rPr>
        <w:t>Meridian Enterprise Logistics Inc. ('Meridian') oversees critical supply chain, inventory, and automated tracking networks. Any SaaS provider, cloud host, or predictive routing vendor handling freight routing, bill-of-lading records, or enterprise credentials must demonstrate unbroken compliance with Meridian's Tier-1 data protection criteria.</w:t>
      </w:r>
    </w:p>
    <w:p>
      <w:pPr>
        <w:spacing w:before="240" w:after="80"/>
      </w:pPr>
      <w:r>
        <w:rPr>
          <w:rFonts w:ascii="Calibri" w:hAnsi="Calibri"/>
          <w:b/>
          <w:color w:val="1E293B"/>
          <w:sz w:val="22"/>
        </w:rPr>
        <w:t>SECTION 2. SUBPROCESSOR TRANSPARENCY AND WRITTEN NOTICE</w:t>
      </w:r>
    </w:p>
    <w:p>
      <w:pPr>
        <w:spacing w:after="160" w:line="276" w:lineRule="auto"/>
      </w:pPr>
      <w:r>
        <w:rPr>
          <w:rFonts w:ascii="Calibri" w:hAnsi="Calibri"/>
          <w:color w:val="334155"/>
          <w:sz w:val="20"/>
        </w:rPr>
        <w:t>Pursuant to corporate governance and international data standards, vendors must maintain an exhaustive, accredited registry of all downstream subprocessors, infrastructure hosts, and analytics providers. Vendors shall provide at least thirty (30) days prior written notice before onboarding any new subprocessor, and must provide audited SOC 2 Type II or ISO 27001 proof confirming sub-tier compliance.</w:t>
      </w:r>
    </w:p>
    <w:p>
      <w:pPr>
        <w:spacing w:before="240" w:after="80"/>
      </w:pPr>
      <w:r>
        <w:rPr>
          <w:rFonts w:ascii="Calibri" w:hAnsi="Calibri"/>
          <w:b/>
          <w:color w:val="1E293B"/>
          <w:sz w:val="22"/>
        </w:rPr>
        <w:t>SECTION 3. INDEPENDENT AUDIT EVIDENCE MANDATE</w:t>
      </w:r>
    </w:p>
    <w:p>
      <w:pPr>
        <w:spacing w:after="160" w:line="276" w:lineRule="auto"/>
      </w:pPr>
      <w:r>
        <w:rPr>
          <w:rFonts w:ascii="Calibri" w:hAnsi="Calibri"/>
          <w:color w:val="334155"/>
          <w:sz w:val="20"/>
        </w:rPr>
        <w:t>Under no circumstances shall contractual promises or self-declarations suffice for vendor compliance verification. Every vendor must furnish within forty-five (45) days of contract execution an unqualified SOC 2 Type II report conducted by an accredited CPA firm or an active ISO/IEC 27001 certification with unbroken surveillance audit records. Failure to provide such evidence results in automatic classification as 'Unverified' with contract suspension triggers.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