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color w:val="64748B"/>
          <w:sz w:val="17"/>
        </w:rPr>
        <w:t>CONFIDENTIAL &amp; PROPRIETARY • DOC-NH-POL-2024-V4</w:t>
        <w:br/>
        <w:t>ISSUING ENTITY: NOVUHEALTH GLOBAL THERAPEUTICS INC.</w:t>
      </w:r>
    </w:p>
    <w:p>
      <w:pPr>
        <w:jc w:val="center"/>
      </w:pPr>
      <w:r>
        <w:rPr>
          <w:rFonts w:ascii="Calibri" w:hAnsi="Calibri"/>
          <w:b/>
          <w:color w:val="0F172A"/>
          <w:sz w:val="36"/>
        </w:rPr>
        <w:t>GLOBAL PRIVACY, CLINICAL DATA PROTECTION &amp; BREACH ESCALATION PROTOCOL</w:t>
      </w:r>
    </w:p>
    <w:p>
      <w:pPr>
        <w:jc w:val="center"/>
      </w:pPr>
      <w:r>
        <w:rPr>
          <w:color w:val="CBD5E1"/>
        </w:rPr>
        <w:t>_______________________________________________________________________________</w:t>
      </w:r>
    </w:p>
    <w:p>
      <w:pPr>
        <w:spacing w:before="240" w:after="80"/>
      </w:pPr>
      <w:r>
        <w:rPr>
          <w:rFonts w:ascii="Calibri" w:hAnsi="Calibri"/>
          <w:b/>
          <w:color w:val="1E293B"/>
          <w:sz w:val="22"/>
        </w:rPr>
        <w:t>SECTION 1. PURPOSE AND STATUTORY SCOPE</w:t>
      </w:r>
    </w:p>
    <w:p>
      <w:pPr>
        <w:spacing w:after="160" w:line="276" w:lineRule="auto"/>
      </w:pPr>
      <w:r>
        <w:rPr>
          <w:rFonts w:ascii="Calibri" w:hAnsi="Calibri"/>
          <w:color w:val="334155"/>
          <w:sz w:val="20"/>
        </w:rPr>
        <w:t>NovuHealth Global Therapeutics Inc. ('NovuHealth') is a multinational biopharmaceutical and life sciences enterprise subject to Regulation (EU) 2016/679 (GDPR), the Health Insurance Portability and Accountability Act (HIPAA), and applicable Member State health data regulations. This standard establishes strict corporate mandates governing all external service providers, contract research organizations (CROs), and payment processors handling Protected Health Information (PHI) or personal data.</w:t>
      </w:r>
    </w:p>
    <w:p>
      <w:pPr>
        <w:spacing w:before="240" w:after="80"/>
      </w:pPr>
      <w:r>
        <w:rPr>
          <w:rFonts w:ascii="Calibri" w:hAnsi="Calibri"/>
          <w:b/>
          <w:color w:val="1E293B"/>
          <w:sz w:val="22"/>
        </w:rPr>
        <w:t>SECTION 2. MANDATORY 72-HOUR INCIDENT NOTIFICATION CEILING</w:t>
      </w:r>
    </w:p>
    <w:p>
      <w:pPr>
        <w:spacing w:after="160" w:line="276" w:lineRule="auto"/>
      </w:pPr>
      <w:r>
        <w:rPr>
          <w:rFonts w:ascii="Calibri" w:hAnsi="Calibri"/>
          <w:color w:val="334155"/>
          <w:sz w:val="20"/>
        </w:rPr>
        <w:t>Pursuant to Article 33 of Regulation (EU) 2016/679 and 45 CFR § 164.410, any vendor, contractor, or data processor experiencing a suspected or confirmed security breach, unauthorized access, ransomware incident, or availability interruption affecting NovuHealth data MUST formally notify the NovuHealth Global Data Protection Office in writing within seventy-two (72) hours of initial detection. Any contractual clause, SLA, or vendor policy purporting to provide notification terms exceeding seventy-two (72) hours (such as 5, 7, 10, or 14 business days) is strictly unlawful, constitutes an irremediable breach of contract, and shall be grounds for immediate contract termination with cause.</w:t>
      </w:r>
    </w:p>
    <w:p>
      <w:pPr>
        <w:spacing w:before="240" w:after="80"/>
      </w:pPr>
      <w:r>
        <w:rPr>
          <w:rFonts w:ascii="Calibri" w:hAnsi="Calibri"/>
          <w:b/>
          <w:color w:val="1E293B"/>
          <w:sz w:val="22"/>
        </w:rPr>
        <w:t>SECTION 3. CRYPTOGRAPHIC SAFEGUARDS FOR CLINICAL AND FINANCIAL RECORDS</w:t>
      </w:r>
    </w:p>
    <w:p>
      <w:pPr>
        <w:spacing w:after="160" w:line="276" w:lineRule="auto"/>
      </w:pPr>
      <w:r>
        <w:rPr>
          <w:rFonts w:ascii="Calibri" w:hAnsi="Calibri"/>
          <w:color w:val="334155"/>
          <w:sz w:val="20"/>
        </w:rPr>
        <w:t>All customer personal data, cardholder information, and clinical trial records must be protected at rest using hardware-accelerated AES-256 encryption keys managed under FIPS 140-2 Level 3 Hardware Security Modules. All telemetry, web applications, and API transmission channels must enforce TLS 1.3 encryption (or minimum TLS 1.2 with forward secrecy cipher suites). Ephemeral storage or caching of unencrypted cardholder data is expressly prohibited.</w:t>
      </w:r>
    </w:p>
    <w:p>
      <w:pPr>
        <w:spacing w:before="240" w:after="80"/>
      </w:pPr>
      <w:r>
        <w:rPr>
          <w:rFonts w:ascii="Calibri" w:hAnsi="Calibri"/>
          <w:b/>
          <w:color w:val="1E293B"/>
          <w:sz w:val="22"/>
        </w:rPr>
        <w:t>SECTION 4. DATA PROCESSOR OBLIGATIONS (GDPR ARTICLE 28)</w:t>
      </w:r>
    </w:p>
    <w:p>
      <w:pPr>
        <w:spacing w:after="160" w:line="276" w:lineRule="auto"/>
      </w:pPr>
      <w:r>
        <w:rPr>
          <w:rFonts w:ascii="Calibri" w:hAnsi="Calibri"/>
          <w:color w:val="334155"/>
          <w:sz w:val="20"/>
        </w:rPr>
        <w:t>All downstream processors must enter into a formal Data Processing Agreement (DPA) incorporating European Commission Standard Contractual Clauses (SCCs). Processors shall process personal data solely on documented instructions from NovuHealth, ensure all personnel have committed themselves to confidentiality, assist NovuHealth in responding to data subject rights requests within fifteen (15) calendar days, and make available all documentation necessary to demonstrate compliance.</w:t>
      </w:r>
    </w:p>
    <w:p>
      <w:pPr>
        <w:spacing w:before="240" w:after="80"/>
      </w:pPr>
      <w:r>
        <w:rPr>
          <w:rFonts w:ascii="Calibri" w:hAnsi="Calibri"/>
          <w:b/>
          <w:color w:val="1E293B"/>
          <w:sz w:val="22"/>
        </w:rPr>
        <w:t>SECTION 5. SUBPROCESSOR AUTHORIZATION AND AUDIT RIGHTS</w:t>
      </w:r>
    </w:p>
    <w:p>
      <w:pPr>
        <w:spacing w:after="160" w:line="276" w:lineRule="auto"/>
      </w:pPr>
      <w:r>
        <w:rPr>
          <w:rFonts w:ascii="Calibri" w:hAnsi="Calibri"/>
          <w:color w:val="334155"/>
          <w:sz w:val="20"/>
        </w:rPr>
        <w:t>Processors shall not engage any subprocessor without prior specific or general written authorization of NovuHealth. In the case of general written authorization, the processor must inform NovuHealth at least thirty (30) calendar days in advance of any intended changes concerning the addition or replacement of subprocessors, thereby giving NovuHealth the right to object.</w:t>
      </w:r>
    </w:p>
    <w:p>
      <w:pPr>
        <w:spacing w:before="240" w:after="80"/>
      </w:pPr>
      <w:r>
        <w:rPr>
          <w:rFonts w:ascii="Calibri" w:hAnsi="Calibri"/>
          <w:b/>
          <w:color w:val="1E293B"/>
          <w:sz w:val="22"/>
        </w:rPr>
        <w:t>SECTION 6. INDEPENDENT THIRD-PARTY AUDIT DELIVERABLES</w:t>
      </w:r>
    </w:p>
    <w:p>
      <w:pPr>
        <w:spacing w:after="160" w:line="276" w:lineRule="auto"/>
      </w:pPr>
      <w:r>
        <w:rPr>
          <w:rFonts w:ascii="Calibri" w:hAnsi="Calibri"/>
          <w:color w:val="334155"/>
          <w:sz w:val="20"/>
        </w:rPr>
        <w:t>All Tier-1 and Tier-2 vendors must provide NovuHealth annually with an unqualified SOC 2 Type II examination report covering Trust Services Criteria Security, Confidentiality, and Availability, alongside an active PCI-DSS v4.0 Attestation of Compliance (AoC) where payment card telemetry is touched.</w:t>
      </w:r>
    </w:p>
    <w:p>
      <w:pPr>
        <w:spacing w:before="240" w:after="80"/>
      </w:pPr>
      <w:r>
        <w:rPr>
          <w:rFonts w:ascii="Calibri" w:hAnsi="Calibri"/>
          <w:b/>
          <w:color w:val="1E293B"/>
          <w:sz w:val="22"/>
        </w:rPr>
        <w:t>SECTION 7. DATA RETENTION AND SYSTEMIC PURGING</w:t>
      </w:r>
    </w:p>
    <w:p>
      <w:pPr>
        <w:spacing w:after="160" w:line="276" w:lineRule="auto"/>
      </w:pPr>
      <w:r>
        <w:rPr>
          <w:rFonts w:ascii="Calibri" w:hAnsi="Calibri"/>
          <w:color w:val="334155"/>
          <w:sz w:val="20"/>
        </w:rPr>
        <w:t>Clinical trial data and incident logs must be retained for a mandatory statutory period of three hundred and sixty-five (365) days from generation. Automated lifecycle rules purging records prior to 365 days without explicit DPO waiver are strictly forbidden.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