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Aegis Financial Technologies — Internal Security Policy v3.2</w:t>
      </w:r>
    </w:p>
    <w:p>
      <w:pPr>
        <w:pStyle w:val="Heading1"/>
      </w:pPr>
      <w:r>
        <w:t>SECTION 4: THIRD-PARTY DATA SAFEGUARDS</w:t>
      </w:r>
    </w:p>
    <w:p>
      <w:r>
        <w:t>4.1 Cryptographic Controls: All tier-1 cloud storage vendors must enforce hardware-accelerated AES-256 encryption for all data at rest and TLS 1.3 for all ingress/egress endpoints.</w:t>
        <w:br/>
        <w:t>4.2 Administrative Access: Phishing-resistant multi-factor authentication (MFA) is strictly mandatory for 100% of vendor administrative consoles.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