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Retrospective Audit — BritePay Incident INC-2024-8812</w:t>
      </w:r>
    </w:p>
    <w:p>
      <w:pPr>
        <w:pStyle w:val="Heading1"/>
      </w:pPr>
      <w:r>
        <w:t>FINDING SUMMARY</w:t>
      </w:r>
    </w:p>
    <w:p>
      <w:r>
        <w:t>Breach Detection Date: January 12, 2024 (08:30 UTC)</w:t>
        <w:br/>
        <w:t>Customer Notification Sent: January 23, 2024 (16:15 UTC)</w:t>
        <w:br/>
        <w:t>Total Elapsed Time: 271 hours (11 calendar days / 8 business days)</w:t>
        <w:br/>
        <w:t>Root Cause: Vendor followed Section 11.4 internal forensic completion clause rather than statutory 72-hour notification.</w:t>
        <w:br/>
        <w:t>Compliance Finding: Explicit breach of statutory 72-hour ceiling.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