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mbria" w:cs="Cambria" w:eastAsia="Cambria" w:hAnsi="Cambria"/>
          <w:b w:val="1"/>
          <w:color w:val="222222"/>
          <w:sz w:val="28"/>
          <w:szCs w:val="28"/>
          <w:vertAlign w:val="superscript"/>
        </w:rPr>
      </w:pPr>
      <w:r w:rsidDel="00000000" w:rsidR="00000000" w:rsidRPr="00000000">
        <w:rPr>
          <w:sz w:val="28"/>
          <w:szCs w:val="28"/>
          <w:rtl w:val="0"/>
        </w:rPr>
        <w:t xml:space="preserve">USING THE ChocAn</w:t>
      </w:r>
      <w:r w:rsidDel="00000000" w:rsidR="00000000" w:rsidRPr="00000000">
        <w:rPr>
          <w:b w:val="1"/>
          <w:color w:val="222222"/>
          <w:sz w:val="28"/>
          <w:szCs w:val="28"/>
          <w:vertAlign w:val="superscript"/>
          <w:rtl w:val="0"/>
        </w:rPr>
        <w:t xml:space="preserve">®</w:t>
      </w:r>
      <w:r w:rsidDel="00000000" w:rsidR="00000000" w:rsidRPr="00000000">
        <w:rPr>
          <w:b w:val="1"/>
          <w:color w:val="222222"/>
          <w:sz w:val="28"/>
          <w:szCs w:val="28"/>
          <w:rtl w:val="0"/>
        </w:rPr>
        <w:t xml:space="preserve"> </w:t>
      </w:r>
      <w:r w:rsidDel="00000000" w:rsidR="00000000" w:rsidRPr="00000000">
        <w:rPr>
          <w:color w:val="222222"/>
          <w:sz w:val="28"/>
          <w:szCs w:val="28"/>
          <w:rtl w:val="0"/>
        </w:rPr>
        <w:t xml:space="preserve">SYSTEM</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 xml:space="preserve">Introduction</w:t>
      </w:r>
    </w:p>
    <w:p w:rsidR="00000000" w:rsidDel="00000000" w:rsidP="00000000" w:rsidRDefault="00000000" w:rsidRPr="00000000">
      <w:pPr>
        <w:ind w:firstLine="72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The Chocolate Anonymous (ChocAn) software system is developed by Aashman Gupta, Alex Ramsayer, Ben Sanders, Derek Hastings and Spencer Fuhriman - five individuals dedicated to helping those who suffer from chocolate addictions.   The software achieves this by offering a number functionalities for three different groups of people: Providers, Operators, and Managers.. All potential actions  must be done as one of these three entities. Providers provide specific services to members of ChocAn, Operators can add, delete, or edit member and provider records, and Managers can generate reports based on system activity. Exactly how the software can be utilized in order to take these various  actions is detailed below.</w:t>
      </w:r>
    </w:p>
    <w:p w:rsidR="00000000" w:rsidDel="00000000" w:rsidP="00000000" w:rsidRDefault="00000000" w:rsidRPr="00000000">
      <w:pPr>
        <w:ind w:firstLine="72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All inputs into the software system are done utilizing the keyboard and then pressing “Enter”. When the software starts up, users will be prompted in the login menu to specify whether they are a Provider, Operator, or a Manager. This is done by typing in “Provider”, “Operator”, or “Manager” on  the keyboard. Entering “help” gives you a list of valid derivations of inputs for the above “Provider”, “Operator”, or “Manager”. Once a valid entity has been selected, users will be prompted to login with their unique identification number until a valid one has been entered or to return to the previous login menu. Depending on which entity is utilizing the software, a number of functionalities are presented to the user.</w:t>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 xml:space="preserve">Provider</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ab/>
      </w:r>
      <w:r w:rsidDel="00000000" w:rsidR="00000000" w:rsidRPr="00000000">
        <w:rPr>
          <w:rFonts w:ascii="Cambria" w:cs="Cambria" w:eastAsia="Cambria" w:hAnsi="Cambria"/>
          <w:color w:val="222222"/>
          <w:sz w:val="28"/>
          <w:szCs w:val="28"/>
          <w:vertAlign w:val="superscript"/>
          <w:rtl w:val="0"/>
        </w:rPr>
        <w:t xml:space="preserve">The ChocAn Provider Menu gives Providers a list of four options: swipe a member card, get Provider Directory, create a consultation, or logout and return to the main menu. These are accessed by inputting “swipe”, “directory”, “consult”, and “logout” respectively.  Invalid inputs prompt the Provider Menu again. </w:t>
      </w:r>
    </w:p>
    <w:p w:rsidR="00000000" w:rsidDel="00000000" w:rsidP="00000000" w:rsidRDefault="00000000" w:rsidRPr="00000000">
      <w:pPr>
        <w:ind w:left="0" w:firstLine="72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i w:val="1"/>
          <w:color w:val="222222"/>
          <w:sz w:val="28"/>
          <w:szCs w:val="28"/>
          <w:shd w:fill="cccccc" w:val="clear"/>
          <w:vertAlign w:val="superscript"/>
          <w:rtl w:val="0"/>
        </w:rPr>
        <w:t xml:space="preserve">swipe:</w:t>
      </w:r>
      <w:r w:rsidDel="00000000" w:rsidR="00000000" w:rsidRPr="00000000">
        <w:rPr>
          <w:rFonts w:ascii="Cambria" w:cs="Cambria" w:eastAsia="Cambria" w:hAnsi="Cambria"/>
          <w:color w:val="222222"/>
          <w:sz w:val="28"/>
          <w:szCs w:val="28"/>
          <w:vertAlign w:val="superscript"/>
          <w:rtl w:val="0"/>
        </w:rPr>
        <w:t xml:space="preserve"> Deciding to swipe the member card prompts the user to input a  unique member identification number. Based on which identification number is entered, users are either told the member’s number is verified, the member’s account is suspended, or that member does not exist. A member’s account is suspended if they have not paid membership fees for at least a month. Before attempting to get the provider directory or create a consultation, a member’s identification number must already be entered.</w:t>
      </w:r>
    </w:p>
    <w:p w:rsidR="00000000" w:rsidDel="00000000" w:rsidP="00000000" w:rsidRDefault="00000000" w:rsidRPr="00000000">
      <w:pPr>
        <w:ind w:left="0" w:firstLine="72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i w:val="1"/>
          <w:color w:val="222222"/>
          <w:sz w:val="28"/>
          <w:szCs w:val="28"/>
          <w:shd w:fill="cccccc" w:val="clear"/>
          <w:vertAlign w:val="superscript"/>
          <w:rtl w:val="0"/>
        </w:rPr>
        <w:t xml:space="preserve">directory:</w:t>
      </w:r>
      <w:r w:rsidDel="00000000" w:rsidR="00000000" w:rsidRPr="00000000">
        <w:rPr>
          <w:rFonts w:ascii="Cambria" w:cs="Cambria" w:eastAsia="Cambria" w:hAnsi="Cambria"/>
          <w:color w:val="222222"/>
          <w:sz w:val="28"/>
          <w:szCs w:val="28"/>
          <w:vertAlign w:val="superscript"/>
          <w:rtl w:val="0"/>
        </w:rPr>
        <w:t xml:space="preserve"> As long as a member ID has been entered, choosing to retrieve the provider directory outputs an alphabetical list of services offered by ChocAn. These are listed with the name, followed by the code, and then the fee for said service. Additionally, this list of services is also emailed to the specific provider.</w:t>
      </w:r>
    </w:p>
    <w:p w:rsidR="00000000" w:rsidDel="00000000" w:rsidP="00000000" w:rsidRDefault="00000000" w:rsidRPr="00000000">
      <w:pPr>
        <w:ind w:left="0" w:firstLine="72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i w:val="1"/>
          <w:color w:val="222222"/>
          <w:sz w:val="28"/>
          <w:szCs w:val="28"/>
          <w:shd w:fill="cccccc" w:val="clear"/>
          <w:vertAlign w:val="superscript"/>
          <w:rtl w:val="0"/>
        </w:rPr>
        <w:t xml:space="preserve">consult: </w:t>
      </w:r>
      <w:r w:rsidDel="00000000" w:rsidR="00000000" w:rsidRPr="00000000">
        <w:rPr>
          <w:rFonts w:ascii="Cambria" w:cs="Cambria" w:eastAsia="Cambria" w:hAnsi="Cambria"/>
          <w:color w:val="222222"/>
          <w:sz w:val="28"/>
          <w:szCs w:val="28"/>
          <w:vertAlign w:val="superscript"/>
          <w:rtl w:val="0"/>
        </w:rPr>
        <w:t xml:space="preserve">As long as a member ID has been entered, creating a visit prompts the user to enter a unique six digit service code. The user is presented with the name for associated with that service code and is prompted to confirm whether or not this is the service they were looking for and can enter another service code if it isn’t. The user is told the service code is invalid if there is no name associated with it. The provider is then given the option to add comments they would like about the specific consultation. A consultation is then recorded in the ChocAn system consisting of the member identification number it was created for along with the service that was offered and the fee for the associated service.</w:t>
      </w:r>
    </w:p>
    <w:p w:rsidR="00000000" w:rsidDel="00000000" w:rsidP="00000000" w:rsidRDefault="00000000" w:rsidRPr="00000000">
      <w:pPr>
        <w:ind w:left="0" w:firstLine="72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i w:val="1"/>
          <w:color w:val="222222"/>
          <w:sz w:val="28"/>
          <w:szCs w:val="28"/>
          <w:shd w:fill="cccccc" w:val="clear"/>
          <w:vertAlign w:val="superscript"/>
          <w:rtl w:val="0"/>
        </w:rPr>
        <w:t xml:space="preserve">logout:</w:t>
      </w:r>
      <w:r w:rsidDel="00000000" w:rsidR="00000000" w:rsidRPr="00000000">
        <w:rPr>
          <w:rFonts w:ascii="Cambria" w:cs="Cambria" w:eastAsia="Cambria" w:hAnsi="Cambria"/>
          <w:color w:val="222222"/>
          <w:sz w:val="28"/>
          <w:szCs w:val="28"/>
          <w:vertAlign w:val="superscript"/>
          <w:rtl w:val="0"/>
        </w:rPr>
        <w:t xml:space="preserve"> Inputting this option brings the user back to the login menu to allow them to login as a Manager, Operator, or another Provider. </w:t>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 xml:space="preserve">Operator</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ab/>
      </w:r>
      <w:r w:rsidDel="00000000" w:rsidR="00000000" w:rsidRPr="00000000">
        <w:rPr>
          <w:rFonts w:ascii="Cambria" w:cs="Cambria" w:eastAsia="Cambria" w:hAnsi="Cambria"/>
          <w:color w:val="222222"/>
          <w:sz w:val="28"/>
          <w:szCs w:val="28"/>
          <w:vertAlign w:val="superscript"/>
          <w:rtl w:val="0"/>
        </w:rPr>
        <w:t xml:space="preserve">The ChocAn Operator menu gives Operators a list of seven options: add a member, edit a member, delete a member, add a provider, edit a provider, delete a provider, and logout. These are accessed by inputting “addm”, “editm”, “deletem”, “addp”, “editp”, “deletep”, and “logout” respectively. Invalid inputs prompt the Operator Menu again.</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addm:</w:t>
      </w:r>
      <w:r w:rsidDel="00000000" w:rsidR="00000000" w:rsidRPr="00000000">
        <w:rPr>
          <w:rFonts w:ascii="Cambria" w:cs="Cambria" w:eastAsia="Cambria" w:hAnsi="Cambria"/>
          <w:color w:val="222222"/>
          <w:sz w:val="28"/>
          <w:szCs w:val="28"/>
          <w:shd w:fill="cccccc" w:val="clear"/>
          <w:vertAlign w:val="superscript"/>
          <w:rtl w:val="0"/>
        </w:rPr>
        <w:t xml:space="preserve"> </w:t>
      </w:r>
      <w:r w:rsidDel="00000000" w:rsidR="00000000" w:rsidRPr="00000000">
        <w:rPr>
          <w:rFonts w:ascii="Cambria" w:cs="Cambria" w:eastAsia="Cambria" w:hAnsi="Cambria"/>
          <w:color w:val="222222"/>
          <w:sz w:val="28"/>
          <w:szCs w:val="28"/>
          <w:vertAlign w:val="superscript"/>
          <w:rtl w:val="0"/>
        </w:rPr>
        <w:t xml:space="preserve">Choosing to add a member has the user input the specific member identification number to be associated with a new member’s data. If that member already exists, the user will be told as such and prompted to enter a different member ID. Once a valid member ID has been entered, the user is prompted to enter information about to the to-be-added member.  They are prompted to enter the member’s name, address, city, state, and zip code. Additionally, the operator must note whether this member account status is active or suspended. </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editm:</w:t>
      </w:r>
      <w:r w:rsidDel="00000000" w:rsidR="00000000" w:rsidRPr="00000000">
        <w:rPr>
          <w:rFonts w:ascii="Cambria" w:cs="Cambria" w:eastAsia="Cambria" w:hAnsi="Cambria"/>
          <w:color w:val="222222"/>
          <w:sz w:val="28"/>
          <w:szCs w:val="28"/>
          <w:shd w:fill="cccccc" w:val="clear"/>
          <w:vertAlign w:val="superscript"/>
          <w:rtl w:val="0"/>
        </w:rPr>
        <w:t xml:space="preserve"> </w:t>
      </w:r>
      <w:r w:rsidDel="00000000" w:rsidR="00000000" w:rsidRPr="00000000">
        <w:rPr>
          <w:rFonts w:ascii="Cambria" w:cs="Cambria" w:eastAsia="Cambria" w:hAnsi="Cambria"/>
          <w:color w:val="222222"/>
          <w:sz w:val="28"/>
          <w:szCs w:val="28"/>
          <w:vertAlign w:val="superscript"/>
          <w:rtl w:val="0"/>
        </w:rPr>
        <w:t xml:space="preserve">Choosing to edit a member has the user input a specific member identification number. If that member ID does not exist, the user will be told as such and prompted to enter a different one. Once a valid member ID has been entered, the user is prompted to enter which field for the specific member they would like to modify. They can modify a member’s ID, name, address, city, state, zip code, and status. They can modify as many fields as they would like until they enter “stop”.</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deletem: </w:t>
      </w:r>
      <w:r w:rsidDel="00000000" w:rsidR="00000000" w:rsidRPr="00000000">
        <w:rPr>
          <w:rFonts w:ascii="Cambria" w:cs="Cambria" w:eastAsia="Cambria" w:hAnsi="Cambria"/>
          <w:color w:val="222222"/>
          <w:sz w:val="28"/>
          <w:szCs w:val="28"/>
          <w:vertAlign w:val="superscript"/>
          <w:rtl w:val="0"/>
        </w:rPr>
        <w:t xml:space="preserve">Choosing to delete a member has the user input a specific member identification number. If that member ID does not exist, the user will be told as such and prompted to enter a different one. Once a valid member ID has been entered, the user is prompted to confirm whether or not they want to delete that member ID. If they do, the member is removed from the system and if they do not then it is not removed from the system. The user will be told as such.</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addp:</w:t>
      </w:r>
      <w:r w:rsidDel="00000000" w:rsidR="00000000" w:rsidRPr="00000000">
        <w:rPr>
          <w:rFonts w:ascii="Cambria" w:cs="Cambria" w:eastAsia="Cambria" w:hAnsi="Cambria"/>
          <w:color w:val="222222"/>
          <w:sz w:val="28"/>
          <w:szCs w:val="28"/>
          <w:vertAlign w:val="superscript"/>
          <w:rtl w:val="0"/>
        </w:rPr>
        <w:t xml:space="preserve"> Choosing to add a provider has the user input the specific provider identification number to be associated with a new provider’s data.If that provider already exists, the user will be told as such and prompted to enter a different provider ID. Once a valid provider ID has been entered, the user is prompted to enter information about to the to-be-added member.  They are prompted to enter the member’s name, address, city, state, zip code, number of consultations, and the total cost of fees. </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editp:</w:t>
      </w:r>
      <w:r w:rsidDel="00000000" w:rsidR="00000000" w:rsidRPr="00000000">
        <w:rPr>
          <w:rFonts w:ascii="Cambria" w:cs="Cambria" w:eastAsia="Cambria" w:hAnsi="Cambria"/>
          <w:color w:val="222222"/>
          <w:sz w:val="28"/>
          <w:szCs w:val="28"/>
          <w:shd w:fill="cccccc" w:val="clear"/>
          <w:vertAlign w:val="superscript"/>
          <w:rtl w:val="0"/>
        </w:rPr>
        <w:t xml:space="preserve"> </w:t>
      </w:r>
      <w:r w:rsidDel="00000000" w:rsidR="00000000" w:rsidRPr="00000000">
        <w:rPr>
          <w:rFonts w:ascii="Cambria" w:cs="Cambria" w:eastAsia="Cambria" w:hAnsi="Cambria"/>
          <w:color w:val="222222"/>
          <w:sz w:val="28"/>
          <w:szCs w:val="28"/>
          <w:vertAlign w:val="superscript"/>
          <w:rtl w:val="0"/>
        </w:rPr>
        <w:t xml:space="preserve">Choosing to edit a provider has the user input a specific provider identification number. If that provider ID does not exist, the user will be told as such and prompted to enter a different one. Once a valid provider ID has been entered, the user is prompted to enter which field for the specific provider they would like to modify. They can modify a provider’s ID, name, address, city, state, zip code, consultations, and fees. They can modify as many fields as they would like until they enter “stop”.</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deletep: </w:t>
      </w:r>
      <w:r w:rsidDel="00000000" w:rsidR="00000000" w:rsidRPr="00000000">
        <w:rPr>
          <w:rFonts w:ascii="Cambria" w:cs="Cambria" w:eastAsia="Cambria" w:hAnsi="Cambria"/>
          <w:color w:val="222222"/>
          <w:sz w:val="28"/>
          <w:szCs w:val="28"/>
          <w:vertAlign w:val="superscript"/>
          <w:rtl w:val="0"/>
        </w:rPr>
        <w:t xml:space="preserve">Choosing to delete a provider has the user input a specific provider identification number. If that provider ID does not exist, the user will be told as such and prompted to enter a different one. Once a valid provider ID has been entered, the user is prompted to confirm whether or not they want to delete that provider ID. If they do, the provider is removed from the system and if they do not then it is not removed from the system.  The user will be told as such.</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logout:</w:t>
      </w:r>
      <w:r w:rsidDel="00000000" w:rsidR="00000000" w:rsidRPr="00000000">
        <w:rPr>
          <w:rFonts w:ascii="Cambria" w:cs="Cambria" w:eastAsia="Cambria" w:hAnsi="Cambria"/>
          <w:color w:val="222222"/>
          <w:sz w:val="28"/>
          <w:szCs w:val="28"/>
          <w:vertAlign w:val="superscript"/>
          <w:rtl w:val="0"/>
        </w:rPr>
        <w:t xml:space="preserve"> Inputting this option brings the user back to the login menu to allow them to login as a Manager, Operator, or another Provider. </w:t>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 xml:space="preserve">Manager</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t xml:space="preserve">The ChocAn Manager menu gives Managers the option to do one of five options: generate member reports, generate provider reports, generate summary reports, generate EFT files, and log out. These are accessed by inputting “member”, “provider”, “summary”, “eft”, and “logout” respectively. Invalid inputs prompt the Manager Menu again.</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member: </w:t>
      </w:r>
      <w:r w:rsidDel="00000000" w:rsidR="00000000" w:rsidRPr="00000000">
        <w:rPr>
          <w:rFonts w:ascii="Cambria" w:cs="Cambria" w:eastAsia="Cambria" w:hAnsi="Cambria"/>
          <w:color w:val="222222"/>
          <w:sz w:val="28"/>
          <w:szCs w:val="28"/>
          <w:vertAlign w:val="superscript"/>
          <w:rtl w:val="0"/>
        </w:rPr>
        <w:t xml:space="preserve">Choosing this option generates a report specific for each member that has consulted ChocAn. A report is stored as a separate file for each member and contains the member’s name, ID, address, city, state, zip code, and the date, provider name, and service name for each service they were provided. This report will be emailed to each  specific  member.</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provider:</w:t>
      </w:r>
      <w:r w:rsidDel="00000000" w:rsidR="00000000" w:rsidRPr="00000000">
        <w:rPr>
          <w:rFonts w:ascii="Cambria" w:cs="Cambria" w:eastAsia="Cambria" w:hAnsi="Cambria"/>
          <w:color w:val="222222"/>
          <w:sz w:val="28"/>
          <w:szCs w:val="28"/>
          <w:vertAlign w:val="superscript"/>
          <w:rtl w:val="0"/>
        </w:rPr>
        <w:t xml:space="preserve">Choosing this option generates a report specific for each provider that has billed ChocAn. A report is stored as a separate file for each provider and contains the provider’s name, ID, address, city, state, zip code, and the date and time, member name, service code, and fee for each service. Additionally, the total number of consultations had by that Provider is listed at the bottom along with the total fee. This report will be emailed to each specific provider.</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summary:</w:t>
      </w:r>
      <w:r w:rsidDel="00000000" w:rsidR="00000000" w:rsidRPr="00000000">
        <w:rPr>
          <w:rFonts w:ascii="Cambria" w:cs="Cambria" w:eastAsia="Cambria" w:hAnsi="Cambria"/>
          <w:color w:val="222222"/>
          <w:sz w:val="28"/>
          <w:szCs w:val="28"/>
          <w:vertAlign w:val="superscript"/>
          <w:rtl w:val="0"/>
        </w:rPr>
        <w:t xml:space="preserve">Choosing this option generates a report for the manager regarding the accounts payable. The report is stored in a separate file and lists every provider to be paid that week, the number of consultations each had, and their total fee. This report will be emailed to the manager that is logged in.</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r w:rsidDel="00000000" w:rsidR="00000000" w:rsidRPr="00000000">
        <w:rPr>
          <w:rFonts w:ascii="Cambria" w:cs="Cambria" w:eastAsia="Cambria" w:hAnsi="Cambria"/>
          <w:i w:val="1"/>
          <w:color w:val="222222"/>
          <w:sz w:val="28"/>
          <w:szCs w:val="28"/>
          <w:shd w:fill="cccccc" w:val="clear"/>
          <w:vertAlign w:val="superscript"/>
          <w:rtl w:val="0"/>
        </w:rPr>
        <w:t xml:space="preserve">logout:</w:t>
      </w:r>
      <w:r w:rsidDel="00000000" w:rsidR="00000000" w:rsidRPr="00000000">
        <w:rPr>
          <w:rFonts w:ascii="Cambria" w:cs="Cambria" w:eastAsia="Cambria" w:hAnsi="Cambria"/>
          <w:color w:val="222222"/>
          <w:sz w:val="28"/>
          <w:szCs w:val="28"/>
          <w:vertAlign w:val="superscript"/>
          <w:rtl w:val="0"/>
        </w:rPr>
        <w:t xml:space="preserve"> Inputting this option brings the user back to the login menu to allow them to login as a Manager, Operator, or another Provider. </w:t>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 xml:space="preserve">Conclusion</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t xml:space="preserve">Data modified in one use of the ChocAn software carries on to the next. As such, any members or providers that are added, deleted, or otherwise edited will be stored in the ChocAn database. Furthermore, consultations had by members will be recorded across sessions. User satisfaction is among our highest priority and so all of us here at ChocAn hope this manual has been both informative and helpful. For further assistance, please email our technical writer at </w:t>
      </w:r>
      <w:hyperlink r:id="rId6">
        <w:r w:rsidDel="00000000" w:rsidR="00000000" w:rsidRPr="00000000">
          <w:rPr>
            <w:rFonts w:ascii="Cambria" w:cs="Cambria" w:eastAsia="Cambria" w:hAnsi="Cambria"/>
            <w:color w:val="1155cc"/>
            <w:sz w:val="28"/>
            <w:szCs w:val="28"/>
            <w:u w:val="single"/>
            <w:vertAlign w:val="superscript"/>
            <w:rtl w:val="0"/>
          </w:rPr>
          <w:t xml:space="preserve">stfuhriman@crimson.ua.edu</w:t>
        </w:r>
      </w:hyperlink>
      <w:r w:rsidDel="00000000" w:rsidR="00000000" w:rsidRPr="00000000">
        <w:rPr>
          <w:rFonts w:ascii="Cambria" w:cs="Cambria" w:eastAsia="Cambria" w:hAnsi="Cambria"/>
          <w:color w:val="222222"/>
          <w:sz w:val="28"/>
          <w:szCs w:val="28"/>
          <w:vertAlign w:val="superscript"/>
          <w:rtl w:val="0"/>
        </w:rPr>
        <w:t xml:space="preserve">.</w:t>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color w:val="222222"/>
          <w:sz w:val="28"/>
          <w:szCs w:val="28"/>
          <w:vertAlign w:val="superscript"/>
        </w:rPr>
      </w:pPr>
      <w:r w:rsidDel="00000000" w:rsidR="00000000" w:rsidRPr="00000000">
        <w:rPr>
          <w:rFonts w:ascii="Cambria" w:cs="Cambria" w:eastAsia="Cambria" w:hAnsi="Cambria"/>
          <w:b w:val="1"/>
          <w:color w:val="222222"/>
          <w:sz w:val="28"/>
          <w:szCs w:val="28"/>
          <w:vertAlign w:val="superscript"/>
          <w:rtl w:val="0"/>
        </w:rPr>
        <w:t xml:space="preserve">Task Distribution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210"/>
        <w:gridCol w:w="1350"/>
        <w:tblGridChange w:id="0">
          <w:tblGrid>
            <w:gridCol w:w="1800"/>
            <w:gridCol w:w="621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222222"/>
                <w:sz w:val="36"/>
                <w:szCs w:val="36"/>
                <w:vertAlign w:val="superscript"/>
              </w:rPr>
            </w:pPr>
            <w:r w:rsidDel="00000000" w:rsidR="00000000" w:rsidRPr="00000000">
              <w:rPr>
                <w:rFonts w:ascii="Cambria" w:cs="Cambria" w:eastAsia="Cambria" w:hAnsi="Cambria"/>
                <w:b w:val="1"/>
                <w:color w:val="222222"/>
                <w:sz w:val="36"/>
                <w:szCs w:val="36"/>
                <w:vertAlign w:val="superscript"/>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222222"/>
                <w:sz w:val="36"/>
                <w:szCs w:val="36"/>
                <w:vertAlign w:val="superscript"/>
              </w:rPr>
            </w:pPr>
            <w:r w:rsidDel="00000000" w:rsidR="00000000" w:rsidRPr="00000000">
              <w:rPr>
                <w:rFonts w:ascii="Cambria" w:cs="Cambria" w:eastAsia="Cambria" w:hAnsi="Cambria"/>
                <w:b w:val="1"/>
                <w:color w:val="222222"/>
                <w:sz w:val="36"/>
                <w:szCs w:val="36"/>
                <w:vertAlign w:val="superscript"/>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222222"/>
                <w:sz w:val="36"/>
                <w:szCs w:val="36"/>
                <w:vertAlign w:val="superscript"/>
              </w:rPr>
            </w:pPr>
            <w:r w:rsidDel="00000000" w:rsidR="00000000" w:rsidRPr="00000000">
              <w:rPr>
                <w:rFonts w:ascii="Cambria" w:cs="Cambria" w:eastAsia="Cambria" w:hAnsi="Cambria"/>
                <w:b w:val="1"/>
                <w:color w:val="222222"/>
                <w:sz w:val="36"/>
                <w:szCs w:val="36"/>
                <w:vertAlign w:val="superscript"/>
                <w:rtl w:val="0"/>
              </w:rPr>
              <w:t xml:space="preserve">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Aashman Gupta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Created classes for report generation and the main accounting procedure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Alex Ramsayer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Created the main file and class to store data from the other classes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Ben Sanders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Created the provider directory and consultation generation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Derek Hastings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Created the class that managed additional creation of providers and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Spencer Fuhriman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Created the user interface and the 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 xml:space="preserve">20%</w:t>
            </w:r>
          </w:p>
        </w:tc>
      </w:tr>
    </w:tbl>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Fonts w:ascii="Cambria" w:cs="Cambria" w:eastAsia="Cambria" w:hAnsi="Cambria"/>
          <w:color w:val="222222"/>
          <w:sz w:val="28"/>
          <w:szCs w:val="28"/>
          <w:vertAlign w:val="superscript"/>
          <w:rtl w:val="0"/>
        </w:rPr>
        <w:tab/>
      </w:r>
    </w:p>
    <w:p w:rsidR="00000000" w:rsidDel="00000000" w:rsidP="00000000" w:rsidRDefault="00000000" w:rsidRPr="00000000">
      <w:pPr>
        <w:ind w:left="0" w:firstLine="0"/>
        <w:contextualSpacing w:val="0"/>
        <w:rPr>
          <w:rFonts w:ascii="Cambria" w:cs="Cambria" w:eastAsia="Cambria" w:hAnsi="Cambria"/>
          <w:color w:val="222222"/>
          <w:sz w:val="28"/>
          <w:szCs w:val="28"/>
          <w:vertAlign w:val="superscrip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fuhriman@crimson.u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