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Results</w:t>
      </w:r>
    </w:p>
    <w:p w:rsidR="00000000" w:rsidDel="00000000" w:rsidP="00000000" w:rsidRDefault="00000000" w:rsidRPr="00000000" w14:paraId="00000002">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 was able to replicate the 18th Figure of the ANES analysis, as well as some of the topics from the </w:t>
      </w:r>
      <w:r w:rsidDel="00000000" w:rsidR="00000000" w:rsidRPr="00000000">
        <w:rPr>
          <w:rFonts w:ascii="Times New Roman" w:cs="Times New Roman" w:eastAsia="Times New Roman" w:hAnsi="Times New Roman"/>
          <w:color w:val="212529"/>
          <w:sz w:val="24"/>
          <w:szCs w:val="24"/>
          <w:highlight w:val="white"/>
          <w:rtl w:val="0"/>
        </w:rPr>
        <w:t xml:space="preserve">Gardian</w:t>
      </w:r>
      <w:r w:rsidDel="00000000" w:rsidR="00000000" w:rsidRPr="00000000">
        <w:rPr>
          <w:rFonts w:ascii="Times New Roman" w:cs="Times New Roman" w:eastAsia="Times New Roman" w:hAnsi="Times New Roman"/>
          <w:color w:val="212529"/>
          <w:sz w:val="24"/>
          <w:szCs w:val="24"/>
          <w:highlight w:val="white"/>
          <w:rtl w:val="0"/>
        </w:rPr>
        <w:t xml:space="preserve"> analysis. </w:t>
      </w:r>
    </w:p>
    <w:p w:rsidR="00000000" w:rsidDel="00000000" w:rsidP="00000000" w:rsidRDefault="00000000" w:rsidRPr="00000000" w14:paraId="00000004">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Differences</w:t>
      </w:r>
    </w:p>
    <w:p w:rsidR="00000000" w:rsidDel="00000000" w:rsidP="00000000" w:rsidRDefault="00000000" w:rsidRPr="00000000" w14:paraId="00000006">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topics generated for the Gardian analysis varied slightly from the authors, even though the same file was used to analyze the data. The top topics produced for ANES data analysis (Figure 17) also differed. As a result the following figures in the report were difficult to replicate, as the topics varied between the authors and my replication. The authors also did not clarify what a certain topic number meant in their code (e.g., referred to the different topics as topic 50, which differed from my generation of topic 50). I was unable to replicate most of the figures for the ANES and Gardian data. </w:t>
      </w:r>
    </w:p>
    <w:p w:rsidR="00000000" w:rsidDel="00000000" w:rsidP="00000000" w:rsidRDefault="00000000" w:rsidRPr="00000000" w14:paraId="00000008">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Replication autopsy</w:t>
      </w:r>
    </w:p>
    <w:p w:rsidR="00000000" w:rsidDel="00000000" w:rsidP="00000000" w:rsidRDefault="00000000" w:rsidRPr="00000000" w14:paraId="0000000A">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topic model was replicable to a certain extent, such that topics were generated but did not fully match the authors’ replication. The top topics overlapped, but most topics did not. As a result, I was unable to create the STM graphs. This is perhaps as a result of a host of different issues that would have arisen during the coding process, but also a lack of clarity in the topics used to generate the graphs by the authors, especially as the exact topics were not replicable. </w:t>
      </w:r>
    </w:p>
    <w:p w:rsidR="00000000" w:rsidDel="00000000" w:rsidP="00000000" w:rsidRDefault="00000000" w:rsidRPr="00000000" w14:paraId="0000000C">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Extension</w:t>
      </w:r>
    </w:p>
    <w:p w:rsidR="00000000" w:rsidDel="00000000" w:rsidP="00000000" w:rsidRDefault="00000000" w:rsidRPr="00000000" w14:paraId="0000000E">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If I could extend this paper, I would like to apply the STM outside to other social science fields to explore its applicative nature. I also want to compare the effects of STM across different disciplines to determine if this approach is better fitted for textual data in one field than another. Each field of social science has different </w:t>
      </w:r>
      <w:r w:rsidDel="00000000" w:rsidR="00000000" w:rsidRPr="00000000">
        <w:rPr>
          <w:rFonts w:ascii="Times New Roman" w:cs="Times New Roman" w:eastAsia="Times New Roman" w:hAnsi="Times New Roman"/>
          <w:i w:val="1"/>
          <w:iCs w:val="1"/>
          <w:color w:val="212529"/>
          <w:sz w:val="24"/>
          <w:szCs w:val="24"/>
          <w:highlight w:val="white"/>
          <w:rtl w:val="0"/>
        </w:rPr>
        <w:t xml:space="preserve">types </w:t>
      </w:r>
      <w:r w:rsidDel="00000000" w:rsidR="00000000" w:rsidRPr="00000000">
        <w:rPr>
          <w:rFonts w:ascii="Times New Roman" w:cs="Times New Roman" w:eastAsia="Times New Roman" w:hAnsi="Times New Roman"/>
          <w:color w:val="212529"/>
          <w:sz w:val="24"/>
          <w:szCs w:val="24"/>
          <w:highlight w:val="white"/>
          <w:rtl w:val="0"/>
        </w:rPr>
        <w:t xml:space="preserve">of data. Although there are research papers exploring the role of STM in political sciences, it is not as thoroughly explored in other fields. It is possible that this approach is best fitted to the type of textual data available in political science than other fields.</w:t>
      </w:r>
      <w:r w:rsidDel="00000000" w:rsidR="00000000" w:rsidRPr="00000000">
        <w:rPr>
          <w:rFonts w:ascii="Times New Roman" w:cs="Times New Roman" w:eastAsia="Times New Roman" w:hAnsi="Times New Roman"/>
          <w:color w:val="212529"/>
          <w:sz w:val="24"/>
          <w:szCs w:val="24"/>
          <w:highlight w:val="white"/>
          <w:rtl w:val="0"/>
        </w:rPr>
        <w:t xml:space="preserve">STM can also be contrasted with neural network (LLM) approaches and dictionary approaches to show the effectiveness and nuance that STM offers above other techniques, while also highlighting its weaknesses.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