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74F750" w14:textId="77777777" w:rsidR="00495820" w:rsidRPr="00495820" w:rsidRDefault="00495820" w:rsidP="00495820">
      <w:r w:rsidRPr="00495820">
        <w:rPr>
          <w:b/>
          <w:bCs/>
        </w:rPr>
        <w:t>1. How does the initiative power work?</w:t>
      </w:r>
      <w:r w:rsidRPr="00495820">
        <w:br/>
        <w:t xml:space="preserve">The initiative power is a form of direct democracy that allows citizens to propose new laws or constitutional amendments without relying on the legislature. Citizens draft a proposed measure, submit it to the appropriate election authority, and then collect a required number of valid voter signatures within a set timeframe. If enough signatures are verified, the proposal is placed on the ballot for a public vote. If </w:t>
      </w:r>
      <w:proofErr w:type="gramStart"/>
      <w:r w:rsidRPr="00495820">
        <w:t>the majority of</w:t>
      </w:r>
      <w:proofErr w:type="gramEnd"/>
      <w:r w:rsidRPr="00495820">
        <w:t xml:space="preserve"> voters approve it, the initiative becomes law or is added to the constitution, depending on the type of measure. This process empowers voters to directly shape public policy when they believe legislative action is insufficient.</w:t>
      </w:r>
    </w:p>
    <w:p w14:paraId="2D406279" w14:textId="77777777" w:rsidR="00495820" w:rsidRPr="00495820" w:rsidRDefault="00495820" w:rsidP="00495820">
      <w:r w:rsidRPr="00495820">
        <w:rPr>
          <w:b/>
          <w:bCs/>
        </w:rPr>
        <w:t>Reference:</w:t>
      </w:r>
      <w:r w:rsidRPr="00495820">
        <w:t> National Conference of State Legislatures (NCSL), “Initiative, Referendum and Recall” – </w:t>
      </w:r>
      <w:hyperlink r:id="rId4" w:tgtFrame="_new" w:history="1">
        <w:r w:rsidRPr="00495820">
          <w:rPr>
            <w:rStyle w:val="Hyperlink"/>
          </w:rPr>
          <w:t>https://www.ncsl.org/elections-and-campaigns/initiative-referendum-and-recall-overview</w:t>
        </w:r>
      </w:hyperlink>
    </w:p>
    <w:p w14:paraId="1A0E8E75" w14:textId="77777777" w:rsidR="00495820" w:rsidRPr="00495820" w:rsidRDefault="00495820" w:rsidP="00495820">
      <w:r w:rsidRPr="00495820">
        <w:rPr>
          <w:b/>
          <w:bCs/>
        </w:rPr>
        <w:t>2. How does the referendum process work?</w:t>
      </w:r>
      <w:r w:rsidRPr="00495820">
        <w:br/>
        <w:t>The referendum process allows voters to directly approve or reject laws passed by the legislature. In a popular referendum, citizens gather signatures to challenge a recently passed law and place it on the ballot before it takes effect. In a legislative referendum, lawmakers themselves refer a proposed law or constitutional amendment to voters for approval. During an election, voters cast ballots to either accept or reject the measure. This process acts as a public check on government decisions, ensuring that major legislative actions can be reviewed and validated by the electorate.</w:t>
      </w:r>
    </w:p>
    <w:p w14:paraId="3B7BD175" w14:textId="77777777" w:rsidR="00495820" w:rsidRPr="00495820" w:rsidRDefault="00495820" w:rsidP="00495820">
      <w:r w:rsidRPr="00495820">
        <w:rPr>
          <w:b/>
          <w:bCs/>
        </w:rPr>
        <w:t>Reference:</w:t>
      </w:r>
      <w:r w:rsidRPr="00495820">
        <w:t> </w:t>
      </w:r>
      <w:proofErr w:type="spellStart"/>
      <w:r w:rsidRPr="00495820">
        <w:t>Encyclopaedia</w:t>
      </w:r>
      <w:proofErr w:type="spellEnd"/>
      <w:r w:rsidRPr="00495820">
        <w:t xml:space="preserve"> Britannica, “Referendum” – </w:t>
      </w:r>
      <w:hyperlink r:id="rId5" w:tgtFrame="_new" w:history="1">
        <w:r w:rsidRPr="00495820">
          <w:rPr>
            <w:rStyle w:val="Hyperlink"/>
          </w:rPr>
          <w:t>https://www.britannica.com/topic/referendum</w:t>
        </w:r>
      </w:hyperlink>
    </w:p>
    <w:p w14:paraId="685F4CA6" w14:textId="77777777" w:rsidR="00495820" w:rsidRPr="00495820" w:rsidRDefault="00495820" w:rsidP="00495820">
      <w:r w:rsidRPr="00495820">
        <w:rPr>
          <w:b/>
          <w:bCs/>
        </w:rPr>
        <w:t>3. How are state officers subject to recall?</w:t>
      </w:r>
      <w:r w:rsidRPr="00495820">
        <w:br/>
        <w:t>State officers are subject to recall through a direct democratic process that allows voters to remove elected officials from office before their term ends. Citizens must first file a recall petition stating the grounds for removal, then collect a required number of voter signatures within a specified period. If enough valid signatures are gathered, a recall election is scheduled where voters decide whether the official should be removed. In some states, the ballot may also include candidates to replace the recalled officer. This process holds public officials accountable to voters between regular elections.</w:t>
      </w:r>
    </w:p>
    <w:p w14:paraId="2B0C7B76" w14:textId="77777777" w:rsidR="00495820" w:rsidRPr="00495820" w:rsidRDefault="00495820" w:rsidP="00495820">
      <w:r w:rsidRPr="00495820">
        <w:rPr>
          <w:b/>
          <w:bCs/>
        </w:rPr>
        <w:t>Reference:</w:t>
      </w:r>
      <w:r w:rsidRPr="00495820">
        <w:t> National Conference of State Legislatures (NCSL), “Initiative, Referendum and Recall” – </w:t>
      </w:r>
      <w:hyperlink r:id="rId6" w:tgtFrame="_new" w:history="1">
        <w:r w:rsidRPr="00495820">
          <w:rPr>
            <w:rStyle w:val="Hyperlink"/>
          </w:rPr>
          <w:t>https://www.ncsl.org/elections-and-campaigns/initiative-referendum-and-recall-overview</w:t>
        </w:r>
      </w:hyperlink>
    </w:p>
    <w:p w14:paraId="18E91AB6" w14:textId="77777777" w:rsidR="00495820" w:rsidRPr="00495820" w:rsidRDefault="00495820" w:rsidP="00495820">
      <w:r w:rsidRPr="00495820">
        <w:rPr>
          <w:b/>
          <w:bCs/>
        </w:rPr>
        <w:t>4. How does a bill become law?</w:t>
      </w:r>
      <w:r w:rsidRPr="00495820">
        <w:br/>
        <w:t xml:space="preserve">A bill becomes law through a series of formal steps in the legislative process. First, a bill is </w:t>
      </w:r>
      <w:r w:rsidRPr="00495820">
        <w:lastRenderedPageBreak/>
        <w:t>introduced in either the state legislature or Congress, depending on the level of government. It is then assigned to committees for review, debate, amendments, and approval. If passed by both legislative chambers, the bill is sent to the governor or president, who can sign it into law, veto it, or sometimes allow it to become law without a signature. If vetoed, the legislature may override the veto with a supermajority vote. Once approved, the bill officially becomes law.</w:t>
      </w:r>
    </w:p>
    <w:p w14:paraId="41B27E7A" w14:textId="77777777" w:rsidR="00495820" w:rsidRPr="00495820" w:rsidRDefault="00495820" w:rsidP="00495820">
      <w:r w:rsidRPr="00495820">
        <w:rPr>
          <w:b/>
          <w:bCs/>
        </w:rPr>
        <w:t>Reference:</w:t>
      </w:r>
      <w:r w:rsidRPr="00495820">
        <w:t> USA.gov, “How laws are made” – </w:t>
      </w:r>
      <w:hyperlink r:id="rId7" w:tgtFrame="_new" w:history="1">
        <w:r w:rsidRPr="00495820">
          <w:rPr>
            <w:rStyle w:val="Hyperlink"/>
          </w:rPr>
          <w:t>https://www.usa.gov/how-laws-are-made</w:t>
        </w:r>
      </w:hyperlink>
    </w:p>
    <w:p w14:paraId="317C55A4" w14:textId="77777777" w:rsidR="00495820" w:rsidRPr="00495820" w:rsidRDefault="00495820" w:rsidP="00495820">
      <w:r w:rsidRPr="00495820">
        <w:rPr>
          <w:b/>
          <w:bCs/>
        </w:rPr>
        <w:t>5. When does an urgency statute take effect?</w:t>
      </w:r>
      <w:r w:rsidRPr="00495820">
        <w:br/>
        <w:t>An urgency statute takes effect immediately upon being signed into law by the Governor, rather than following the normal waiting period for most laws. These statutes are intended for measures necessary for the immediate preservation of public peace, health, or safety. To qualify, the bill must include an urgency clause and generally requires a two-thirds vote of the legislature for passage. This expedited process ensures that critical laws can be enforced without delay when urgent public needs arise.</w:t>
      </w:r>
    </w:p>
    <w:p w14:paraId="09EE4162" w14:textId="77777777" w:rsidR="00495820" w:rsidRPr="00495820" w:rsidRDefault="00495820" w:rsidP="00495820">
      <w:r w:rsidRPr="00495820">
        <w:rPr>
          <w:b/>
          <w:bCs/>
        </w:rPr>
        <w:t>Reference:</w:t>
      </w:r>
      <w:r w:rsidRPr="00495820">
        <w:t> California Legislative Information, California Constitution Article IV, Section 8(d) – https://leginfo.legislature.ca.gov/faces/codes_displaySection.xhtml?sectionNum=8.&amp;lawCode=CONS</w:t>
      </w:r>
    </w:p>
    <w:p w14:paraId="144F070C" w14:textId="77777777" w:rsidR="00495820" w:rsidRPr="00495820" w:rsidRDefault="00495820" w:rsidP="00495820">
      <w:r w:rsidRPr="00495820">
        <w:rPr>
          <w:b/>
          <w:bCs/>
        </w:rPr>
        <w:t>6. How does the Governor's veto power work?</w:t>
      </w:r>
      <w:r w:rsidRPr="00495820">
        <w:br/>
        <w:t>The Governor's veto power allows the Governor to reject bills passed by the state legislature, preventing them from becoming law unless overridden. After receiving a bill, the Governor may sign it into law, veto it by returning it with objections, or in some cases allow it to become law without a signature. If vetoed, the legislature can override the veto with a two-thirds majority vote in both houses. This power serves as an executive check on legislative authority, ensuring additional review before laws are enacted.</w:t>
      </w:r>
    </w:p>
    <w:p w14:paraId="36CE24E9" w14:textId="77777777" w:rsidR="00495820" w:rsidRPr="00495820" w:rsidRDefault="00495820" w:rsidP="00495820">
      <w:r w:rsidRPr="00495820">
        <w:rPr>
          <w:b/>
          <w:bCs/>
        </w:rPr>
        <w:t>Reference:</w:t>
      </w:r>
      <w:r w:rsidRPr="00495820">
        <w:t> California State Capitol Museum, “Governor’s Role in the Legislative Process” – https://capitolmuseum.ca.gov/state-capitol/governors-office/governors-role/</w:t>
      </w:r>
    </w:p>
    <w:p w14:paraId="5FDE467C" w14:textId="77777777" w:rsidR="00495820" w:rsidRPr="00495820" w:rsidRDefault="00495820" w:rsidP="00495820">
      <w:r w:rsidRPr="00495820">
        <w:rPr>
          <w:b/>
          <w:bCs/>
        </w:rPr>
        <w:t>7. How is judicial power vested in California courts?</w:t>
      </w:r>
      <w:r w:rsidRPr="00495820">
        <w:br/>
        <w:t>Judicial power in California is vested in the state’s court system by the California Constitution, which grants authority to the Supreme Court, Courts of Appeal, and Superior Courts. The California Supreme Court is the highest court, followed by appellate courts that review lower court decisions, while Superior Courts handle trial cases. This structure ensures the fair interpretation and application of state laws while maintaining checks and balances within the government.</w:t>
      </w:r>
    </w:p>
    <w:p w14:paraId="6D42FF20" w14:textId="77777777" w:rsidR="00495820" w:rsidRPr="00495820" w:rsidRDefault="00495820" w:rsidP="00495820">
      <w:r w:rsidRPr="00495820">
        <w:rPr>
          <w:b/>
          <w:bCs/>
        </w:rPr>
        <w:lastRenderedPageBreak/>
        <w:t>Reference:</w:t>
      </w:r>
      <w:r w:rsidRPr="00495820">
        <w:t> California Constitution, Article VI – Judicial Branch: https://leginfo.legislature.ca.gov/faces/codes_displaySection.xhtml?lawCode=CONS&amp;article=VI</w:t>
      </w:r>
    </w:p>
    <w:p w14:paraId="3E426709" w14:textId="77777777" w:rsidR="00495820" w:rsidRPr="00495820" w:rsidRDefault="00495820" w:rsidP="00495820">
      <w:r w:rsidRPr="00495820">
        <w:rPr>
          <w:b/>
          <w:bCs/>
        </w:rPr>
        <w:t>8. What is the requirement for a free school in each district?</w:t>
      </w:r>
      <w:r w:rsidRPr="00495820">
        <w:br/>
        <w:t>California law requires the legislature to provide for a system of common schools where a free public school must be maintained in each school district for at least part of the year. This ensures access to free education for all children and reflects the state’s constitutional commitment to public education. The goal is to guarantee that every district offers basic educational opportunities regardless of local economic conditions.</w:t>
      </w:r>
    </w:p>
    <w:p w14:paraId="14779A37" w14:textId="77777777" w:rsidR="00495820" w:rsidRPr="00495820" w:rsidRDefault="00495820" w:rsidP="00495820">
      <w:r w:rsidRPr="00495820">
        <w:rPr>
          <w:b/>
          <w:bCs/>
        </w:rPr>
        <w:t>Reference:</w:t>
      </w:r>
      <w:r w:rsidRPr="00495820">
        <w:t> California Constitution, Article IX, Section 5 – Education: https://leginfo.legislature.ca.gov/faces/codes_displaySection.xhtml?lawCode=CONS&amp;article=IX</w:t>
      </w:r>
    </w:p>
    <w:p w14:paraId="099D8A00" w14:textId="77777777" w:rsidR="00495820" w:rsidRPr="00495820" w:rsidRDefault="00495820" w:rsidP="00495820">
      <w:r w:rsidRPr="00495820">
        <w:rPr>
          <w:b/>
          <w:bCs/>
        </w:rPr>
        <w:t>9. How does the State School Fund work and how is it apportioned?</w:t>
      </w:r>
      <w:r w:rsidRPr="00495820">
        <w:br/>
        <w:t>The State School Fund in California consists of revenues designated for public education, including proceeds from certain taxes and other state resources, and is used to financially support public schools throughout the state. The fund is apportioned according to laws established by the legislature to ensure equitable distribution among school districts based on factors such as student population and educational needs. This system helps maintain consistent funding for free public education across California while promoting equal educational opportunities.</w:t>
      </w:r>
    </w:p>
    <w:p w14:paraId="7BC3EAFA" w14:textId="77777777" w:rsidR="00495820" w:rsidRPr="00495820" w:rsidRDefault="00495820" w:rsidP="00495820">
      <w:r w:rsidRPr="00495820">
        <w:rPr>
          <w:b/>
          <w:bCs/>
        </w:rPr>
        <w:t>Reference:</w:t>
      </w:r>
      <w:r w:rsidRPr="00495820">
        <w:t> California Constitution, Article IX – Education: https://leginfo.legislature.ca.gov/faces/codes_displaySection.xhtml?lawCode=CONS&amp;article=IX</w:t>
      </w:r>
    </w:p>
    <w:p w14:paraId="261A75E1" w14:textId="77777777" w:rsidR="00495820" w:rsidRPr="00495820" w:rsidRDefault="00495820" w:rsidP="00495820">
      <w:r w:rsidRPr="00495820">
        <w:rPr>
          <w:b/>
          <w:bCs/>
        </w:rPr>
        <w:t>10. What textbook responsibilities does the State Board of Education have?</w:t>
      </w:r>
      <w:r w:rsidRPr="00495820">
        <w:br/>
        <w:t>The California State Board of Education is responsible for adopting and approving textbooks and instructional materials for use in public schools, particularly for grades kindergarten through eight. The Board evaluates materials to ensure they align with state academic standards, curriculum frameworks, and legal requirements. This oversight helps maintain educational quality, consistency, and compliance across California’s public education system.</w:t>
      </w:r>
    </w:p>
    <w:p w14:paraId="6028F25B" w14:textId="77777777" w:rsidR="00495820" w:rsidRPr="00495820" w:rsidRDefault="00495820" w:rsidP="00495820">
      <w:r w:rsidRPr="00495820">
        <w:rPr>
          <w:b/>
          <w:bCs/>
        </w:rPr>
        <w:t>Reference:</w:t>
      </w:r>
      <w:r w:rsidRPr="00495820">
        <w:t> California Department of Education, Instructional Materials Adoption – https://www.cde.ca.gov/ci/cr/cf/imadoptfaq.asp</w:t>
      </w:r>
    </w:p>
    <w:p w14:paraId="04FB320F" w14:textId="77777777" w:rsidR="00495820" w:rsidRPr="00495820" w:rsidRDefault="00495820" w:rsidP="00495820">
      <w:r w:rsidRPr="00495820">
        <w:rPr>
          <w:b/>
          <w:bCs/>
        </w:rPr>
        <w:t>11. What rules govern water resources and beneficial use?</w:t>
      </w:r>
      <w:r w:rsidRPr="00495820">
        <w:br/>
        <w:t xml:space="preserve">California’s Constitution requires that the state’s water resources be put to reasonable and beneficial use, meaning water must be used efficiently for purposes such as domestic, </w:t>
      </w:r>
      <w:r w:rsidRPr="00495820">
        <w:lastRenderedPageBreak/>
        <w:t>agricultural, industrial, or environmental needs without waste. The doctrine prohibits unreasonable use or diversion of water and gives the state authority to regulate water rights to ensure conservation and maximum public benefit. This principle supports sustainable management of California’s limited water supply.</w:t>
      </w:r>
    </w:p>
    <w:p w14:paraId="33BC167B" w14:textId="77777777" w:rsidR="00495820" w:rsidRPr="00495820" w:rsidRDefault="00495820" w:rsidP="00495820">
      <w:r w:rsidRPr="00495820">
        <w:rPr>
          <w:b/>
          <w:bCs/>
        </w:rPr>
        <w:t>Reference:</w:t>
      </w:r>
      <w:r w:rsidRPr="00495820">
        <w:t> California Constitution, Article X, Section 2 – Water Resources: https://leginfo.legislature.ca.gov/faces/codes_displaySection.xhtml?lawCode=CONS&amp;article=X</w:t>
      </w:r>
    </w:p>
    <w:p w14:paraId="51B74CE4" w14:textId="77777777" w:rsidR="00495820" w:rsidRPr="00495820" w:rsidRDefault="00495820" w:rsidP="00495820">
      <w:r w:rsidRPr="00495820">
        <w:rPr>
          <w:b/>
          <w:bCs/>
        </w:rPr>
        <w:t>12. What powers do local governments or counties have?</w:t>
      </w:r>
      <w:r w:rsidRPr="00495820">
        <w:br/>
        <w:t>Local governments and counties in California have powers granted by the state constitution and legislature to govern local affairs, including public safety, zoning, public health, taxation, and local services. Charter cities and counties may exercise broader “home rule” authority over municipal matters, while general law counties operate under state statutes. These powers allow local governments to address community-specific needs while remaining subject to state law.</w:t>
      </w:r>
    </w:p>
    <w:p w14:paraId="000DA95D" w14:textId="77777777" w:rsidR="00495820" w:rsidRPr="00495820" w:rsidRDefault="00495820" w:rsidP="00495820">
      <w:r w:rsidRPr="00495820">
        <w:rPr>
          <w:b/>
          <w:bCs/>
        </w:rPr>
        <w:t>Reference:</w:t>
      </w:r>
      <w:r w:rsidRPr="00495820">
        <w:t> California Constitution, Article XI – Local Government: https://leginfo.legislature.ca.gov/faces/codes_displaySection.xhtml?lawCode=CONS&amp;article=XI</w:t>
      </w:r>
    </w:p>
    <w:p w14:paraId="37AF5884" w14:textId="77777777" w:rsidR="00495820" w:rsidRPr="00495820" w:rsidRDefault="00495820" w:rsidP="00495820">
      <w:r w:rsidRPr="00495820">
        <w:rPr>
          <w:b/>
          <w:bCs/>
        </w:rPr>
        <w:t>13. What limits apply to property taxes?</w:t>
      </w:r>
      <w:r w:rsidRPr="00495820">
        <w:br/>
        <w:t>California’s property tax limits are primarily governed by Proposition 13, which restricts the general property tax rate to 1% of a property’s assessed value at the time of purchase, with annual increases in assessed value generally capped at 2% unless the property changes ownership or undergoes new construction. Additional local taxes require voter approval. These limits were designed to protect property owners from rapid tax increases while providing predictable taxation.</w:t>
      </w:r>
    </w:p>
    <w:p w14:paraId="5CE3978B" w14:textId="77777777" w:rsidR="00495820" w:rsidRPr="00495820" w:rsidRDefault="00495820" w:rsidP="00495820">
      <w:r w:rsidRPr="00495820">
        <w:rPr>
          <w:b/>
          <w:bCs/>
        </w:rPr>
        <w:t>Reference:</w:t>
      </w:r>
      <w:r w:rsidRPr="00495820">
        <w:t> California Constitution, Article XIII A – Tax Limitation: https://leginfo.legislature.ca.gov/faces/codes_displaySection.xhtml?lawCode=CONS&amp;article=XIII%20A</w:t>
      </w:r>
    </w:p>
    <w:p w14:paraId="2239964D" w14:textId="77777777" w:rsidR="00495820" w:rsidRPr="00495820" w:rsidRDefault="00495820" w:rsidP="00495820">
      <w:r w:rsidRPr="00495820">
        <w:rPr>
          <w:b/>
          <w:bCs/>
        </w:rPr>
        <w:t>14. How do appropriations limits on government work?</w:t>
      </w:r>
      <w:r w:rsidRPr="00495820">
        <w:br/>
        <w:t>California’s appropriations limit, established by Proposition 4 (the Gann Limit), restricts the amount of tax revenue state and local governments can spend each year. The limit is adjusted annually based on factors such as population growth and cost-of-living changes. Revenues collected above this limit must generally be returned to taxpayers or allocated according to constitutional rules, helping control government spending growth and maintain fiscal restraint.</w:t>
      </w:r>
    </w:p>
    <w:p w14:paraId="1647C38B" w14:textId="77777777" w:rsidR="00495820" w:rsidRPr="00495820" w:rsidRDefault="00495820" w:rsidP="00495820">
      <w:r w:rsidRPr="00495820">
        <w:rPr>
          <w:b/>
          <w:bCs/>
        </w:rPr>
        <w:lastRenderedPageBreak/>
        <w:t>Reference:</w:t>
      </w:r>
      <w:r w:rsidRPr="00495820">
        <w:t> California Constitution, Article XIII B – Government Spending Limitation: https://leginfo.legislature.ca.gov/faces/codes_displaySection.xhtml?lawCode=CONS&amp;article=XIII%20B</w:t>
      </w:r>
    </w:p>
    <w:p w14:paraId="4A9B7172" w14:textId="77777777" w:rsidR="00495820" w:rsidRPr="00495820" w:rsidRDefault="00495820" w:rsidP="00495820">
      <w:r w:rsidRPr="00495820">
        <w:rPr>
          <w:b/>
          <w:bCs/>
        </w:rPr>
        <w:t>15. When is voter approval required for local taxes?</w:t>
      </w:r>
      <w:r w:rsidRPr="00495820">
        <w:br/>
        <w:t>In California, voter approval is required before local governments can impose, increase, or extend certain taxes. General taxes, which fund general governmental purposes, typically require majority voter approval, while special taxes designated for specific purposes usually require approval by two-thirds of voters. This requirement ensures taxpayers have direct control over local tax increases and government revenue measures.</w:t>
      </w:r>
    </w:p>
    <w:p w14:paraId="485BEF97" w14:textId="77777777" w:rsidR="00495820" w:rsidRPr="00495820" w:rsidRDefault="00495820" w:rsidP="00495820">
      <w:r w:rsidRPr="00495820">
        <w:rPr>
          <w:b/>
          <w:bCs/>
        </w:rPr>
        <w:t>Reference:</w:t>
      </w:r>
      <w:r w:rsidRPr="00495820">
        <w:t> California Constitution, Article XIII C – Voter Approval for Local Tax Levies: https://leginfo.legislature.ca.gov/faces/codes_displaySection.xhtml?lawCode=CONS&amp;article=XIII%20C</w:t>
      </w:r>
    </w:p>
    <w:p w14:paraId="0A035125" w14:textId="77777777" w:rsidR="00495820" w:rsidRPr="00495820" w:rsidRDefault="00495820" w:rsidP="00495820">
      <w:r w:rsidRPr="00495820">
        <w:rPr>
          <w:b/>
          <w:bCs/>
        </w:rPr>
        <w:t>16. What rules apply to assessments or property-related fees?</w:t>
      </w:r>
      <w:r w:rsidRPr="00495820">
        <w:br/>
        <w:t>California law requires that assessments and property-related fees imposed by local governments must be proportional to the special benefit or service provided to the property owner. Before such charges can be approved, property owners must receive notice, and in many cases, a public hearing or ballot process is required. Fees cannot exceed the reasonable cost of providing the service, ensuring fairness and preventing misuse of property-related charges.</w:t>
      </w:r>
    </w:p>
    <w:p w14:paraId="3C4CB163" w14:textId="77777777" w:rsidR="00495820" w:rsidRPr="00495820" w:rsidRDefault="00495820" w:rsidP="00495820">
      <w:r w:rsidRPr="00495820">
        <w:rPr>
          <w:b/>
          <w:bCs/>
        </w:rPr>
        <w:t>Reference:</w:t>
      </w:r>
      <w:r w:rsidRPr="00495820">
        <w:t> California Constitution, Article XIII D – Assessment and Property-Related Fee Reform: https://leginfo.legislature.ca.gov/faces/codes_displaySection.xhtml?lawCode=CONS&amp;article=XIII%20D</w:t>
      </w:r>
    </w:p>
    <w:p w14:paraId="172B971D" w14:textId="77777777" w:rsidR="00495820" w:rsidRPr="00495820" w:rsidRDefault="00495820" w:rsidP="00495820">
      <w:r w:rsidRPr="00495820">
        <w:rPr>
          <w:b/>
          <w:bCs/>
        </w:rPr>
        <w:t>17. What restrictions apply to public finance or gifts of public funds?</w:t>
      </w:r>
      <w:r w:rsidRPr="00495820">
        <w:br/>
        <w:t xml:space="preserve">California’s Constitution generally prohibits the state or local governments from giving or lending public money or resources to private individuals, corporations, or entities unless there is a clear public purpose. Public funds must be used only for governmental functions that benefit the </w:t>
      </w:r>
      <w:proofErr w:type="gramStart"/>
      <w:r w:rsidRPr="00495820">
        <w:t>public as a whole, such</w:t>
      </w:r>
      <w:proofErr w:type="gramEnd"/>
      <w:r w:rsidRPr="00495820">
        <w:t xml:space="preserve"> as infrastructure, education, or public welfare. This restriction is intended to prevent misuse of taxpayer money and ensure fiscal responsibility in government spending.</w:t>
      </w:r>
    </w:p>
    <w:p w14:paraId="7E50F565" w14:textId="77777777" w:rsidR="00495820" w:rsidRPr="00495820" w:rsidRDefault="00495820" w:rsidP="00495820">
      <w:r w:rsidRPr="00495820">
        <w:rPr>
          <w:b/>
          <w:bCs/>
        </w:rPr>
        <w:t>Reference:</w:t>
      </w:r>
      <w:r w:rsidRPr="00495820">
        <w:t> California Constitution, Article XVI, Section 6 – Gifts of Public Funds: https://leginfo.legislature.ca.gov/faces/codes_displaySection.xhtml?lawCode=CONS&amp;article=XVI</w:t>
      </w:r>
    </w:p>
    <w:p w14:paraId="02E316EF" w14:textId="77777777" w:rsidR="00495820" w:rsidRPr="00495820" w:rsidRDefault="00495820" w:rsidP="00495820">
      <w:r w:rsidRPr="00495820">
        <w:rPr>
          <w:b/>
          <w:bCs/>
        </w:rPr>
        <w:t>18. How may motor vehicle revenues be used for transportation purposes?</w:t>
      </w:r>
      <w:r w:rsidRPr="00495820">
        <w:br/>
        <w:t xml:space="preserve">Motor vehicle revenues in California, including fuel taxes and vehicle fees, are constitutionally restricted primarily for transportation-related purposes such as the </w:t>
      </w:r>
      <w:r w:rsidRPr="00495820">
        <w:lastRenderedPageBreak/>
        <w:t>construction, maintenance, and operation of public streets, highways, and mass transit systems. These funds cannot generally be diverted to unrelated government programs, ensuring that transportation-generated revenues directly support infrastructure and mobility improvements for the public.</w:t>
      </w:r>
    </w:p>
    <w:p w14:paraId="5CF3903C" w14:textId="77777777" w:rsidR="00495820" w:rsidRPr="00495820" w:rsidRDefault="00495820" w:rsidP="00495820">
      <w:r w:rsidRPr="00495820">
        <w:rPr>
          <w:b/>
          <w:bCs/>
        </w:rPr>
        <w:t>Reference:</w:t>
      </w:r>
      <w:r w:rsidRPr="00495820">
        <w:t> California Constitution, Article XIX – Motor Vehicle Revenues: https://leginfo.legislature.ca.gov/faces/codes_displaySection.xhtml?lawCode=CONS&amp;article=XIX</w:t>
      </w:r>
    </w:p>
    <w:p w14:paraId="4F019930" w14:textId="77777777" w:rsidR="00495820" w:rsidRPr="00495820" w:rsidRDefault="00495820" w:rsidP="00495820">
      <w:r w:rsidRPr="00495820">
        <w:rPr>
          <w:b/>
          <w:bCs/>
        </w:rPr>
        <w:t>19. How is redistricting authority structured?</w:t>
      </w:r>
      <w:r w:rsidRPr="00495820">
        <w:br/>
        <w:t>In California, redistricting authority is primarily vested in the independent California Citizens Redistricting Commission, which is responsible for drawing district boundaries for congressional, state Senate, Assembly, and Board of Equalization districts after each federal census. The commission is designed to be nonpartisan and includes citizens selected through a rigorous application process to ensure fairness, transparency, and reduced political influence. This structure aims to prevent gerrymandering and promote equal representation.</w:t>
      </w:r>
    </w:p>
    <w:p w14:paraId="0B5EA23A" w14:textId="77777777" w:rsidR="00495820" w:rsidRPr="00495820" w:rsidRDefault="00495820" w:rsidP="00495820">
      <w:r w:rsidRPr="00495820">
        <w:rPr>
          <w:b/>
          <w:bCs/>
        </w:rPr>
        <w:t>Reference:</w:t>
      </w:r>
      <w:r w:rsidRPr="00495820">
        <w:t> California Constitution, Article XXI – Redistricting: https://leginfo.legislature.ca.gov/faces/codes_displaySection.xhtml?lawCode=CONS&amp;article=XXI</w:t>
      </w:r>
    </w:p>
    <w:p w14:paraId="4882521A" w14:textId="77777777" w:rsidR="00495820" w:rsidRPr="00495820" w:rsidRDefault="00495820" w:rsidP="00495820">
      <w:r w:rsidRPr="00495820">
        <w:rPr>
          <w:b/>
          <w:bCs/>
        </w:rPr>
        <w:t>20. When is voter approval required for low-rent housing projects?</w:t>
      </w:r>
      <w:r w:rsidRPr="00495820">
        <w:br/>
        <w:t xml:space="preserve">Under the California Constitution, voter approval is generally required before a state public body can develop, construct, or acquire low-rent housing projects in a community. This approval must come from a majority of qualified local voters in the affected jurisdiction. The requirement ensures that </w:t>
      </w:r>
      <w:proofErr w:type="gramStart"/>
      <w:r w:rsidRPr="00495820">
        <w:t>local residents</w:t>
      </w:r>
      <w:proofErr w:type="gramEnd"/>
      <w:r w:rsidRPr="00495820">
        <w:t xml:space="preserve"> have direct input on publicly funded low-income housing developments.</w:t>
      </w:r>
    </w:p>
    <w:p w14:paraId="4A9490C7" w14:textId="77777777" w:rsidR="00495820" w:rsidRPr="00495820" w:rsidRDefault="00495820" w:rsidP="00495820">
      <w:r w:rsidRPr="00495820">
        <w:rPr>
          <w:b/>
          <w:bCs/>
        </w:rPr>
        <w:t>Reference:</w:t>
      </w:r>
      <w:r w:rsidRPr="00495820">
        <w:t> California Constitution, Article XXXIV – Public Housing Project Law: https://leginfo.legislature.ca.gov/faces/codes_displaySection.xhtml?lawCode=CONS&amp;article=XXXIV</w:t>
      </w:r>
    </w:p>
    <w:p w14:paraId="3590682B" w14:textId="77777777" w:rsidR="00495820" w:rsidRPr="00495820" w:rsidRDefault="00495820" w:rsidP="00495820">
      <w:r w:rsidRPr="00495820">
        <w:rPr>
          <w:b/>
          <w:bCs/>
        </w:rPr>
        <w:t>21. How is the state's policy against discrimination in public education defined?</w:t>
      </w:r>
      <w:r w:rsidRPr="00495820">
        <w:br/>
        <w:t xml:space="preserve">California’s constitutional and statutory policy prohibits discrimination in public education </w:t>
      </w:r>
      <w:proofErr w:type="gramStart"/>
      <w:r w:rsidRPr="00495820">
        <w:t>on the basis of</w:t>
      </w:r>
      <w:proofErr w:type="gramEnd"/>
      <w:r w:rsidRPr="00495820">
        <w:t xml:space="preserve"> race, ethnicity, national origin, sex, disability, religion, or other protected characteristics. Public schools and educational institutions receiving state support must provide equal access to educational opportunities and may not deny admission, benefits, or participation based on discriminatory factors. This policy is intended to ensure fairness, inclusivity, and equal educational opportunity for all students.</w:t>
      </w:r>
    </w:p>
    <w:p w14:paraId="7FF9110F" w14:textId="77777777" w:rsidR="00495820" w:rsidRPr="00495820" w:rsidRDefault="00495820" w:rsidP="00495820">
      <w:r w:rsidRPr="00495820">
        <w:rPr>
          <w:b/>
          <w:bCs/>
        </w:rPr>
        <w:lastRenderedPageBreak/>
        <w:t>Reference:</w:t>
      </w:r>
      <w:r w:rsidRPr="00495820">
        <w:t> California Constitution, Article I, Section 31; California Education Code §220 – </w:t>
      </w:r>
      <w:hyperlink r:id="rId8" w:tgtFrame="_new" w:history="1">
        <w:r w:rsidRPr="00495820">
          <w:rPr>
            <w:rStyle w:val="Hyperlink"/>
          </w:rPr>
          <w:t>https://leginfo.legislature.ca.gov/</w:t>
        </w:r>
      </w:hyperlink>
    </w:p>
    <w:p w14:paraId="11106BAE" w14:textId="77777777" w:rsidR="00495820" w:rsidRPr="00495820" w:rsidRDefault="00495820" w:rsidP="00495820">
      <w:r w:rsidRPr="00495820">
        <w:rPr>
          <w:b/>
          <w:bCs/>
        </w:rPr>
        <w:t>22. What remedies or complaint mechanisms exist for unlawful discrimination in schools?</w:t>
      </w:r>
      <w:r w:rsidRPr="00495820">
        <w:br/>
        <w:t>Students, parents, or employees who experience unlawful discrimination in California schools may file complaints through the Uniform Complaint Procedures (UCP) with the local educational agency, school district, or directly with the California Department of Education. Federal complaints may also be filed with the U.S. Department of Education’s Office for Civil Rights. Remedies can include corrective action, policy changes, reimbursement, or other measures to eliminate discriminatory practices and ensure compliance with state and federal law.</w:t>
      </w:r>
    </w:p>
    <w:p w14:paraId="3DFFB606" w14:textId="77777777" w:rsidR="00495820" w:rsidRPr="00495820" w:rsidRDefault="00495820" w:rsidP="00495820">
      <w:r w:rsidRPr="00495820">
        <w:rPr>
          <w:b/>
          <w:bCs/>
        </w:rPr>
        <w:t>Reference:</w:t>
      </w:r>
      <w:r w:rsidRPr="00495820">
        <w:t> California Department of Education, Uniform Complaint Procedures – </w:t>
      </w:r>
      <w:hyperlink r:id="rId9" w:tgtFrame="_new" w:history="1">
        <w:r w:rsidRPr="00495820">
          <w:rPr>
            <w:rStyle w:val="Hyperlink"/>
          </w:rPr>
          <w:t>https://www.cde.ca.gov/re/cp/uc/</w:t>
        </w:r>
      </w:hyperlink>
    </w:p>
    <w:p w14:paraId="3C0C1932" w14:textId="77777777" w:rsidR="00495820" w:rsidRPr="00495820" w:rsidRDefault="00495820" w:rsidP="00495820">
      <w:r w:rsidRPr="00495820">
        <w:rPr>
          <w:b/>
          <w:bCs/>
        </w:rPr>
        <w:t>23. What protections exist for student groups covered by educational equity provisions?</w:t>
      </w:r>
      <w:r w:rsidRPr="00495820">
        <w:br/>
        <w:t>California’s educational equity provisions protect students from discrimination and guarantee equal access to educational programs regardless of race, gender, disability, sexual orientation, religion, nationality, or immigration status. Schools must provide safe learning environments, equitable treatment, and access to academic resources, extracurricular activities, and support services. State and federal laws, including Title IX, the California Education Code, and anti-bullying statutes, help ensure vulnerable student groups are protected and that schools actively address inequities.</w:t>
      </w:r>
    </w:p>
    <w:p w14:paraId="372F6BA8" w14:textId="77777777" w:rsidR="00495820" w:rsidRPr="00495820" w:rsidRDefault="00495820" w:rsidP="00495820">
      <w:r w:rsidRPr="00495820">
        <w:rPr>
          <w:b/>
          <w:bCs/>
        </w:rPr>
        <w:t>Reference:</w:t>
      </w:r>
      <w:r w:rsidRPr="00495820">
        <w:t> California Education Code §200–262.4 (Safe Place to Learn Act) – </w:t>
      </w:r>
      <w:hyperlink r:id="rId10" w:tgtFrame="_new" w:history="1">
        <w:r w:rsidRPr="00495820">
          <w:rPr>
            <w:rStyle w:val="Hyperlink"/>
          </w:rPr>
          <w:t>https://leginfo.legislature.ca.gov/</w:t>
        </w:r>
      </w:hyperlink>
    </w:p>
    <w:p w14:paraId="3141D35D" w14:textId="77777777" w:rsidR="00495820" w:rsidRPr="00495820" w:rsidRDefault="00495820" w:rsidP="00495820">
      <w:r w:rsidRPr="00495820">
        <w:rPr>
          <w:b/>
          <w:bCs/>
        </w:rPr>
        <w:t>24. How are English learner policy and support for immigrant children addressed?</w:t>
      </w:r>
      <w:r w:rsidRPr="00495820">
        <w:br/>
        <w:t>California requires public schools to provide appropriate language assistance and educational support to English learners and immigrant children so they can fully participate in academic programs. This includes English language development instruction, access to core curriculum, family communication in understandable languages, and protections regardless of immigration status. Policies are guided by state education law, federal civil rights requirements, and court decisions ensuring that language barriers do not deny students equal educational opportunities.</w:t>
      </w:r>
    </w:p>
    <w:p w14:paraId="45566DA1" w14:textId="77777777" w:rsidR="00495820" w:rsidRPr="00495820" w:rsidRDefault="00495820" w:rsidP="00495820">
      <w:r w:rsidRPr="00495820">
        <w:rPr>
          <w:b/>
          <w:bCs/>
        </w:rPr>
        <w:t>Reference:</w:t>
      </w:r>
      <w:r w:rsidRPr="00495820">
        <w:t> California Department of Education, English Learner Programs – </w:t>
      </w:r>
      <w:hyperlink r:id="rId11" w:tgtFrame="_new" w:history="1">
        <w:r w:rsidRPr="00495820">
          <w:rPr>
            <w:rStyle w:val="Hyperlink"/>
          </w:rPr>
          <w:t>https://www.cde.ca.gov/sp/el/</w:t>
        </w:r>
      </w:hyperlink>
    </w:p>
    <w:p w14:paraId="179C5AAF" w14:textId="77777777" w:rsidR="00495820" w:rsidRPr="00495820" w:rsidRDefault="00495820" w:rsidP="00495820">
      <w:r w:rsidRPr="00495820">
        <w:rPr>
          <w:b/>
          <w:bCs/>
        </w:rPr>
        <w:lastRenderedPageBreak/>
        <w:t>25. How do the EL Roadmap and statewide implementation planning work?</w:t>
      </w:r>
      <w:r w:rsidRPr="00495820">
        <w:br/>
        <w:t xml:space="preserve">California’s English Learner (EL) Roadmap is a statewide policy framework adopted by the State Board of Education to guide schools in supporting English learners through integrated language development, academic achievement, meaningful family engagement, and equitable access to resources. Local educational agencies are expected to align programs, professional development, and accountability systems with the </w:t>
      </w:r>
      <w:proofErr w:type="gramStart"/>
      <w:r w:rsidRPr="00495820">
        <w:t>Roadmap’s</w:t>
      </w:r>
      <w:proofErr w:type="gramEnd"/>
      <w:r w:rsidRPr="00495820">
        <w:t xml:space="preserve"> principles. Statewide implementation includes strategic planning, monitoring, and support to ensure schools effectively serve multilingual and immigrant students across all grade levels.</w:t>
      </w:r>
    </w:p>
    <w:p w14:paraId="644FACFC" w14:textId="77777777" w:rsidR="00495820" w:rsidRPr="00495820" w:rsidRDefault="00495820" w:rsidP="00495820">
      <w:r w:rsidRPr="00495820">
        <w:rPr>
          <w:b/>
          <w:bCs/>
        </w:rPr>
        <w:t>Reference:</w:t>
      </w:r>
      <w:r w:rsidRPr="00495820">
        <w:t> California Department of Education, English Learner Roadmap – </w:t>
      </w:r>
      <w:hyperlink r:id="rId12" w:tgtFrame="_new" w:history="1">
        <w:r w:rsidRPr="00495820">
          <w:rPr>
            <w:rStyle w:val="Hyperlink"/>
          </w:rPr>
          <w:t>https://www.cde.ca.gov/sp/el/rm/</w:t>
        </w:r>
      </w:hyperlink>
    </w:p>
    <w:p w14:paraId="5FAC2F57" w14:textId="77777777" w:rsidR="00495820" w:rsidRPr="00495820" w:rsidRDefault="00495820" w:rsidP="00495820">
      <w:r w:rsidRPr="00495820">
        <w:rPr>
          <w:b/>
          <w:bCs/>
        </w:rPr>
        <w:t>26. What powers does the State Board of Education have to adopt rules for public schools?</w:t>
      </w:r>
      <w:r w:rsidRPr="00495820">
        <w:br/>
        <w:t>The California State Board of Education has constitutional and statutory authority to adopt rules, regulations, curriculum standards, and policies governing public schools, including instructional materials, graduation requirements, accountability systems, and educational frameworks. These powers ensure statewide consistency, legal compliance, and educational quality while implementing legislative mandates and overseeing California’s public education system.</w:t>
      </w:r>
    </w:p>
    <w:p w14:paraId="6BA0F6BE" w14:textId="77777777" w:rsidR="00495820" w:rsidRPr="00495820" w:rsidRDefault="00495820" w:rsidP="00495820">
      <w:r w:rsidRPr="00495820">
        <w:rPr>
          <w:b/>
          <w:bCs/>
        </w:rPr>
        <w:t>Reference:</w:t>
      </w:r>
      <w:r w:rsidRPr="00495820">
        <w:t> California Constitution, Article IX; California Education Code – </w:t>
      </w:r>
      <w:hyperlink r:id="rId13" w:tgtFrame="_new" w:history="1">
        <w:r w:rsidRPr="00495820">
          <w:rPr>
            <w:rStyle w:val="Hyperlink"/>
          </w:rPr>
          <w:t>https://www.cde.ca.gov/be/</w:t>
        </w:r>
      </w:hyperlink>
      <w:r w:rsidRPr="00495820">
        <w:t> and </w:t>
      </w:r>
      <w:hyperlink r:id="rId14" w:tgtFrame="_new" w:history="1">
        <w:r w:rsidRPr="00495820">
          <w:rPr>
            <w:rStyle w:val="Hyperlink"/>
          </w:rPr>
          <w:t>https://leginfo.legislature.ca.gov/</w:t>
        </w:r>
      </w:hyperlink>
    </w:p>
    <w:p w14:paraId="163D48E8" w14:textId="77777777" w:rsidR="00495820" w:rsidRPr="00495820" w:rsidRDefault="00495820" w:rsidP="00495820">
      <w:r w:rsidRPr="00495820">
        <w:rPr>
          <w:b/>
          <w:bCs/>
        </w:rPr>
        <w:t>27. How do waivers work and who may grant them?</w:t>
      </w:r>
      <w:r w:rsidRPr="00495820">
        <w:br/>
        <w:t>In California’s public education system, waivers allow school districts, county offices of education, or charter schools to request temporary exemptions from certain provisions of the Education Code when compliance may hinder local educational goals. Requests are typically submitted to the California State Board of Education, which reviews and may approve or deny them based on statutory criteria. Some waivers may also involve the California Department of Education depending on the issue. Waivers are intended to provide flexibility while maintaining accountability and protecting essential legal safeguards.</w:t>
      </w:r>
    </w:p>
    <w:p w14:paraId="48229C16" w14:textId="77777777" w:rsidR="00495820" w:rsidRPr="00495820" w:rsidRDefault="00495820" w:rsidP="00495820">
      <w:r w:rsidRPr="00495820">
        <w:rPr>
          <w:b/>
          <w:bCs/>
        </w:rPr>
        <w:t>Reference:</w:t>
      </w:r>
      <w:r w:rsidRPr="00495820">
        <w:t> California Education Code §§33050–33053 – </w:t>
      </w:r>
      <w:hyperlink r:id="rId15" w:tgtFrame="_new" w:history="1">
        <w:r w:rsidRPr="00495820">
          <w:rPr>
            <w:rStyle w:val="Hyperlink"/>
          </w:rPr>
          <w:t>https://leginfo.legislature.ca.gov/</w:t>
        </w:r>
      </w:hyperlink>
    </w:p>
    <w:p w14:paraId="72CACD7C" w14:textId="77777777" w:rsidR="00495820" w:rsidRPr="00495820" w:rsidRDefault="00495820" w:rsidP="00495820">
      <w:r w:rsidRPr="00495820">
        <w:rPr>
          <w:b/>
          <w:bCs/>
        </w:rPr>
        <w:t>28. What limits apply to waiver authority for the State Board or Department?</w:t>
      </w:r>
      <w:r w:rsidRPr="00495820">
        <w:br/>
        <w:t xml:space="preserve">The State Board of Education and California Department of Education cannot waive all legal requirements; certain constitutional mandates, federal laws, civil rights protections, fiscal obligations, and core educational standards are non-waivable. Waiver authority is limited to specific statutory provisions authorized by law, and decisions must ensure that </w:t>
      </w:r>
      <w:r w:rsidRPr="00495820">
        <w:lastRenderedPageBreak/>
        <w:t>educational equity, student safety, and public accountability are preserved. This prevents misuse of waiver powers and maintains essential protections for students and the public.</w:t>
      </w:r>
    </w:p>
    <w:p w14:paraId="6939F18D" w14:textId="77777777" w:rsidR="00495820" w:rsidRPr="00495820" w:rsidRDefault="00495820" w:rsidP="00495820">
      <w:r w:rsidRPr="00495820">
        <w:rPr>
          <w:b/>
          <w:bCs/>
        </w:rPr>
        <w:t>Reference:</w:t>
      </w:r>
      <w:r w:rsidRPr="00495820">
        <w:t> California Education Code §33050 – </w:t>
      </w:r>
      <w:hyperlink r:id="rId16" w:tgtFrame="_new" w:history="1">
        <w:r w:rsidRPr="00495820">
          <w:rPr>
            <w:rStyle w:val="Hyperlink"/>
          </w:rPr>
          <w:t>https://leginfo.legislature.ca.gov/</w:t>
        </w:r>
      </w:hyperlink>
    </w:p>
    <w:p w14:paraId="4484948A" w14:textId="77777777" w:rsidR="00495820" w:rsidRPr="00495820" w:rsidRDefault="00495820" w:rsidP="00495820">
      <w:r w:rsidRPr="00495820">
        <w:rPr>
          <w:b/>
          <w:bCs/>
        </w:rPr>
        <w:t>29. How are education regulations developed and adopted in California?</w:t>
      </w:r>
      <w:r w:rsidRPr="00495820">
        <w:br/>
        <w:t>Education regulations in California are developed through the state’s administrative rulemaking process, primarily by the California Department of Education and the State Board of Education under authority granted by the Legislature. Proposed regulations are drafted to implement or clarify education laws, then published for public notice and comment under the California Administrative Procedure Act. After reviewing stakeholder feedback, revisions may be made before final approval by the State Board and oversight agencies. This process ensures transparency, legal compliance, and public participation in shaping statewide education policy.</w:t>
      </w:r>
    </w:p>
    <w:p w14:paraId="2D43527E" w14:textId="77777777" w:rsidR="00495820" w:rsidRPr="00495820" w:rsidRDefault="00495820" w:rsidP="00495820">
      <w:r w:rsidRPr="00495820">
        <w:rPr>
          <w:b/>
          <w:bCs/>
        </w:rPr>
        <w:t>Reference:</w:t>
      </w:r>
      <w:r w:rsidRPr="00495820">
        <w:t> California Administrative Procedure Act; California State Board of Education – </w:t>
      </w:r>
      <w:hyperlink r:id="rId17" w:tgtFrame="_new" w:history="1">
        <w:r w:rsidRPr="00495820">
          <w:rPr>
            <w:rStyle w:val="Hyperlink"/>
          </w:rPr>
          <w:t>https://www.cde.ca.gov/be/</w:t>
        </w:r>
      </w:hyperlink>
    </w:p>
    <w:p w14:paraId="0AC075E2" w14:textId="77777777" w:rsidR="00495820" w:rsidRPr="00495820" w:rsidRDefault="00495820" w:rsidP="00495820">
      <w:r w:rsidRPr="00495820">
        <w:rPr>
          <w:b/>
          <w:bCs/>
        </w:rPr>
        <w:t>30. What is the Department of Education's general duty to administer or enforce education laws?</w:t>
      </w:r>
      <w:r w:rsidRPr="00495820">
        <w:br/>
        <w:t>The California Department of Education’s general duty is to administer, implement, and enforce state and federal education laws, policies, and programs to ensure that public schools operate in compliance with legal standards. This includes overseeing funding distribution, monitoring school district compliance, supporting curriculum implementation, protecting student rights, and providing guidance to local educational agencies. The Department works under the direction of the State Superintendent of Public Instruction and the State Board of Education to maintain an effective and equitable statewide education system.</w:t>
      </w:r>
    </w:p>
    <w:p w14:paraId="147704DE" w14:textId="77777777" w:rsidR="00495820" w:rsidRPr="00495820" w:rsidRDefault="00495820" w:rsidP="00495820">
      <w:r w:rsidRPr="00495820">
        <w:rPr>
          <w:b/>
          <w:bCs/>
        </w:rPr>
        <w:t>Reference:</w:t>
      </w:r>
      <w:r w:rsidRPr="00495820">
        <w:t> California Education Code; California Department of Education – </w:t>
      </w:r>
      <w:hyperlink r:id="rId18" w:tgtFrame="_new" w:history="1">
        <w:r w:rsidRPr="00495820">
          <w:rPr>
            <w:rStyle w:val="Hyperlink"/>
          </w:rPr>
          <w:t>https://www.cde.ca.gov/</w:t>
        </w:r>
      </w:hyperlink>
    </w:p>
    <w:p w14:paraId="0384DAE9" w14:textId="77777777" w:rsidR="00495820" w:rsidRPr="00495820" w:rsidRDefault="00495820" w:rsidP="00495820">
      <w:r w:rsidRPr="00495820">
        <w:rPr>
          <w:b/>
          <w:bCs/>
        </w:rPr>
        <w:t>31. Are Department of Education program guidelines mandatory or advisory?</w:t>
      </w:r>
      <w:r w:rsidRPr="00495820">
        <w:br/>
        <w:t>California Department of Education program guidelines are generally advisory unless they are specifically tied to statutory or regulatory requirements. Guidelines are typically issued to help school districts, educators, and administrators interpret and implement education laws consistently, but they do not carry the force of law unless formally adopted as regulations or explicitly required by legislation. This means local educational agencies often have flexibility in how they meet legal obligations while using guidelines as recommended best practices.</w:t>
      </w:r>
    </w:p>
    <w:p w14:paraId="1ACEC8B4" w14:textId="77777777" w:rsidR="00495820" w:rsidRPr="00495820" w:rsidRDefault="00495820" w:rsidP="00495820">
      <w:r w:rsidRPr="00495820">
        <w:rPr>
          <w:b/>
          <w:bCs/>
        </w:rPr>
        <w:lastRenderedPageBreak/>
        <w:t>Reference:</w:t>
      </w:r>
      <w:r w:rsidRPr="00495820">
        <w:t> California Education Code; California Department of Education guidance policies – </w:t>
      </w:r>
      <w:hyperlink r:id="rId19" w:tgtFrame="_new" w:history="1">
        <w:r w:rsidRPr="00495820">
          <w:rPr>
            <w:rStyle w:val="Hyperlink"/>
          </w:rPr>
          <w:t>https://www.cde.ca.gov/</w:t>
        </w:r>
      </w:hyperlink>
    </w:p>
    <w:p w14:paraId="09F673BE" w14:textId="77777777" w:rsidR="00495820" w:rsidRPr="00495820" w:rsidRDefault="00495820" w:rsidP="00495820">
      <w:r w:rsidRPr="00495820">
        <w:rPr>
          <w:b/>
          <w:bCs/>
        </w:rPr>
        <w:t>32. What duties do county superintendents have regarding supervision of schools?</w:t>
      </w:r>
      <w:r w:rsidRPr="00495820">
        <w:br/>
        <w:t>County superintendents of schools in California are responsible for overseeing and supporting school districts within their counties, including monitoring fiscal accountability, reviewing budgets, providing educational services, and ensuring compliance with state education laws. They may offer instructional support, coordinate regional programs, and intervene in districts facing financial or administrative challenges. Their role helps maintain educational quality, legal compliance, and operational stability across local school systems.</w:t>
      </w:r>
    </w:p>
    <w:p w14:paraId="4EC2E50A" w14:textId="77777777" w:rsidR="00495820" w:rsidRPr="00495820" w:rsidRDefault="00495820" w:rsidP="00495820">
      <w:r w:rsidRPr="00495820">
        <w:rPr>
          <w:b/>
          <w:bCs/>
        </w:rPr>
        <w:t>Reference:</w:t>
      </w:r>
      <w:r w:rsidRPr="00495820">
        <w:t> California Education Code §§1240–1294 – </w:t>
      </w:r>
      <w:hyperlink r:id="rId20" w:tgtFrame="_new" w:history="1">
        <w:r w:rsidRPr="00495820">
          <w:rPr>
            <w:rStyle w:val="Hyperlink"/>
          </w:rPr>
          <w:t>https://leginfo.legislature.ca.gov/</w:t>
        </w:r>
      </w:hyperlink>
    </w:p>
    <w:p w14:paraId="29769EAD" w14:textId="77777777" w:rsidR="00495820" w:rsidRPr="00495820" w:rsidRDefault="00495820" w:rsidP="00495820">
      <w:r w:rsidRPr="00495820">
        <w:rPr>
          <w:b/>
          <w:bCs/>
        </w:rPr>
        <w:t>33. What fiscal oversight responsibilities do county superintendents have?</w:t>
      </w:r>
      <w:r w:rsidRPr="00495820">
        <w:br/>
        <w:t>County superintendents in California are responsible for significant fiscal oversight of school districts, including reviewing and approving district budgets, monitoring financial solvency, and ensuring compliance with state financial reporting requirements. They assess whether districts can meet financial obligations, provide technical assistance when fiscal problems arise, and may intervene when districts face potential insolvency. This oversight is intended to protect educational continuity, safeguard public funds, and maintain sound financial management within local educational agencies.</w:t>
      </w:r>
    </w:p>
    <w:p w14:paraId="46B21CA7" w14:textId="77777777" w:rsidR="00495820" w:rsidRPr="00495820" w:rsidRDefault="00495820" w:rsidP="00495820">
      <w:r w:rsidRPr="00495820">
        <w:rPr>
          <w:b/>
          <w:bCs/>
        </w:rPr>
        <w:t>Reference:</w:t>
      </w:r>
      <w:r w:rsidRPr="00495820">
        <w:t> California Education Code §§42127–42131 – </w:t>
      </w:r>
      <w:hyperlink r:id="rId21" w:tgtFrame="_new" w:history="1">
        <w:r w:rsidRPr="00495820">
          <w:rPr>
            <w:rStyle w:val="Hyperlink"/>
          </w:rPr>
          <w:t>https://leginfo.legislature.ca.gov/</w:t>
        </w:r>
      </w:hyperlink>
    </w:p>
    <w:p w14:paraId="3A020949" w14:textId="77777777" w:rsidR="00495820" w:rsidRPr="00495820" w:rsidRDefault="00495820" w:rsidP="00495820">
      <w:r w:rsidRPr="00495820">
        <w:rPr>
          <w:b/>
          <w:bCs/>
        </w:rPr>
        <w:t>34. How do school district organization or formation procedures work?</w:t>
      </w:r>
      <w:r w:rsidRPr="00495820">
        <w:br/>
        <w:t xml:space="preserve">School district organization or formation in California involves legal procedures for creating, reorganizing, consolidating, dividing, or transferring territory between districts. Proposals are typically reviewed by county committees on school district organization, which assess educational, financial, and community impacts. Public hearings, state review, and in many cases voter approval </w:t>
      </w:r>
      <w:proofErr w:type="gramStart"/>
      <w:r w:rsidRPr="00495820">
        <w:t>are</w:t>
      </w:r>
      <w:proofErr w:type="gramEnd"/>
      <w:r w:rsidRPr="00495820">
        <w:t xml:space="preserve"> required before changes are finalized. These procedures ensure that district boundaries and governance structures are organized efficiently to serve local educational needs.</w:t>
      </w:r>
    </w:p>
    <w:p w14:paraId="7B2B0E75" w14:textId="77777777" w:rsidR="00495820" w:rsidRPr="00495820" w:rsidRDefault="00495820" w:rsidP="00495820">
      <w:r w:rsidRPr="00495820">
        <w:rPr>
          <w:b/>
          <w:bCs/>
        </w:rPr>
        <w:t>Reference:</w:t>
      </w:r>
      <w:r w:rsidRPr="00495820">
        <w:t> California Education Code §§35500–35780 – </w:t>
      </w:r>
      <w:hyperlink r:id="rId22" w:tgtFrame="_new" w:history="1">
        <w:r w:rsidRPr="00495820">
          <w:rPr>
            <w:rStyle w:val="Hyperlink"/>
          </w:rPr>
          <w:t>https://leginfo.legislature.ca.gov/</w:t>
        </w:r>
      </w:hyperlink>
    </w:p>
    <w:p w14:paraId="55CDCBD3" w14:textId="77777777" w:rsidR="00495820" w:rsidRPr="00495820" w:rsidRDefault="00495820" w:rsidP="00495820">
      <w:r w:rsidRPr="00495820">
        <w:rPr>
          <w:b/>
          <w:bCs/>
        </w:rPr>
        <w:t>35. What provisions deal with interdistrict or interagency cooperation in education?</w:t>
      </w:r>
      <w:r w:rsidRPr="00495820">
        <w:br/>
        <w:t xml:space="preserve">California law encourages interdistrict and interagency cooperation to improve educational services, efficiency, and access for students. School districts, county offices of education, community colleges, and other public agencies may enter agreements to share resources, coordinate programs, provide specialized services, or jointly administer educational initiatives. These cooperative arrangements can include special education services, </w:t>
      </w:r>
      <w:r w:rsidRPr="00495820">
        <w:lastRenderedPageBreak/>
        <w:t>transportation, career technical education, and student transfers, helping agencies address regional needs more effectively while maximizing public resources.</w:t>
      </w:r>
    </w:p>
    <w:p w14:paraId="53115011" w14:textId="77777777" w:rsidR="00495820" w:rsidRPr="00495820" w:rsidRDefault="00495820" w:rsidP="00495820">
      <w:r w:rsidRPr="00495820">
        <w:rPr>
          <w:b/>
          <w:bCs/>
        </w:rPr>
        <w:t>Reference:</w:t>
      </w:r>
      <w:r w:rsidRPr="00495820">
        <w:t> California Education Code; Joint Powers and cooperative agreement provisions – </w:t>
      </w:r>
      <w:hyperlink r:id="rId23" w:tgtFrame="_new" w:history="1">
        <w:r w:rsidRPr="00495820">
          <w:rPr>
            <w:rStyle w:val="Hyperlink"/>
          </w:rPr>
          <w:t>https://leginfo.legislature.ca.gov/</w:t>
        </w:r>
      </w:hyperlink>
    </w:p>
    <w:p w14:paraId="5A398406" w14:textId="77777777" w:rsidR="00495820" w:rsidRPr="00495820" w:rsidRDefault="00495820" w:rsidP="00495820">
      <w:r w:rsidRPr="00495820">
        <w:rPr>
          <w:b/>
          <w:bCs/>
        </w:rPr>
        <w:t>36. How does California participate in interstate education compacts or commissions?</w:t>
      </w:r>
      <w:r w:rsidRPr="00495820">
        <w:br/>
        <w:t xml:space="preserve">California may participate in interstate education compacts, agreements, or commissions when authorized by state law, allowing collaboration with other states on shared educational issues such as higher education access, data sharing, professional standards, or policy development. Participation typically requires legislative approval and helps California coordinate on regional or national educational initiatives while maintaining compliance with state priorities and constitutional requirements. These arrangements promote policy consistency and </w:t>
      </w:r>
      <w:proofErr w:type="gramStart"/>
      <w:r w:rsidRPr="00495820">
        <w:t>expanded</w:t>
      </w:r>
      <w:proofErr w:type="gramEnd"/>
      <w:r w:rsidRPr="00495820">
        <w:t xml:space="preserve"> educational opportunities across state lines.</w:t>
      </w:r>
    </w:p>
    <w:p w14:paraId="6B8AD0F0" w14:textId="77777777" w:rsidR="00495820" w:rsidRPr="00495820" w:rsidRDefault="00495820" w:rsidP="00495820">
      <w:r w:rsidRPr="00495820">
        <w:rPr>
          <w:b/>
          <w:bCs/>
        </w:rPr>
        <w:t>Reference:</w:t>
      </w:r>
      <w:r w:rsidRPr="00495820">
        <w:t> California Education Code and interstate compact statutes – </w:t>
      </w:r>
      <w:hyperlink r:id="rId24" w:tgtFrame="_new" w:history="1">
        <w:r w:rsidRPr="00495820">
          <w:rPr>
            <w:rStyle w:val="Hyperlink"/>
          </w:rPr>
          <w:t>https://leginfo.legislature.ca.gov/</w:t>
        </w:r>
      </w:hyperlink>
    </w:p>
    <w:p w14:paraId="6D835CE4" w14:textId="77777777" w:rsidR="00495820" w:rsidRPr="00495820" w:rsidRDefault="00495820" w:rsidP="00495820">
      <w:r w:rsidRPr="00495820">
        <w:rPr>
          <w:b/>
          <w:bCs/>
        </w:rPr>
        <w:t>37. What responsibilities exist for state educational research?</w:t>
      </w:r>
      <w:r w:rsidRPr="00495820">
        <w:br/>
        <w:t>California assigns state educational agencies, including the Department of Education and related advisory bodies, responsibilities for conducting, supporting, and disseminating educational research to improve instructional quality, policy effectiveness, and student outcomes. This includes collecting educational data, evaluating programs, studying student achievement trends, and providing research-based recommendations to lawmakers, educators, and school systems. These efforts help guide evidence-based reforms and statewide educational planning.</w:t>
      </w:r>
    </w:p>
    <w:p w14:paraId="638F7DA1" w14:textId="77777777" w:rsidR="00495820" w:rsidRPr="00495820" w:rsidRDefault="00495820" w:rsidP="00495820">
      <w:r w:rsidRPr="00495820">
        <w:rPr>
          <w:b/>
          <w:bCs/>
        </w:rPr>
        <w:t>Reference:</w:t>
      </w:r>
      <w:r w:rsidRPr="00495820">
        <w:t> California Education Code; California Department of Education research functions – </w:t>
      </w:r>
      <w:hyperlink r:id="rId25" w:tgtFrame="_new" w:history="1">
        <w:r w:rsidRPr="00495820">
          <w:rPr>
            <w:rStyle w:val="Hyperlink"/>
          </w:rPr>
          <w:t>https://www.cde.ca.gov/</w:t>
        </w:r>
      </w:hyperlink>
    </w:p>
    <w:p w14:paraId="12D36B6C" w14:textId="77777777" w:rsidR="00495820" w:rsidRPr="00495820" w:rsidRDefault="00495820" w:rsidP="00495820">
      <w:r w:rsidRPr="00495820">
        <w:rPr>
          <w:b/>
          <w:bCs/>
        </w:rPr>
        <w:t>38. How are instructional materials adoption and standards alignment handled?</w:t>
      </w:r>
      <w:r w:rsidRPr="00495820">
        <w:br/>
        <w:t>In California, the State Board of Education is responsible for adopting instructional materials for kindergarten through grade eight and ensuring those materials align with state academic content standards and curriculum frameworks. Materials are reviewed for academic quality, legal compliance, and consistency with educational goals before approval. Local school districts generally select materials for higher grades, but all instructional resources must support California’s adopted standards to ensure statewide educational consistency and effectiveness.</w:t>
      </w:r>
    </w:p>
    <w:p w14:paraId="53CCD138" w14:textId="77777777" w:rsidR="00495820" w:rsidRPr="00495820" w:rsidRDefault="00495820" w:rsidP="00495820">
      <w:r w:rsidRPr="00495820">
        <w:rPr>
          <w:b/>
          <w:bCs/>
        </w:rPr>
        <w:t>Reference:</w:t>
      </w:r>
      <w:r w:rsidRPr="00495820">
        <w:t> California Department of Education, Instructional Materials Adoption – </w:t>
      </w:r>
      <w:hyperlink r:id="rId26" w:tgtFrame="_new" w:history="1">
        <w:r w:rsidRPr="00495820">
          <w:rPr>
            <w:rStyle w:val="Hyperlink"/>
          </w:rPr>
          <w:t>https://www.cde.ca.gov/ci/cr/cf/</w:t>
        </w:r>
      </w:hyperlink>
    </w:p>
    <w:p w14:paraId="000DEB4F" w14:textId="77777777" w:rsidR="00495820" w:rsidRPr="00495820" w:rsidRDefault="00495820" w:rsidP="00495820">
      <w:r w:rsidRPr="00495820">
        <w:rPr>
          <w:b/>
          <w:bCs/>
        </w:rPr>
        <w:lastRenderedPageBreak/>
        <w:t>39. What responsibilities arise when state oversight of a local educational agency is triggered?</w:t>
      </w:r>
      <w:r w:rsidRPr="00495820">
        <w:br/>
        <w:t>When state oversight of a local educational agency (LEA) in California is triggered—such as for academic failure, legal noncompliance, or fiscal instability—the agency may be required to implement corrective action plans, submit to intensified monitoring, cooperate with county or state education authorities, and demonstrate progress toward compliance. Oversight can involve technical assistance, audits, governance intervention, or appointment of external administrators depending on the severity of the issue. The goal is to restore effective operations, protect students, and ensure lawful educational services.</w:t>
      </w:r>
    </w:p>
    <w:p w14:paraId="3108D505" w14:textId="77777777" w:rsidR="00495820" w:rsidRPr="00495820" w:rsidRDefault="00495820" w:rsidP="00495820">
      <w:r w:rsidRPr="00495820">
        <w:rPr>
          <w:b/>
          <w:bCs/>
        </w:rPr>
        <w:t>Reference:</w:t>
      </w:r>
      <w:r w:rsidRPr="00495820">
        <w:t> California Education Code; California Department of Education oversight provisions – </w:t>
      </w:r>
      <w:hyperlink r:id="rId27" w:tgtFrame="_new" w:history="1">
        <w:r w:rsidRPr="00495820">
          <w:rPr>
            <w:rStyle w:val="Hyperlink"/>
          </w:rPr>
          <w:t>https://leginfo.legislature.ca.gov/</w:t>
        </w:r>
      </w:hyperlink>
    </w:p>
    <w:p w14:paraId="3AE0F7CF" w14:textId="77777777" w:rsidR="00495820" w:rsidRPr="00495820" w:rsidRDefault="00495820" w:rsidP="00495820">
      <w:r w:rsidRPr="00495820">
        <w:rPr>
          <w:b/>
          <w:bCs/>
        </w:rPr>
        <w:t>40. How is accountability handled for fiscal distress or negative financial certifications?</w:t>
      </w:r>
      <w:r w:rsidRPr="00495820">
        <w:br/>
        <w:t>If a California school district receives a qualified or negative financial certification indicating possible inability to meet financial obligations, county superintendents and the state may impose increased fiscal oversight, budget revisions, recovery plans, and monitoring requirements. In severe cases, the state may authorize emergency loans, appoint fiscal advisors, or assume greater administrative control. These accountability measures are designed to prevent insolvency, maintain school operations, and ensure responsible stewardship of public education funds.</w:t>
      </w:r>
    </w:p>
    <w:p w14:paraId="638FA341" w14:textId="77777777" w:rsidR="00495820" w:rsidRPr="00495820" w:rsidRDefault="00495820" w:rsidP="00495820">
      <w:r w:rsidRPr="00495820">
        <w:rPr>
          <w:b/>
          <w:bCs/>
        </w:rPr>
        <w:t>Reference:</w:t>
      </w:r>
      <w:r w:rsidRPr="00495820">
        <w:t> California Education Code §§42127–42141 – </w:t>
      </w:r>
      <w:hyperlink r:id="rId28" w:tgtFrame="_new" w:history="1">
        <w:r w:rsidRPr="00495820">
          <w:rPr>
            <w:rStyle w:val="Hyperlink"/>
          </w:rPr>
          <w:t>https://leginfo.legislature.ca.gov/</w:t>
        </w:r>
      </w:hyperlink>
    </w:p>
    <w:p w14:paraId="48E599B9" w14:textId="77777777" w:rsidR="00495820" w:rsidRPr="00495820" w:rsidRDefault="00495820" w:rsidP="00495820">
      <w:r w:rsidRPr="00495820">
        <w:rPr>
          <w:b/>
          <w:bCs/>
        </w:rPr>
        <w:t>41. How does the requirement for free schools connect to administrative and funding provisions?</w:t>
      </w:r>
      <w:r w:rsidRPr="00495820">
        <w:br/>
        <w:t>California’s constitutional requirement for a system of free public schools establishes the state’s obligation to provide accessible education to all children, while administrative and funding provisions ensure this mandate is operationally supported. State and local governments administer schools through the Department of Education, State Board, county offices, and school districts, while financial mechanisms such as the State School Fund, local revenues, and legislative appropriations provide the necessary resources. Together, these governance and funding structures ensure that free public education is not merely guaranteed in principle but effectively maintained through statewide oversight, equitable resource allocation, and legal accountability.</w:t>
      </w:r>
    </w:p>
    <w:p w14:paraId="2B47298C" w14:textId="77777777" w:rsidR="00495820" w:rsidRPr="00495820" w:rsidRDefault="00495820" w:rsidP="00495820">
      <w:r w:rsidRPr="00495820">
        <w:rPr>
          <w:b/>
          <w:bCs/>
        </w:rPr>
        <w:t>Reference:</w:t>
      </w:r>
      <w:r w:rsidRPr="00495820">
        <w:t> California Constitution, Article IX; California Education Code – </w:t>
      </w:r>
      <w:hyperlink r:id="rId29" w:tgtFrame="_new" w:history="1">
        <w:r w:rsidRPr="00495820">
          <w:rPr>
            <w:rStyle w:val="Hyperlink"/>
          </w:rPr>
          <w:t>https://leginfo.legislature.ca.gov/</w:t>
        </w:r>
      </w:hyperlink>
    </w:p>
    <w:p w14:paraId="6411A371" w14:textId="77777777" w:rsidR="00495820" w:rsidRPr="00495820" w:rsidRDefault="00495820" w:rsidP="00495820">
      <w:r w:rsidRPr="00495820">
        <w:rPr>
          <w:b/>
          <w:bCs/>
        </w:rPr>
        <w:lastRenderedPageBreak/>
        <w:t>42. How do equal protection principles relate to anti-discrimination provisions in education?</w:t>
      </w:r>
      <w:r w:rsidRPr="00495820">
        <w:br/>
        <w:t>Equal protection principles under the U.S. and California Constitutions require that all students receive equal treatment under the law, forming the legal foundation for anti-discrimination provisions in education. These principles prohibit public schools from denying access, opportunities, or benefits based on protected characteristics such as race, sex, disability, religion, or national origin. California’s education-specific anti-discrimination laws build upon constitutional equal protection by creating enforcement mechanisms, protections, and remedies to ensure educational equity and prevent discriminatory practices in schools.</w:t>
      </w:r>
    </w:p>
    <w:p w14:paraId="13B8201D" w14:textId="77777777" w:rsidR="00495820" w:rsidRPr="00495820" w:rsidRDefault="00495820" w:rsidP="00495820">
      <w:r w:rsidRPr="00495820">
        <w:rPr>
          <w:b/>
          <w:bCs/>
        </w:rPr>
        <w:t>Reference:</w:t>
      </w:r>
      <w:r w:rsidRPr="00495820">
        <w:t> U.S. Constitution Fourteenth Amendment; California Education Code §220; California Constitution Article I – </w:t>
      </w:r>
      <w:hyperlink r:id="rId30" w:tgtFrame="_new" w:history="1">
        <w:r w:rsidRPr="00495820">
          <w:rPr>
            <w:rStyle w:val="Hyperlink"/>
          </w:rPr>
          <w:t>https://leginfo.legislature.ca.gov/</w:t>
        </w:r>
      </w:hyperlink>
    </w:p>
    <w:p w14:paraId="178604F4" w14:textId="77777777" w:rsidR="00495820" w:rsidRPr="00495820" w:rsidRDefault="00495820" w:rsidP="00495820">
      <w:r w:rsidRPr="00495820">
        <w:rPr>
          <w:b/>
          <w:bCs/>
        </w:rPr>
        <w:t>43. How does the creation of the State Board of Education compare with its rulemaking powers?</w:t>
      </w:r>
      <w:r w:rsidRPr="00495820">
        <w:br/>
        <w:t>The California Constitution and state statutes establish the State Board of Education as the governing policy body responsible for overseeing public education statewide. Its creation provides the legal and structural foundation for statewide educational governance, while its rulemaking powers allow it to adopt regulations, curriculum standards, instructional materials, accountability systems, and policy frameworks necessary to implement education laws. In essence, the Board’s constitutional creation defines its authority and existence, while its statutory and regulatory powers enable it to actively shape and administer California’s public education system.</w:t>
      </w:r>
    </w:p>
    <w:p w14:paraId="0B78B68C" w14:textId="77777777" w:rsidR="00495820" w:rsidRPr="00495820" w:rsidRDefault="00495820" w:rsidP="00495820">
      <w:r w:rsidRPr="00495820">
        <w:rPr>
          <w:b/>
          <w:bCs/>
        </w:rPr>
        <w:t>Reference:</w:t>
      </w:r>
      <w:r w:rsidRPr="00495820">
        <w:t> California Constitution, Article IX; California Education Code – </w:t>
      </w:r>
      <w:hyperlink r:id="rId31" w:tgtFrame="_new" w:history="1">
        <w:r w:rsidRPr="00495820">
          <w:rPr>
            <w:rStyle w:val="Hyperlink"/>
          </w:rPr>
          <w:t>https://www.cde.ca.gov/be/</w:t>
        </w:r>
      </w:hyperlink>
    </w:p>
    <w:p w14:paraId="30FFCB4A" w14:textId="77777777" w:rsidR="00495820" w:rsidRPr="00495820" w:rsidRDefault="00495820" w:rsidP="00495820">
      <w:r w:rsidRPr="00495820">
        <w:rPr>
          <w:b/>
          <w:bCs/>
        </w:rPr>
        <w:t>44. How does the framework for the Superintendent of Public Instruction compare with the office's operational duties?</w:t>
      </w:r>
      <w:r w:rsidRPr="00495820">
        <w:br/>
        <w:t>The Superintendent of Public Instruction (SPI) is constitutionally established as California’s chief public education official, elected statewide to oversee the administration of public schools. While the constitutional framework defines the office’s authority and leadership role, its operational duties include implementing state and federal education laws, managing the California Department of Education, overseeing funding distribution, monitoring compliance, supporting school districts, and advising policymakers. Thus, the constitutional framework provides the position’s legal basis, while statutory responsibilities govern its day-to-day administration of California’s education system.</w:t>
      </w:r>
    </w:p>
    <w:p w14:paraId="602692B9" w14:textId="77777777" w:rsidR="00495820" w:rsidRPr="00495820" w:rsidRDefault="00495820" w:rsidP="00495820">
      <w:r w:rsidRPr="00495820">
        <w:rPr>
          <w:b/>
          <w:bCs/>
        </w:rPr>
        <w:lastRenderedPageBreak/>
        <w:t>Reference:</w:t>
      </w:r>
      <w:r w:rsidRPr="00495820">
        <w:t> California Constitution, Article IX; California Department of Education – </w:t>
      </w:r>
      <w:hyperlink r:id="rId32" w:tgtFrame="_new" w:history="1">
        <w:r w:rsidRPr="00495820">
          <w:rPr>
            <w:rStyle w:val="Hyperlink"/>
          </w:rPr>
          <w:t>https://www.cde.ca.gov/sp/</w:t>
        </w:r>
      </w:hyperlink>
    </w:p>
    <w:p w14:paraId="0AC3AFA5" w14:textId="77777777" w:rsidR="00495820" w:rsidRPr="00495820" w:rsidRDefault="00495820" w:rsidP="00495820">
      <w:r w:rsidRPr="00495820">
        <w:rPr>
          <w:b/>
          <w:bCs/>
        </w:rPr>
        <w:t>45. How do protections for local government structure interact with county education oversight duties?</w:t>
      </w:r>
      <w:r w:rsidRPr="00495820">
        <w:br/>
        <w:t>California’s constitutional protections for local government preserve the autonomy of counties and school districts in managing local affairs, but county education oversight duties create an accountability framework to ensure that local educational agencies comply with state laws, fiscal standards, and educational requirements. County superintendents do not replace local governance but supervise budgets, financial stability, and legal compliance, balancing local control with statewide educational standards. This interaction allows local entities to govern schools while ensuring public funds and student services are responsibly managed under state oversight.</w:t>
      </w:r>
    </w:p>
    <w:p w14:paraId="103616C0" w14:textId="77777777" w:rsidR="00495820" w:rsidRPr="00495820" w:rsidRDefault="00495820" w:rsidP="00495820">
      <w:r w:rsidRPr="00495820">
        <w:rPr>
          <w:b/>
          <w:bCs/>
        </w:rPr>
        <w:t>Reference:</w:t>
      </w:r>
      <w:r w:rsidRPr="00495820">
        <w:t> California Constitution, Article XI; California Education Code §§1240–1294 – </w:t>
      </w:r>
      <w:hyperlink r:id="rId33" w:tgtFrame="_new" w:history="1">
        <w:r w:rsidRPr="00495820">
          <w:rPr>
            <w:rStyle w:val="Hyperlink"/>
          </w:rPr>
          <w:t>https://leginfo.legislature.ca.gov/</w:t>
        </w:r>
      </w:hyperlink>
    </w:p>
    <w:p w14:paraId="06137402" w14:textId="77777777" w:rsidR="00495820" w:rsidRPr="00495820" w:rsidRDefault="00495820" w:rsidP="00495820">
      <w:r w:rsidRPr="00495820">
        <w:rPr>
          <w:b/>
          <w:bCs/>
        </w:rPr>
        <w:t>46. How might tax limits affect the practical operation of education governance and funding rules?</w:t>
      </w:r>
      <w:r w:rsidRPr="00495820">
        <w:br/>
        <w:t>Tax limits such as Proposition 13 significantly influence California’s education governance by restricting local property tax revenue, thereby increasing reliance on state funding formulas and centralized fiscal distribution systems. These limitations reduce local districts’ independent revenue-generating capacity, making school funding more dependent on legislative appropriations, state budgets, and voter-approved measures. As a result, tax restrictions shape how education agencies plan budgets, allocate resources, and implement governance policies while balancing constitutional obligations to maintain free public education.</w:t>
      </w:r>
    </w:p>
    <w:p w14:paraId="3356234E" w14:textId="77777777" w:rsidR="00495820" w:rsidRPr="00495820" w:rsidRDefault="00495820" w:rsidP="00495820">
      <w:r w:rsidRPr="00495820">
        <w:rPr>
          <w:b/>
          <w:bCs/>
        </w:rPr>
        <w:t>Reference:</w:t>
      </w:r>
      <w:r w:rsidRPr="00495820">
        <w:t> California Constitution, Article XIII A; California Education Code funding provisions – </w:t>
      </w:r>
      <w:hyperlink r:id="rId34" w:tgtFrame="_new" w:history="1">
        <w:r w:rsidRPr="00495820">
          <w:rPr>
            <w:rStyle w:val="Hyperlink"/>
          </w:rPr>
          <w:t>https://leginfo.legislature.ca.gov/</w:t>
        </w:r>
      </w:hyperlink>
    </w:p>
    <w:p w14:paraId="7E3B9E60" w14:textId="77777777" w:rsidR="00495820" w:rsidRPr="00495820" w:rsidRDefault="00495820" w:rsidP="00495820">
      <w:r w:rsidRPr="00495820">
        <w:rPr>
          <w:b/>
          <w:bCs/>
        </w:rPr>
        <w:t>47. How do voter-control provisions over taxes and assessments relate to state education finance administration?</w:t>
      </w:r>
      <w:r w:rsidRPr="00495820">
        <w:br/>
        <w:t>California’s voter-control provisions, such as requirements for voter approval of local taxes, bonds, and property assessments, directly affect education finance by limiting how school districts and local governments can raise revenue for educational purposes. Because many education-related taxes and bond measures require majority or supermajority voter approval, local educational funding often depends on public support. This framework increases taxpayer oversight but can also constrain local fiscal flexibility, making state-</w:t>
      </w:r>
      <w:r w:rsidRPr="00495820">
        <w:lastRenderedPageBreak/>
        <w:t>level funding formulas, constitutional guarantees, and centralized finance administration more critical in ensuring consistent support for public education.</w:t>
      </w:r>
    </w:p>
    <w:p w14:paraId="5037D36B" w14:textId="77777777" w:rsidR="00495820" w:rsidRPr="00495820" w:rsidRDefault="00495820" w:rsidP="00495820">
      <w:r w:rsidRPr="00495820">
        <w:rPr>
          <w:b/>
          <w:bCs/>
        </w:rPr>
        <w:t>Reference:</w:t>
      </w:r>
      <w:r w:rsidRPr="00495820">
        <w:t> California Constitution, Articles XIII A, XIII C, XIII D; California Education Code – </w:t>
      </w:r>
      <w:hyperlink r:id="rId35" w:tgtFrame="_new" w:history="1">
        <w:r w:rsidRPr="00495820">
          <w:rPr>
            <w:rStyle w:val="Hyperlink"/>
          </w:rPr>
          <w:t>https://leginfo.legislature.ca.gov/</w:t>
        </w:r>
      </w:hyperlink>
    </w:p>
    <w:p w14:paraId="08B6842B" w14:textId="77777777" w:rsidR="00495820" w:rsidRPr="00495820" w:rsidRDefault="00495820" w:rsidP="00495820">
      <w:r w:rsidRPr="00495820">
        <w:rPr>
          <w:b/>
          <w:bCs/>
        </w:rPr>
        <w:t>48. How does the public finance framework relate to rules on educational expenditures or administration?</w:t>
      </w:r>
      <w:r w:rsidRPr="00495820">
        <w:br/>
        <w:t>California’s public finance framework establishes constitutional and statutory controls over how public funds are raised, allocated, and spent, which directly shapes educational expenditures and administration. Education agencies must comply with rules governing budgeting, appropriations, audits, fiscal accountability, and lawful use of public funds. Restrictions on gifts of public funds, tax limitations, and appropriations controls ensure that educational resources are spent only for legitimate public purposes, while administrative oversight by state and county authorities promotes financial stability and legal compliance across the education system.</w:t>
      </w:r>
    </w:p>
    <w:p w14:paraId="5CF9265C" w14:textId="77777777" w:rsidR="00495820" w:rsidRPr="00495820" w:rsidRDefault="00495820" w:rsidP="00495820">
      <w:r w:rsidRPr="00495820">
        <w:rPr>
          <w:b/>
          <w:bCs/>
        </w:rPr>
        <w:t>Reference:</w:t>
      </w:r>
      <w:r w:rsidRPr="00495820">
        <w:t> California Constitution Articles XVI, XIII A, XIII B; California Education Code fiscal provisions – </w:t>
      </w:r>
      <w:hyperlink r:id="rId36" w:tgtFrame="_new" w:history="1">
        <w:r w:rsidRPr="00495820">
          <w:rPr>
            <w:rStyle w:val="Hyperlink"/>
          </w:rPr>
          <w:t>https://leginfo.legislature.ca.gov/</w:t>
        </w:r>
      </w:hyperlink>
    </w:p>
    <w:p w14:paraId="20406356" w14:textId="77777777" w:rsidR="00495820" w:rsidRPr="00495820" w:rsidRDefault="00495820" w:rsidP="00495820">
      <w:r w:rsidRPr="00495820">
        <w:rPr>
          <w:b/>
          <w:bCs/>
        </w:rPr>
        <w:t>49. How do education goals and equity provisions work together to support student rights?</w:t>
      </w:r>
      <w:r w:rsidRPr="00495820">
        <w:br/>
        <w:t>California’s education goals, centered on providing a free and effective public school system, work alongside equity and anti-discrimination provisions to ensure that all students have meaningful access to quality education regardless of background or protected status. Constitutional guarantees for public education establish the state’s duty to provide schooling, while equal protection and educational equity laws prohibit discrimination, require fair treatment, and support vulnerable student populations such as English learners, students with disabilities, and historically marginalized groups. Together, these frameworks protect student rights by combining access, inclusion, fairness, and accountability within California’s educational system.</w:t>
      </w:r>
    </w:p>
    <w:p w14:paraId="612F9403" w14:textId="77777777" w:rsidR="00495820" w:rsidRPr="00495820" w:rsidRDefault="00495820" w:rsidP="00495820">
      <w:r w:rsidRPr="00495820">
        <w:rPr>
          <w:b/>
          <w:bCs/>
        </w:rPr>
        <w:t>Reference:</w:t>
      </w:r>
      <w:r w:rsidRPr="00495820">
        <w:t> California Constitution Articles I &amp; IX; California Education Code §§200–220 – </w:t>
      </w:r>
      <w:hyperlink r:id="rId37" w:tgtFrame="_new" w:history="1">
        <w:r w:rsidRPr="00495820">
          <w:rPr>
            <w:rStyle w:val="Hyperlink"/>
          </w:rPr>
          <w:t>https://leginfo.legislature.ca.gov/</w:t>
        </w:r>
      </w:hyperlink>
    </w:p>
    <w:p w14:paraId="794E12A6" w14:textId="77777777" w:rsidR="00495820" w:rsidRPr="00495820" w:rsidRDefault="00495820" w:rsidP="00495820">
      <w:r w:rsidRPr="00495820">
        <w:rPr>
          <w:b/>
          <w:bCs/>
        </w:rPr>
        <w:t>50. Which non-education constitutional provisions are most relevant when interpreting education governance statutes?</w:t>
      </w:r>
      <w:r w:rsidRPr="00495820">
        <w:br/>
        <w:t xml:space="preserve">Several non-education constitutional provisions are critical when interpreting California education governance statutes, including equal protection and due process clauses (Article I), local government authority (Article XI), tax and fiscal limitation provisions (Articles XIII A–D), public finance restrictions (Article XVI), and voter control mechanisms </w:t>
      </w:r>
      <w:r w:rsidRPr="00495820">
        <w:lastRenderedPageBreak/>
        <w:t>related to taxation and public expenditures. These broader constitutional rules shape how education laws are funded, administered, enforced, and constrained, ensuring that educational governance operates within California’s larger legal framework of civil rights, fiscal accountability, and democratic oversight.</w:t>
      </w:r>
    </w:p>
    <w:p w14:paraId="432E6929" w14:textId="77777777" w:rsidR="00495820" w:rsidRPr="00495820" w:rsidRDefault="00495820" w:rsidP="00495820">
      <w:r w:rsidRPr="00495820">
        <w:rPr>
          <w:b/>
          <w:bCs/>
        </w:rPr>
        <w:t>Reference:</w:t>
      </w:r>
      <w:r w:rsidRPr="00495820">
        <w:t> California Constitution Articles I, XI, XIII, XVI – </w:t>
      </w:r>
      <w:hyperlink r:id="rId38" w:tgtFrame="_new" w:history="1">
        <w:r w:rsidRPr="00495820">
          <w:rPr>
            <w:rStyle w:val="Hyperlink"/>
          </w:rPr>
          <w:t>https://leginfo.legislature.ca.gov/</w:t>
        </w:r>
      </w:hyperlink>
    </w:p>
    <w:p w14:paraId="4411339E" w14:textId="77777777" w:rsidR="00037AAA" w:rsidRDefault="00037AAA"/>
    <w:sectPr w:rsidR="00037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20"/>
    <w:rsid w:val="00037AAA"/>
    <w:rsid w:val="0019418C"/>
    <w:rsid w:val="00495820"/>
    <w:rsid w:val="006D1D71"/>
    <w:rsid w:val="00D411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D98BE6"/>
  <w15:chartTrackingRefBased/>
  <w15:docId w15:val="{15EB0336-3744-FB4E-B8C0-906D8C60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20"/>
    <w:rPr>
      <w:rFonts w:eastAsiaTheme="majorEastAsia" w:cstheme="majorBidi"/>
      <w:color w:val="272727" w:themeColor="text1" w:themeTint="D8"/>
    </w:rPr>
  </w:style>
  <w:style w:type="paragraph" w:styleId="Title">
    <w:name w:val="Title"/>
    <w:basedOn w:val="Normal"/>
    <w:next w:val="Normal"/>
    <w:link w:val="TitleChar"/>
    <w:uiPriority w:val="10"/>
    <w:qFormat/>
    <w:rsid w:val="00495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20"/>
    <w:pPr>
      <w:spacing w:before="160"/>
      <w:jc w:val="center"/>
    </w:pPr>
    <w:rPr>
      <w:i/>
      <w:iCs/>
      <w:color w:val="404040" w:themeColor="text1" w:themeTint="BF"/>
    </w:rPr>
  </w:style>
  <w:style w:type="character" w:customStyle="1" w:styleId="QuoteChar">
    <w:name w:val="Quote Char"/>
    <w:basedOn w:val="DefaultParagraphFont"/>
    <w:link w:val="Quote"/>
    <w:uiPriority w:val="29"/>
    <w:rsid w:val="00495820"/>
    <w:rPr>
      <w:i/>
      <w:iCs/>
      <w:color w:val="404040" w:themeColor="text1" w:themeTint="BF"/>
    </w:rPr>
  </w:style>
  <w:style w:type="paragraph" w:styleId="ListParagraph">
    <w:name w:val="List Paragraph"/>
    <w:basedOn w:val="Normal"/>
    <w:uiPriority w:val="34"/>
    <w:qFormat/>
    <w:rsid w:val="00495820"/>
    <w:pPr>
      <w:ind w:left="720"/>
      <w:contextualSpacing/>
    </w:pPr>
  </w:style>
  <w:style w:type="character" w:styleId="IntenseEmphasis">
    <w:name w:val="Intense Emphasis"/>
    <w:basedOn w:val="DefaultParagraphFont"/>
    <w:uiPriority w:val="21"/>
    <w:qFormat/>
    <w:rsid w:val="00495820"/>
    <w:rPr>
      <w:i/>
      <w:iCs/>
      <w:color w:val="0F4761" w:themeColor="accent1" w:themeShade="BF"/>
    </w:rPr>
  </w:style>
  <w:style w:type="paragraph" w:styleId="IntenseQuote">
    <w:name w:val="Intense Quote"/>
    <w:basedOn w:val="Normal"/>
    <w:next w:val="Normal"/>
    <w:link w:val="IntenseQuoteChar"/>
    <w:uiPriority w:val="30"/>
    <w:qFormat/>
    <w:rsid w:val="00495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20"/>
    <w:rPr>
      <w:i/>
      <w:iCs/>
      <w:color w:val="0F4761" w:themeColor="accent1" w:themeShade="BF"/>
    </w:rPr>
  </w:style>
  <w:style w:type="character" w:styleId="IntenseReference">
    <w:name w:val="Intense Reference"/>
    <w:basedOn w:val="DefaultParagraphFont"/>
    <w:uiPriority w:val="32"/>
    <w:qFormat/>
    <w:rsid w:val="00495820"/>
    <w:rPr>
      <w:b/>
      <w:bCs/>
      <w:smallCaps/>
      <w:color w:val="0F4761" w:themeColor="accent1" w:themeShade="BF"/>
      <w:spacing w:val="5"/>
    </w:rPr>
  </w:style>
  <w:style w:type="character" w:styleId="Hyperlink">
    <w:name w:val="Hyperlink"/>
    <w:basedOn w:val="DefaultParagraphFont"/>
    <w:uiPriority w:val="99"/>
    <w:unhideWhenUsed/>
    <w:rsid w:val="00495820"/>
    <w:rPr>
      <w:color w:val="467886" w:themeColor="hyperlink"/>
      <w:u w:val="single"/>
    </w:rPr>
  </w:style>
  <w:style w:type="character" w:styleId="UnresolvedMention">
    <w:name w:val="Unresolved Mention"/>
    <w:basedOn w:val="DefaultParagraphFont"/>
    <w:uiPriority w:val="99"/>
    <w:semiHidden/>
    <w:unhideWhenUsed/>
    <w:rsid w:val="00495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03667">
      <w:bodyDiv w:val="1"/>
      <w:marLeft w:val="0"/>
      <w:marRight w:val="0"/>
      <w:marTop w:val="0"/>
      <w:marBottom w:val="0"/>
      <w:divBdr>
        <w:top w:val="none" w:sz="0" w:space="0" w:color="auto"/>
        <w:left w:val="none" w:sz="0" w:space="0" w:color="auto"/>
        <w:bottom w:val="none" w:sz="0" w:space="0" w:color="auto"/>
        <w:right w:val="none" w:sz="0" w:space="0" w:color="auto"/>
      </w:divBdr>
    </w:div>
    <w:div w:id="99957498">
      <w:bodyDiv w:val="1"/>
      <w:marLeft w:val="0"/>
      <w:marRight w:val="0"/>
      <w:marTop w:val="0"/>
      <w:marBottom w:val="0"/>
      <w:divBdr>
        <w:top w:val="none" w:sz="0" w:space="0" w:color="auto"/>
        <w:left w:val="none" w:sz="0" w:space="0" w:color="auto"/>
        <w:bottom w:val="none" w:sz="0" w:space="0" w:color="auto"/>
        <w:right w:val="none" w:sz="0" w:space="0" w:color="auto"/>
      </w:divBdr>
    </w:div>
    <w:div w:id="105545274">
      <w:bodyDiv w:val="1"/>
      <w:marLeft w:val="0"/>
      <w:marRight w:val="0"/>
      <w:marTop w:val="0"/>
      <w:marBottom w:val="0"/>
      <w:divBdr>
        <w:top w:val="none" w:sz="0" w:space="0" w:color="auto"/>
        <w:left w:val="none" w:sz="0" w:space="0" w:color="auto"/>
        <w:bottom w:val="none" w:sz="0" w:space="0" w:color="auto"/>
        <w:right w:val="none" w:sz="0" w:space="0" w:color="auto"/>
      </w:divBdr>
    </w:div>
    <w:div w:id="106701295">
      <w:bodyDiv w:val="1"/>
      <w:marLeft w:val="0"/>
      <w:marRight w:val="0"/>
      <w:marTop w:val="0"/>
      <w:marBottom w:val="0"/>
      <w:divBdr>
        <w:top w:val="none" w:sz="0" w:space="0" w:color="auto"/>
        <w:left w:val="none" w:sz="0" w:space="0" w:color="auto"/>
        <w:bottom w:val="none" w:sz="0" w:space="0" w:color="auto"/>
        <w:right w:val="none" w:sz="0" w:space="0" w:color="auto"/>
      </w:divBdr>
    </w:div>
    <w:div w:id="219899963">
      <w:bodyDiv w:val="1"/>
      <w:marLeft w:val="0"/>
      <w:marRight w:val="0"/>
      <w:marTop w:val="0"/>
      <w:marBottom w:val="0"/>
      <w:divBdr>
        <w:top w:val="none" w:sz="0" w:space="0" w:color="auto"/>
        <w:left w:val="none" w:sz="0" w:space="0" w:color="auto"/>
        <w:bottom w:val="none" w:sz="0" w:space="0" w:color="auto"/>
        <w:right w:val="none" w:sz="0" w:space="0" w:color="auto"/>
      </w:divBdr>
    </w:div>
    <w:div w:id="230579476">
      <w:bodyDiv w:val="1"/>
      <w:marLeft w:val="0"/>
      <w:marRight w:val="0"/>
      <w:marTop w:val="0"/>
      <w:marBottom w:val="0"/>
      <w:divBdr>
        <w:top w:val="none" w:sz="0" w:space="0" w:color="auto"/>
        <w:left w:val="none" w:sz="0" w:space="0" w:color="auto"/>
        <w:bottom w:val="none" w:sz="0" w:space="0" w:color="auto"/>
        <w:right w:val="none" w:sz="0" w:space="0" w:color="auto"/>
      </w:divBdr>
    </w:div>
    <w:div w:id="511340199">
      <w:bodyDiv w:val="1"/>
      <w:marLeft w:val="0"/>
      <w:marRight w:val="0"/>
      <w:marTop w:val="0"/>
      <w:marBottom w:val="0"/>
      <w:divBdr>
        <w:top w:val="none" w:sz="0" w:space="0" w:color="auto"/>
        <w:left w:val="none" w:sz="0" w:space="0" w:color="auto"/>
        <w:bottom w:val="none" w:sz="0" w:space="0" w:color="auto"/>
        <w:right w:val="none" w:sz="0" w:space="0" w:color="auto"/>
      </w:divBdr>
    </w:div>
    <w:div w:id="620573929">
      <w:bodyDiv w:val="1"/>
      <w:marLeft w:val="0"/>
      <w:marRight w:val="0"/>
      <w:marTop w:val="0"/>
      <w:marBottom w:val="0"/>
      <w:divBdr>
        <w:top w:val="none" w:sz="0" w:space="0" w:color="auto"/>
        <w:left w:val="none" w:sz="0" w:space="0" w:color="auto"/>
        <w:bottom w:val="none" w:sz="0" w:space="0" w:color="auto"/>
        <w:right w:val="none" w:sz="0" w:space="0" w:color="auto"/>
      </w:divBdr>
    </w:div>
    <w:div w:id="676882635">
      <w:bodyDiv w:val="1"/>
      <w:marLeft w:val="0"/>
      <w:marRight w:val="0"/>
      <w:marTop w:val="0"/>
      <w:marBottom w:val="0"/>
      <w:divBdr>
        <w:top w:val="none" w:sz="0" w:space="0" w:color="auto"/>
        <w:left w:val="none" w:sz="0" w:space="0" w:color="auto"/>
        <w:bottom w:val="none" w:sz="0" w:space="0" w:color="auto"/>
        <w:right w:val="none" w:sz="0" w:space="0" w:color="auto"/>
      </w:divBdr>
    </w:div>
    <w:div w:id="685398924">
      <w:bodyDiv w:val="1"/>
      <w:marLeft w:val="0"/>
      <w:marRight w:val="0"/>
      <w:marTop w:val="0"/>
      <w:marBottom w:val="0"/>
      <w:divBdr>
        <w:top w:val="none" w:sz="0" w:space="0" w:color="auto"/>
        <w:left w:val="none" w:sz="0" w:space="0" w:color="auto"/>
        <w:bottom w:val="none" w:sz="0" w:space="0" w:color="auto"/>
        <w:right w:val="none" w:sz="0" w:space="0" w:color="auto"/>
      </w:divBdr>
      <w:divsChild>
        <w:div w:id="169178802">
          <w:marLeft w:val="0"/>
          <w:marRight w:val="0"/>
          <w:marTop w:val="0"/>
          <w:marBottom w:val="0"/>
          <w:divBdr>
            <w:top w:val="none" w:sz="0" w:space="0" w:color="auto"/>
            <w:left w:val="none" w:sz="0" w:space="0" w:color="auto"/>
            <w:bottom w:val="none" w:sz="0" w:space="0" w:color="auto"/>
            <w:right w:val="none" w:sz="0" w:space="0" w:color="auto"/>
          </w:divBdr>
          <w:divsChild>
            <w:div w:id="56780694">
              <w:marLeft w:val="0"/>
              <w:marRight w:val="0"/>
              <w:marTop w:val="0"/>
              <w:marBottom w:val="0"/>
              <w:divBdr>
                <w:top w:val="none" w:sz="0" w:space="0" w:color="auto"/>
                <w:left w:val="none" w:sz="0" w:space="0" w:color="auto"/>
                <w:bottom w:val="none" w:sz="0" w:space="0" w:color="auto"/>
                <w:right w:val="none" w:sz="0" w:space="0" w:color="auto"/>
              </w:divBdr>
              <w:divsChild>
                <w:div w:id="1919242763">
                  <w:marLeft w:val="0"/>
                  <w:marRight w:val="0"/>
                  <w:marTop w:val="0"/>
                  <w:marBottom w:val="0"/>
                  <w:divBdr>
                    <w:top w:val="none" w:sz="0" w:space="0" w:color="auto"/>
                    <w:left w:val="none" w:sz="0" w:space="0" w:color="auto"/>
                    <w:bottom w:val="none" w:sz="0" w:space="0" w:color="auto"/>
                    <w:right w:val="none" w:sz="0" w:space="0" w:color="auto"/>
                  </w:divBdr>
                  <w:divsChild>
                    <w:div w:id="745690194">
                      <w:marLeft w:val="0"/>
                      <w:marRight w:val="0"/>
                      <w:marTop w:val="0"/>
                      <w:marBottom w:val="0"/>
                      <w:divBdr>
                        <w:top w:val="none" w:sz="0" w:space="0" w:color="auto"/>
                        <w:left w:val="none" w:sz="0" w:space="0" w:color="auto"/>
                        <w:bottom w:val="none" w:sz="0" w:space="0" w:color="auto"/>
                        <w:right w:val="none" w:sz="0" w:space="0" w:color="auto"/>
                      </w:divBdr>
                      <w:divsChild>
                        <w:div w:id="226497849">
                          <w:marLeft w:val="0"/>
                          <w:marRight w:val="0"/>
                          <w:marTop w:val="0"/>
                          <w:marBottom w:val="0"/>
                          <w:divBdr>
                            <w:top w:val="none" w:sz="0" w:space="0" w:color="auto"/>
                            <w:left w:val="none" w:sz="0" w:space="0" w:color="auto"/>
                            <w:bottom w:val="none" w:sz="0" w:space="0" w:color="auto"/>
                            <w:right w:val="none" w:sz="0" w:space="0" w:color="auto"/>
                          </w:divBdr>
                          <w:divsChild>
                            <w:div w:id="898706729">
                              <w:marLeft w:val="0"/>
                              <w:marRight w:val="0"/>
                              <w:marTop w:val="0"/>
                              <w:marBottom w:val="0"/>
                              <w:divBdr>
                                <w:top w:val="none" w:sz="0" w:space="0" w:color="auto"/>
                                <w:left w:val="none" w:sz="0" w:space="0" w:color="auto"/>
                                <w:bottom w:val="none" w:sz="0" w:space="0" w:color="auto"/>
                                <w:right w:val="none" w:sz="0" w:space="0" w:color="auto"/>
                              </w:divBdr>
                              <w:divsChild>
                                <w:div w:id="1528057109">
                                  <w:marLeft w:val="0"/>
                                  <w:marRight w:val="0"/>
                                  <w:marTop w:val="0"/>
                                  <w:marBottom w:val="0"/>
                                  <w:divBdr>
                                    <w:top w:val="none" w:sz="0" w:space="0" w:color="auto"/>
                                    <w:left w:val="none" w:sz="0" w:space="0" w:color="auto"/>
                                    <w:bottom w:val="none" w:sz="0" w:space="0" w:color="auto"/>
                                    <w:right w:val="none" w:sz="0" w:space="0" w:color="auto"/>
                                  </w:divBdr>
                                  <w:divsChild>
                                    <w:div w:id="151606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762012">
      <w:bodyDiv w:val="1"/>
      <w:marLeft w:val="0"/>
      <w:marRight w:val="0"/>
      <w:marTop w:val="0"/>
      <w:marBottom w:val="0"/>
      <w:divBdr>
        <w:top w:val="none" w:sz="0" w:space="0" w:color="auto"/>
        <w:left w:val="none" w:sz="0" w:space="0" w:color="auto"/>
        <w:bottom w:val="none" w:sz="0" w:space="0" w:color="auto"/>
        <w:right w:val="none" w:sz="0" w:space="0" w:color="auto"/>
      </w:divBdr>
    </w:div>
    <w:div w:id="785000798">
      <w:bodyDiv w:val="1"/>
      <w:marLeft w:val="0"/>
      <w:marRight w:val="0"/>
      <w:marTop w:val="0"/>
      <w:marBottom w:val="0"/>
      <w:divBdr>
        <w:top w:val="none" w:sz="0" w:space="0" w:color="auto"/>
        <w:left w:val="none" w:sz="0" w:space="0" w:color="auto"/>
        <w:bottom w:val="none" w:sz="0" w:space="0" w:color="auto"/>
        <w:right w:val="none" w:sz="0" w:space="0" w:color="auto"/>
      </w:divBdr>
    </w:div>
    <w:div w:id="811604777">
      <w:bodyDiv w:val="1"/>
      <w:marLeft w:val="0"/>
      <w:marRight w:val="0"/>
      <w:marTop w:val="0"/>
      <w:marBottom w:val="0"/>
      <w:divBdr>
        <w:top w:val="none" w:sz="0" w:space="0" w:color="auto"/>
        <w:left w:val="none" w:sz="0" w:space="0" w:color="auto"/>
        <w:bottom w:val="none" w:sz="0" w:space="0" w:color="auto"/>
        <w:right w:val="none" w:sz="0" w:space="0" w:color="auto"/>
      </w:divBdr>
    </w:div>
    <w:div w:id="817461500">
      <w:bodyDiv w:val="1"/>
      <w:marLeft w:val="0"/>
      <w:marRight w:val="0"/>
      <w:marTop w:val="0"/>
      <w:marBottom w:val="0"/>
      <w:divBdr>
        <w:top w:val="none" w:sz="0" w:space="0" w:color="auto"/>
        <w:left w:val="none" w:sz="0" w:space="0" w:color="auto"/>
        <w:bottom w:val="none" w:sz="0" w:space="0" w:color="auto"/>
        <w:right w:val="none" w:sz="0" w:space="0" w:color="auto"/>
      </w:divBdr>
    </w:div>
    <w:div w:id="906258924">
      <w:bodyDiv w:val="1"/>
      <w:marLeft w:val="0"/>
      <w:marRight w:val="0"/>
      <w:marTop w:val="0"/>
      <w:marBottom w:val="0"/>
      <w:divBdr>
        <w:top w:val="none" w:sz="0" w:space="0" w:color="auto"/>
        <w:left w:val="none" w:sz="0" w:space="0" w:color="auto"/>
        <w:bottom w:val="none" w:sz="0" w:space="0" w:color="auto"/>
        <w:right w:val="none" w:sz="0" w:space="0" w:color="auto"/>
      </w:divBdr>
    </w:div>
    <w:div w:id="931475499">
      <w:bodyDiv w:val="1"/>
      <w:marLeft w:val="0"/>
      <w:marRight w:val="0"/>
      <w:marTop w:val="0"/>
      <w:marBottom w:val="0"/>
      <w:divBdr>
        <w:top w:val="none" w:sz="0" w:space="0" w:color="auto"/>
        <w:left w:val="none" w:sz="0" w:space="0" w:color="auto"/>
        <w:bottom w:val="none" w:sz="0" w:space="0" w:color="auto"/>
        <w:right w:val="none" w:sz="0" w:space="0" w:color="auto"/>
      </w:divBdr>
    </w:div>
    <w:div w:id="1022433182">
      <w:bodyDiv w:val="1"/>
      <w:marLeft w:val="0"/>
      <w:marRight w:val="0"/>
      <w:marTop w:val="0"/>
      <w:marBottom w:val="0"/>
      <w:divBdr>
        <w:top w:val="none" w:sz="0" w:space="0" w:color="auto"/>
        <w:left w:val="none" w:sz="0" w:space="0" w:color="auto"/>
        <w:bottom w:val="none" w:sz="0" w:space="0" w:color="auto"/>
        <w:right w:val="none" w:sz="0" w:space="0" w:color="auto"/>
      </w:divBdr>
    </w:div>
    <w:div w:id="1130629236">
      <w:bodyDiv w:val="1"/>
      <w:marLeft w:val="0"/>
      <w:marRight w:val="0"/>
      <w:marTop w:val="0"/>
      <w:marBottom w:val="0"/>
      <w:divBdr>
        <w:top w:val="none" w:sz="0" w:space="0" w:color="auto"/>
        <w:left w:val="none" w:sz="0" w:space="0" w:color="auto"/>
        <w:bottom w:val="none" w:sz="0" w:space="0" w:color="auto"/>
        <w:right w:val="none" w:sz="0" w:space="0" w:color="auto"/>
      </w:divBdr>
      <w:divsChild>
        <w:div w:id="1407418202">
          <w:marLeft w:val="0"/>
          <w:marRight w:val="0"/>
          <w:marTop w:val="0"/>
          <w:marBottom w:val="0"/>
          <w:divBdr>
            <w:top w:val="none" w:sz="0" w:space="0" w:color="auto"/>
            <w:left w:val="none" w:sz="0" w:space="0" w:color="auto"/>
            <w:bottom w:val="none" w:sz="0" w:space="0" w:color="auto"/>
            <w:right w:val="none" w:sz="0" w:space="0" w:color="auto"/>
          </w:divBdr>
          <w:divsChild>
            <w:div w:id="457257246">
              <w:marLeft w:val="0"/>
              <w:marRight w:val="0"/>
              <w:marTop w:val="0"/>
              <w:marBottom w:val="0"/>
              <w:divBdr>
                <w:top w:val="none" w:sz="0" w:space="0" w:color="auto"/>
                <w:left w:val="none" w:sz="0" w:space="0" w:color="auto"/>
                <w:bottom w:val="none" w:sz="0" w:space="0" w:color="auto"/>
                <w:right w:val="none" w:sz="0" w:space="0" w:color="auto"/>
              </w:divBdr>
              <w:divsChild>
                <w:div w:id="1922761068">
                  <w:marLeft w:val="0"/>
                  <w:marRight w:val="0"/>
                  <w:marTop w:val="0"/>
                  <w:marBottom w:val="0"/>
                  <w:divBdr>
                    <w:top w:val="none" w:sz="0" w:space="0" w:color="auto"/>
                    <w:left w:val="none" w:sz="0" w:space="0" w:color="auto"/>
                    <w:bottom w:val="none" w:sz="0" w:space="0" w:color="auto"/>
                    <w:right w:val="none" w:sz="0" w:space="0" w:color="auto"/>
                  </w:divBdr>
                  <w:divsChild>
                    <w:div w:id="1498955203">
                      <w:marLeft w:val="0"/>
                      <w:marRight w:val="0"/>
                      <w:marTop w:val="0"/>
                      <w:marBottom w:val="0"/>
                      <w:divBdr>
                        <w:top w:val="none" w:sz="0" w:space="0" w:color="auto"/>
                        <w:left w:val="none" w:sz="0" w:space="0" w:color="auto"/>
                        <w:bottom w:val="none" w:sz="0" w:space="0" w:color="auto"/>
                        <w:right w:val="none" w:sz="0" w:space="0" w:color="auto"/>
                      </w:divBdr>
                      <w:divsChild>
                        <w:div w:id="2139495622">
                          <w:marLeft w:val="0"/>
                          <w:marRight w:val="0"/>
                          <w:marTop w:val="0"/>
                          <w:marBottom w:val="0"/>
                          <w:divBdr>
                            <w:top w:val="none" w:sz="0" w:space="0" w:color="auto"/>
                            <w:left w:val="none" w:sz="0" w:space="0" w:color="auto"/>
                            <w:bottom w:val="none" w:sz="0" w:space="0" w:color="auto"/>
                            <w:right w:val="none" w:sz="0" w:space="0" w:color="auto"/>
                          </w:divBdr>
                          <w:divsChild>
                            <w:div w:id="289942147">
                              <w:marLeft w:val="0"/>
                              <w:marRight w:val="0"/>
                              <w:marTop w:val="0"/>
                              <w:marBottom w:val="0"/>
                              <w:divBdr>
                                <w:top w:val="none" w:sz="0" w:space="0" w:color="auto"/>
                                <w:left w:val="none" w:sz="0" w:space="0" w:color="auto"/>
                                <w:bottom w:val="none" w:sz="0" w:space="0" w:color="auto"/>
                                <w:right w:val="none" w:sz="0" w:space="0" w:color="auto"/>
                              </w:divBdr>
                              <w:divsChild>
                                <w:div w:id="756247940">
                                  <w:marLeft w:val="0"/>
                                  <w:marRight w:val="0"/>
                                  <w:marTop w:val="0"/>
                                  <w:marBottom w:val="0"/>
                                  <w:divBdr>
                                    <w:top w:val="none" w:sz="0" w:space="0" w:color="auto"/>
                                    <w:left w:val="none" w:sz="0" w:space="0" w:color="auto"/>
                                    <w:bottom w:val="none" w:sz="0" w:space="0" w:color="auto"/>
                                    <w:right w:val="none" w:sz="0" w:space="0" w:color="auto"/>
                                  </w:divBdr>
                                  <w:divsChild>
                                    <w:div w:id="7360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4829132">
      <w:bodyDiv w:val="1"/>
      <w:marLeft w:val="0"/>
      <w:marRight w:val="0"/>
      <w:marTop w:val="0"/>
      <w:marBottom w:val="0"/>
      <w:divBdr>
        <w:top w:val="none" w:sz="0" w:space="0" w:color="auto"/>
        <w:left w:val="none" w:sz="0" w:space="0" w:color="auto"/>
        <w:bottom w:val="none" w:sz="0" w:space="0" w:color="auto"/>
        <w:right w:val="none" w:sz="0" w:space="0" w:color="auto"/>
      </w:divBdr>
    </w:div>
    <w:div w:id="1213467211">
      <w:bodyDiv w:val="1"/>
      <w:marLeft w:val="0"/>
      <w:marRight w:val="0"/>
      <w:marTop w:val="0"/>
      <w:marBottom w:val="0"/>
      <w:divBdr>
        <w:top w:val="none" w:sz="0" w:space="0" w:color="auto"/>
        <w:left w:val="none" w:sz="0" w:space="0" w:color="auto"/>
        <w:bottom w:val="none" w:sz="0" w:space="0" w:color="auto"/>
        <w:right w:val="none" w:sz="0" w:space="0" w:color="auto"/>
      </w:divBdr>
    </w:div>
    <w:div w:id="1217816362">
      <w:bodyDiv w:val="1"/>
      <w:marLeft w:val="0"/>
      <w:marRight w:val="0"/>
      <w:marTop w:val="0"/>
      <w:marBottom w:val="0"/>
      <w:divBdr>
        <w:top w:val="none" w:sz="0" w:space="0" w:color="auto"/>
        <w:left w:val="none" w:sz="0" w:space="0" w:color="auto"/>
        <w:bottom w:val="none" w:sz="0" w:space="0" w:color="auto"/>
        <w:right w:val="none" w:sz="0" w:space="0" w:color="auto"/>
      </w:divBdr>
    </w:div>
    <w:div w:id="1231235912">
      <w:bodyDiv w:val="1"/>
      <w:marLeft w:val="0"/>
      <w:marRight w:val="0"/>
      <w:marTop w:val="0"/>
      <w:marBottom w:val="0"/>
      <w:divBdr>
        <w:top w:val="none" w:sz="0" w:space="0" w:color="auto"/>
        <w:left w:val="none" w:sz="0" w:space="0" w:color="auto"/>
        <w:bottom w:val="none" w:sz="0" w:space="0" w:color="auto"/>
        <w:right w:val="none" w:sz="0" w:space="0" w:color="auto"/>
      </w:divBdr>
    </w:div>
    <w:div w:id="1262564002">
      <w:bodyDiv w:val="1"/>
      <w:marLeft w:val="0"/>
      <w:marRight w:val="0"/>
      <w:marTop w:val="0"/>
      <w:marBottom w:val="0"/>
      <w:divBdr>
        <w:top w:val="none" w:sz="0" w:space="0" w:color="auto"/>
        <w:left w:val="none" w:sz="0" w:space="0" w:color="auto"/>
        <w:bottom w:val="none" w:sz="0" w:space="0" w:color="auto"/>
        <w:right w:val="none" w:sz="0" w:space="0" w:color="auto"/>
      </w:divBdr>
      <w:divsChild>
        <w:div w:id="1442798864">
          <w:marLeft w:val="0"/>
          <w:marRight w:val="0"/>
          <w:marTop w:val="0"/>
          <w:marBottom w:val="0"/>
          <w:divBdr>
            <w:top w:val="none" w:sz="0" w:space="0" w:color="auto"/>
            <w:left w:val="none" w:sz="0" w:space="0" w:color="auto"/>
            <w:bottom w:val="none" w:sz="0" w:space="0" w:color="auto"/>
            <w:right w:val="none" w:sz="0" w:space="0" w:color="auto"/>
          </w:divBdr>
          <w:divsChild>
            <w:div w:id="1705210610">
              <w:marLeft w:val="0"/>
              <w:marRight w:val="0"/>
              <w:marTop w:val="0"/>
              <w:marBottom w:val="0"/>
              <w:divBdr>
                <w:top w:val="none" w:sz="0" w:space="0" w:color="auto"/>
                <w:left w:val="none" w:sz="0" w:space="0" w:color="auto"/>
                <w:bottom w:val="none" w:sz="0" w:space="0" w:color="auto"/>
                <w:right w:val="none" w:sz="0" w:space="0" w:color="auto"/>
              </w:divBdr>
              <w:divsChild>
                <w:div w:id="1115709826">
                  <w:marLeft w:val="0"/>
                  <w:marRight w:val="0"/>
                  <w:marTop w:val="0"/>
                  <w:marBottom w:val="0"/>
                  <w:divBdr>
                    <w:top w:val="none" w:sz="0" w:space="0" w:color="auto"/>
                    <w:left w:val="none" w:sz="0" w:space="0" w:color="auto"/>
                    <w:bottom w:val="none" w:sz="0" w:space="0" w:color="auto"/>
                    <w:right w:val="none" w:sz="0" w:space="0" w:color="auto"/>
                  </w:divBdr>
                  <w:divsChild>
                    <w:div w:id="163130436">
                      <w:marLeft w:val="0"/>
                      <w:marRight w:val="0"/>
                      <w:marTop w:val="0"/>
                      <w:marBottom w:val="0"/>
                      <w:divBdr>
                        <w:top w:val="none" w:sz="0" w:space="0" w:color="auto"/>
                        <w:left w:val="none" w:sz="0" w:space="0" w:color="auto"/>
                        <w:bottom w:val="none" w:sz="0" w:space="0" w:color="auto"/>
                        <w:right w:val="none" w:sz="0" w:space="0" w:color="auto"/>
                      </w:divBdr>
                      <w:divsChild>
                        <w:div w:id="1353721729">
                          <w:marLeft w:val="0"/>
                          <w:marRight w:val="0"/>
                          <w:marTop w:val="0"/>
                          <w:marBottom w:val="0"/>
                          <w:divBdr>
                            <w:top w:val="none" w:sz="0" w:space="0" w:color="auto"/>
                            <w:left w:val="none" w:sz="0" w:space="0" w:color="auto"/>
                            <w:bottom w:val="none" w:sz="0" w:space="0" w:color="auto"/>
                            <w:right w:val="none" w:sz="0" w:space="0" w:color="auto"/>
                          </w:divBdr>
                          <w:divsChild>
                            <w:div w:id="864295293">
                              <w:marLeft w:val="0"/>
                              <w:marRight w:val="0"/>
                              <w:marTop w:val="0"/>
                              <w:marBottom w:val="0"/>
                              <w:divBdr>
                                <w:top w:val="none" w:sz="0" w:space="0" w:color="auto"/>
                                <w:left w:val="none" w:sz="0" w:space="0" w:color="auto"/>
                                <w:bottom w:val="none" w:sz="0" w:space="0" w:color="auto"/>
                                <w:right w:val="none" w:sz="0" w:space="0" w:color="auto"/>
                              </w:divBdr>
                              <w:divsChild>
                                <w:div w:id="2035881256">
                                  <w:marLeft w:val="0"/>
                                  <w:marRight w:val="0"/>
                                  <w:marTop w:val="0"/>
                                  <w:marBottom w:val="0"/>
                                  <w:divBdr>
                                    <w:top w:val="none" w:sz="0" w:space="0" w:color="auto"/>
                                    <w:left w:val="none" w:sz="0" w:space="0" w:color="auto"/>
                                    <w:bottom w:val="none" w:sz="0" w:space="0" w:color="auto"/>
                                    <w:right w:val="none" w:sz="0" w:space="0" w:color="auto"/>
                                  </w:divBdr>
                                  <w:divsChild>
                                    <w:div w:id="10308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7716499">
      <w:bodyDiv w:val="1"/>
      <w:marLeft w:val="0"/>
      <w:marRight w:val="0"/>
      <w:marTop w:val="0"/>
      <w:marBottom w:val="0"/>
      <w:divBdr>
        <w:top w:val="none" w:sz="0" w:space="0" w:color="auto"/>
        <w:left w:val="none" w:sz="0" w:space="0" w:color="auto"/>
        <w:bottom w:val="none" w:sz="0" w:space="0" w:color="auto"/>
        <w:right w:val="none" w:sz="0" w:space="0" w:color="auto"/>
      </w:divBdr>
    </w:div>
    <w:div w:id="1286235996">
      <w:bodyDiv w:val="1"/>
      <w:marLeft w:val="0"/>
      <w:marRight w:val="0"/>
      <w:marTop w:val="0"/>
      <w:marBottom w:val="0"/>
      <w:divBdr>
        <w:top w:val="none" w:sz="0" w:space="0" w:color="auto"/>
        <w:left w:val="none" w:sz="0" w:space="0" w:color="auto"/>
        <w:bottom w:val="none" w:sz="0" w:space="0" w:color="auto"/>
        <w:right w:val="none" w:sz="0" w:space="0" w:color="auto"/>
      </w:divBdr>
      <w:divsChild>
        <w:div w:id="1518151164">
          <w:marLeft w:val="0"/>
          <w:marRight w:val="0"/>
          <w:marTop w:val="0"/>
          <w:marBottom w:val="0"/>
          <w:divBdr>
            <w:top w:val="none" w:sz="0" w:space="0" w:color="auto"/>
            <w:left w:val="none" w:sz="0" w:space="0" w:color="auto"/>
            <w:bottom w:val="none" w:sz="0" w:space="0" w:color="auto"/>
            <w:right w:val="none" w:sz="0" w:space="0" w:color="auto"/>
          </w:divBdr>
          <w:divsChild>
            <w:div w:id="1543521894">
              <w:marLeft w:val="0"/>
              <w:marRight w:val="0"/>
              <w:marTop w:val="0"/>
              <w:marBottom w:val="0"/>
              <w:divBdr>
                <w:top w:val="none" w:sz="0" w:space="0" w:color="auto"/>
                <w:left w:val="none" w:sz="0" w:space="0" w:color="auto"/>
                <w:bottom w:val="none" w:sz="0" w:space="0" w:color="auto"/>
                <w:right w:val="none" w:sz="0" w:space="0" w:color="auto"/>
              </w:divBdr>
              <w:divsChild>
                <w:div w:id="361637553">
                  <w:marLeft w:val="0"/>
                  <w:marRight w:val="0"/>
                  <w:marTop w:val="0"/>
                  <w:marBottom w:val="0"/>
                  <w:divBdr>
                    <w:top w:val="none" w:sz="0" w:space="0" w:color="auto"/>
                    <w:left w:val="none" w:sz="0" w:space="0" w:color="auto"/>
                    <w:bottom w:val="none" w:sz="0" w:space="0" w:color="auto"/>
                    <w:right w:val="none" w:sz="0" w:space="0" w:color="auto"/>
                  </w:divBdr>
                  <w:divsChild>
                    <w:div w:id="1353530850">
                      <w:marLeft w:val="0"/>
                      <w:marRight w:val="0"/>
                      <w:marTop w:val="0"/>
                      <w:marBottom w:val="0"/>
                      <w:divBdr>
                        <w:top w:val="none" w:sz="0" w:space="0" w:color="auto"/>
                        <w:left w:val="none" w:sz="0" w:space="0" w:color="auto"/>
                        <w:bottom w:val="none" w:sz="0" w:space="0" w:color="auto"/>
                        <w:right w:val="none" w:sz="0" w:space="0" w:color="auto"/>
                      </w:divBdr>
                      <w:divsChild>
                        <w:div w:id="611061620">
                          <w:marLeft w:val="0"/>
                          <w:marRight w:val="0"/>
                          <w:marTop w:val="0"/>
                          <w:marBottom w:val="0"/>
                          <w:divBdr>
                            <w:top w:val="none" w:sz="0" w:space="0" w:color="auto"/>
                            <w:left w:val="none" w:sz="0" w:space="0" w:color="auto"/>
                            <w:bottom w:val="none" w:sz="0" w:space="0" w:color="auto"/>
                            <w:right w:val="none" w:sz="0" w:space="0" w:color="auto"/>
                          </w:divBdr>
                          <w:divsChild>
                            <w:div w:id="205531133">
                              <w:marLeft w:val="0"/>
                              <w:marRight w:val="0"/>
                              <w:marTop w:val="0"/>
                              <w:marBottom w:val="0"/>
                              <w:divBdr>
                                <w:top w:val="none" w:sz="0" w:space="0" w:color="auto"/>
                                <w:left w:val="none" w:sz="0" w:space="0" w:color="auto"/>
                                <w:bottom w:val="none" w:sz="0" w:space="0" w:color="auto"/>
                                <w:right w:val="none" w:sz="0" w:space="0" w:color="auto"/>
                              </w:divBdr>
                              <w:divsChild>
                                <w:div w:id="1213464686">
                                  <w:marLeft w:val="0"/>
                                  <w:marRight w:val="0"/>
                                  <w:marTop w:val="0"/>
                                  <w:marBottom w:val="0"/>
                                  <w:divBdr>
                                    <w:top w:val="none" w:sz="0" w:space="0" w:color="auto"/>
                                    <w:left w:val="none" w:sz="0" w:space="0" w:color="auto"/>
                                    <w:bottom w:val="none" w:sz="0" w:space="0" w:color="auto"/>
                                    <w:right w:val="none" w:sz="0" w:space="0" w:color="auto"/>
                                  </w:divBdr>
                                  <w:divsChild>
                                    <w:div w:id="56237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8854706">
      <w:bodyDiv w:val="1"/>
      <w:marLeft w:val="0"/>
      <w:marRight w:val="0"/>
      <w:marTop w:val="0"/>
      <w:marBottom w:val="0"/>
      <w:divBdr>
        <w:top w:val="none" w:sz="0" w:space="0" w:color="auto"/>
        <w:left w:val="none" w:sz="0" w:space="0" w:color="auto"/>
        <w:bottom w:val="none" w:sz="0" w:space="0" w:color="auto"/>
        <w:right w:val="none" w:sz="0" w:space="0" w:color="auto"/>
      </w:divBdr>
    </w:div>
    <w:div w:id="1294946405">
      <w:bodyDiv w:val="1"/>
      <w:marLeft w:val="0"/>
      <w:marRight w:val="0"/>
      <w:marTop w:val="0"/>
      <w:marBottom w:val="0"/>
      <w:divBdr>
        <w:top w:val="none" w:sz="0" w:space="0" w:color="auto"/>
        <w:left w:val="none" w:sz="0" w:space="0" w:color="auto"/>
        <w:bottom w:val="none" w:sz="0" w:space="0" w:color="auto"/>
        <w:right w:val="none" w:sz="0" w:space="0" w:color="auto"/>
      </w:divBdr>
    </w:div>
    <w:div w:id="1350566235">
      <w:bodyDiv w:val="1"/>
      <w:marLeft w:val="0"/>
      <w:marRight w:val="0"/>
      <w:marTop w:val="0"/>
      <w:marBottom w:val="0"/>
      <w:divBdr>
        <w:top w:val="none" w:sz="0" w:space="0" w:color="auto"/>
        <w:left w:val="none" w:sz="0" w:space="0" w:color="auto"/>
        <w:bottom w:val="none" w:sz="0" w:space="0" w:color="auto"/>
        <w:right w:val="none" w:sz="0" w:space="0" w:color="auto"/>
      </w:divBdr>
    </w:div>
    <w:div w:id="1358122851">
      <w:bodyDiv w:val="1"/>
      <w:marLeft w:val="0"/>
      <w:marRight w:val="0"/>
      <w:marTop w:val="0"/>
      <w:marBottom w:val="0"/>
      <w:divBdr>
        <w:top w:val="none" w:sz="0" w:space="0" w:color="auto"/>
        <w:left w:val="none" w:sz="0" w:space="0" w:color="auto"/>
        <w:bottom w:val="none" w:sz="0" w:space="0" w:color="auto"/>
        <w:right w:val="none" w:sz="0" w:space="0" w:color="auto"/>
      </w:divBdr>
    </w:div>
    <w:div w:id="1365016316">
      <w:bodyDiv w:val="1"/>
      <w:marLeft w:val="0"/>
      <w:marRight w:val="0"/>
      <w:marTop w:val="0"/>
      <w:marBottom w:val="0"/>
      <w:divBdr>
        <w:top w:val="none" w:sz="0" w:space="0" w:color="auto"/>
        <w:left w:val="none" w:sz="0" w:space="0" w:color="auto"/>
        <w:bottom w:val="none" w:sz="0" w:space="0" w:color="auto"/>
        <w:right w:val="none" w:sz="0" w:space="0" w:color="auto"/>
      </w:divBdr>
    </w:div>
    <w:div w:id="1417627604">
      <w:bodyDiv w:val="1"/>
      <w:marLeft w:val="0"/>
      <w:marRight w:val="0"/>
      <w:marTop w:val="0"/>
      <w:marBottom w:val="0"/>
      <w:divBdr>
        <w:top w:val="none" w:sz="0" w:space="0" w:color="auto"/>
        <w:left w:val="none" w:sz="0" w:space="0" w:color="auto"/>
        <w:bottom w:val="none" w:sz="0" w:space="0" w:color="auto"/>
        <w:right w:val="none" w:sz="0" w:space="0" w:color="auto"/>
      </w:divBdr>
    </w:div>
    <w:div w:id="1422949148">
      <w:bodyDiv w:val="1"/>
      <w:marLeft w:val="0"/>
      <w:marRight w:val="0"/>
      <w:marTop w:val="0"/>
      <w:marBottom w:val="0"/>
      <w:divBdr>
        <w:top w:val="none" w:sz="0" w:space="0" w:color="auto"/>
        <w:left w:val="none" w:sz="0" w:space="0" w:color="auto"/>
        <w:bottom w:val="none" w:sz="0" w:space="0" w:color="auto"/>
        <w:right w:val="none" w:sz="0" w:space="0" w:color="auto"/>
      </w:divBdr>
      <w:divsChild>
        <w:div w:id="1490369405">
          <w:marLeft w:val="0"/>
          <w:marRight w:val="0"/>
          <w:marTop w:val="0"/>
          <w:marBottom w:val="0"/>
          <w:divBdr>
            <w:top w:val="none" w:sz="0" w:space="0" w:color="auto"/>
            <w:left w:val="none" w:sz="0" w:space="0" w:color="auto"/>
            <w:bottom w:val="none" w:sz="0" w:space="0" w:color="auto"/>
            <w:right w:val="none" w:sz="0" w:space="0" w:color="auto"/>
          </w:divBdr>
          <w:divsChild>
            <w:div w:id="1167986288">
              <w:marLeft w:val="0"/>
              <w:marRight w:val="0"/>
              <w:marTop w:val="0"/>
              <w:marBottom w:val="0"/>
              <w:divBdr>
                <w:top w:val="none" w:sz="0" w:space="0" w:color="auto"/>
                <w:left w:val="none" w:sz="0" w:space="0" w:color="auto"/>
                <w:bottom w:val="none" w:sz="0" w:space="0" w:color="auto"/>
                <w:right w:val="none" w:sz="0" w:space="0" w:color="auto"/>
              </w:divBdr>
              <w:divsChild>
                <w:div w:id="1051614490">
                  <w:marLeft w:val="0"/>
                  <w:marRight w:val="0"/>
                  <w:marTop w:val="0"/>
                  <w:marBottom w:val="0"/>
                  <w:divBdr>
                    <w:top w:val="none" w:sz="0" w:space="0" w:color="auto"/>
                    <w:left w:val="none" w:sz="0" w:space="0" w:color="auto"/>
                    <w:bottom w:val="none" w:sz="0" w:space="0" w:color="auto"/>
                    <w:right w:val="none" w:sz="0" w:space="0" w:color="auto"/>
                  </w:divBdr>
                  <w:divsChild>
                    <w:div w:id="1884558025">
                      <w:marLeft w:val="0"/>
                      <w:marRight w:val="0"/>
                      <w:marTop w:val="0"/>
                      <w:marBottom w:val="0"/>
                      <w:divBdr>
                        <w:top w:val="none" w:sz="0" w:space="0" w:color="auto"/>
                        <w:left w:val="none" w:sz="0" w:space="0" w:color="auto"/>
                        <w:bottom w:val="none" w:sz="0" w:space="0" w:color="auto"/>
                        <w:right w:val="none" w:sz="0" w:space="0" w:color="auto"/>
                      </w:divBdr>
                      <w:divsChild>
                        <w:div w:id="658730828">
                          <w:marLeft w:val="0"/>
                          <w:marRight w:val="0"/>
                          <w:marTop w:val="0"/>
                          <w:marBottom w:val="0"/>
                          <w:divBdr>
                            <w:top w:val="none" w:sz="0" w:space="0" w:color="auto"/>
                            <w:left w:val="none" w:sz="0" w:space="0" w:color="auto"/>
                            <w:bottom w:val="none" w:sz="0" w:space="0" w:color="auto"/>
                            <w:right w:val="none" w:sz="0" w:space="0" w:color="auto"/>
                          </w:divBdr>
                          <w:divsChild>
                            <w:div w:id="1933467352">
                              <w:marLeft w:val="0"/>
                              <w:marRight w:val="0"/>
                              <w:marTop w:val="0"/>
                              <w:marBottom w:val="0"/>
                              <w:divBdr>
                                <w:top w:val="none" w:sz="0" w:space="0" w:color="auto"/>
                                <w:left w:val="none" w:sz="0" w:space="0" w:color="auto"/>
                                <w:bottom w:val="none" w:sz="0" w:space="0" w:color="auto"/>
                                <w:right w:val="none" w:sz="0" w:space="0" w:color="auto"/>
                              </w:divBdr>
                              <w:divsChild>
                                <w:div w:id="1119759336">
                                  <w:marLeft w:val="0"/>
                                  <w:marRight w:val="0"/>
                                  <w:marTop w:val="0"/>
                                  <w:marBottom w:val="0"/>
                                  <w:divBdr>
                                    <w:top w:val="none" w:sz="0" w:space="0" w:color="auto"/>
                                    <w:left w:val="none" w:sz="0" w:space="0" w:color="auto"/>
                                    <w:bottom w:val="none" w:sz="0" w:space="0" w:color="auto"/>
                                    <w:right w:val="none" w:sz="0" w:space="0" w:color="auto"/>
                                  </w:divBdr>
                                  <w:divsChild>
                                    <w:div w:id="18034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1418396">
      <w:bodyDiv w:val="1"/>
      <w:marLeft w:val="0"/>
      <w:marRight w:val="0"/>
      <w:marTop w:val="0"/>
      <w:marBottom w:val="0"/>
      <w:divBdr>
        <w:top w:val="none" w:sz="0" w:space="0" w:color="auto"/>
        <w:left w:val="none" w:sz="0" w:space="0" w:color="auto"/>
        <w:bottom w:val="none" w:sz="0" w:space="0" w:color="auto"/>
        <w:right w:val="none" w:sz="0" w:space="0" w:color="auto"/>
      </w:divBdr>
    </w:div>
    <w:div w:id="1575160472">
      <w:bodyDiv w:val="1"/>
      <w:marLeft w:val="0"/>
      <w:marRight w:val="0"/>
      <w:marTop w:val="0"/>
      <w:marBottom w:val="0"/>
      <w:divBdr>
        <w:top w:val="none" w:sz="0" w:space="0" w:color="auto"/>
        <w:left w:val="none" w:sz="0" w:space="0" w:color="auto"/>
        <w:bottom w:val="none" w:sz="0" w:space="0" w:color="auto"/>
        <w:right w:val="none" w:sz="0" w:space="0" w:color="auto"/>
      </w:divBdr>
    </w:div>
    <w:div w:id="1580794216">
      <w:bodyDiv w:val="1"/>
      <w:marLeft w:val="0"/>
      <w:marRight w:val="0"/>
      <w:marTop w:val="0"/>
      <w:marBottom w:val="0"/>
      <w:divBdr>
        <w:top w:val="none" w:sz="0" w:space="0" w:color="auto"/>
        <w:left w:val="none" w:sz="0" w:space="0" w:color="auto"/>
        <w:bottom w:val="none" w:sz="0" w:space="0" w:color="auto"/>
        <w:right w:val="none" w:sz="0" w:space="0" w:color="auto"/>
      </w:divBdr>
      <w:divsChild>
        <w:div w:id="903376329">
          <w:marLeft w:val="0"/>
          <w:marRight w:val="0"/>
          <w:marTop w:val="0"/>
          <w:marBottom w:val="0"/>
          <w:divBdr>
            <w:top w:val="none" w:sz="0" w:space="0" w:color="auto"/>
            <w:left w:val="none" w:sz="0" w:space="0" w:color="auto"/>
            <w:bottom w:val="none" w:sz="0" w:space="0" w:color="auto"/>
            <w:right w:val="none" w:sz="0" w:space="0" w:color="auto"/>
          </w:divBdr>
          <w:divsChild>
            <w:div w:id="913903735">
              <w:marLeft w:val="0"/>
              <w:marRight w:val="0"/>
              <w:marTop w:val="0"/>
              <w:marBottom w:val="0"/>
              <w:divBdr>
                <w:top w:val="none" w:sz="0" w:space="0" w:color="auto"/>
                <w:left w:val="none" w:sz="0" w:space="0" w:color="auto"/>
                <w:bottom w:val="none" w:sz="0" w:space="0" w:color="auto"/>
                <w:right w:val="none" w:sz="0" w:space="0" w:color="auto"/>
              </w:divBdr>
              <w:divsChild>
                <w:div w:id="686441108">
                  <w:marLeft w:val="0"/>
                  <w:marRight w:val="0"/>
                  <w:marTop w:val="0"/>
                  <w:marBottom w:val="0"/>
                  <w:divBdr>
                    <w:top w:val="none" w:sz="0" w:space="0" w:color="auto"/>
                    <w:left w:val="none" w:sz="0" w:space="0" w:color="auto"/>
                    <w:bottom w:val="none" w:sz="0" w:space="0" w:color="auto"/>
                    <w:right w:val="none" w:sz="0" w:space="0" w:color="auto"/>
                  </w:divBdr>
                  <w:divsChild>
                    <w:div w:id="1610814113">
                      <w:marLeft w:val="0"/>
                      <w:marRight w:val="0"/>
                      <w:marTop w:val="0"/>
                      <w:marBottom w:val="0"/>
                      <w:divBdr>
                        <w:top w:val="none" w:sz="0" w:space="0" w:color="auto"/>
                        <w:left w:val="none" w:sz="0" w:space="0" w:color="auto"/>
                        <w:bottom w:val="none" w:sz="0" w:space="0" w:color="auto"/>
                        <w:right w:val="none" w:sz="0" w:space="0" w:color="auto"/>
                      </w:divBdr>
                      <w:divsChild>
                        <w:div w:id="1484196844">
                          <w:marLeft w:val="0"/>
                          <w:marRight w:val="0"/>
                          <w:marTop w:val="0"/>
                          <w:marBottom w:val="0"/>
                          <w:divBdr>
                            <w:top w:val="none" w:sz="0" w:space="0" w:color="auto"/>
                            <w:left w:val="none" w:sz="0" w:space="0" w:color="auto"/>
                            <w:bottom w:val="none" w:sz="0" w:space="0" w:color="auto"/>
                            <w:right w:val="none" w:sz="0" w:space="0" w:color="auto"/>
                          </w:divBdr>
                          <w:divsChild>
                            <w:div w:id="887375332">
                              <w:marLeft w:val="0"/>
                              <w:marRight w:val="0"/>
                              <w:marTop w:val="0"/>
                              <w:marBottom w:val="0"/>
                              <w:divBdr>
                                <w:top w:val="none" w:sz="0" w:space="0" w:color="auto"/>
                                <w:left w:val="none" w:sz="0" w:space="0" w:color="auto"/>
                                <w:bottom w:val="none" w:sz="0" w:space="0" w:color="auto"/>
                                <w:right w:val="none" w:sz="0" w:space="0" w:color="auto"/>
                              </w:divBdr>
                              <w:divsChild>
                                <w:div w:id="1344433775">
                                  <w:marLeft w:val="0"/>
                                  <w:marRight w:val="0"/>
                                  <w:marTop w:val="0"/>
                                  <w:marBottom w:val="0"/>
                                  <w:divBdr>
                                    <w:top w:val="none" w:sz="0" w:space="0" w:color="auto"/>
                                    <w:left w:val="none" w:sz="0" w:space="0" w:color="auto"/>
                                    <w:bottom w:val="none" w:sz="0" w:space="0" w:color="auto"/>
                                    <w:right w:val="none" w:sz="0" w:space="0" w:color="auto"/>
                                  </w:divBdr>
                                  <w:divsChild>
                                    <w:div w:id="14049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619931">
      <w:bodyDiv w:val="1"/>
      <w:marLeft w:val="0"/>
      <w:marRight w:val="0"/>
      <w:marTop w:val="0"/>
      <w:marBottom w:val="0"/>
      <w:divBdr>
        <w:top w:val="none" w:sz="0" w:space="0" w:color="auto"/>
        <w:left w:val="none" w:sz="0" w:space="0" w:color="auto"/>
        <w:bottom w:val="none" w:sz="0" w:space="0" w:color="auto"/>
        <w:right w:val="none" w:sz="0" w:space="0" w:color="auto"/>
      </w:divBdr>
      <w:divsChild>
        <w:div w:id="191653854">
          <w:marLeft w:val="0"/>
          <w:marRight w:val="0"/>
          <w:marTop w:val="0"/>
          <w:marBottom w:val="0"/>
          <w:divBdr>
            <w:top w:val="none" w:sz="0" w:space="0" w:color="auto"/>
            <w:left w:val="none" w:sz="0" w:space="0" w:color="auto"/>
            <w:bottom w:val="none" w:sz="0" w:space="0" w:color="auto"/>
            <w:right w:val="none" w:sz="0" w:space="0" w:color="auto"/>
          </w:divBdr>
          <w:divsChild>
            <w:div w:id="1308247956">
              <w:marLeft w:val="0"/>
              <w:marRight w:val="0"/>
              <w:marTop w:val="0"/>
              <w:marBottom w:val="0"/>
              <w:divBdr>
                <w:top w:val="none" w:sz="0" w:space="0" w:color="auto"/>
                <w:left w:val="none" w:sz="0" w:space="0" w:color="auto"/>
                <w:bottom w:val="none" w:sz="0" w:space="0" w:color="auto"/>
                <w:right w:val="none" w:sz="0" w:space="0" w:color="auto"/>
              </w:divBdr>
              <w:divsChild>
                <w:div w:id="1417902497">
                  <w:marLeft w:val="0"/>
                  <w:marRight w:val="0"/>
                  <w:marTop w:val="0"/>
                  <w:marBottom w:val="0"/>
                  <w:divBdr>
                    <w:top w:val="none" w:sz="0" w:space="0" w:color="auto"/>
                    <w:left w:val="none" w:sz="0" w:space="0" w:color="auto"/>
                    <w:bottom w:val="none" w:sz="0" w:space="0" w:color="auto"/>
                    <w:right w:val="none" w:sz="0" w:space="0" w:color="auto"/>
                  </w:divBdr>
                  <w:divsChild>
                    <w:div w:id="161940082">
                      <w:marLeft w:val="0"/>
                      <w:marRight w:val="0"/>
                      <w:marTop w:val="0"/>
                      <w:marBottom w:val="0"/>
                      <w:divBdr>
                        <w:top w:val="none" w:sz="0" w:space="0" w:color="auto"/>
                        <w:left w:val="none" w:sz="0" w:space="0" w:color="auto"/>
                        <w:bottom w:val="none" w:sz="0" w:space="0" w:color="auto"/>
                        <w:right w:val="none" w:sz="0" w:space="0" w:color="auto"/>
                      </w:divBdr>
                      <w:divsChild>
                        <w:div w:id="2063626158">
                          <w:marLeft w:val="0"/>
                          <w:marRight w:val="0"/>
                          <w:marTop w:val="0"/>
                          <w:marBottom w:val="0"/>
                          <w:divBdr>
                            <w:top w:val="none" w:sz="0" w:space="0" w:color="auto"/>
                            <w:left w:val="none" w:sz="0" w:space="0" w:color="auto"/>
                            <w:bottom w:val="none" w:sz="0" w:space="0" w:color="auto"/>
                            <w:right w:val="none" w:sz="0" w:space="0" w:color="auto"/>
                          </w:divBdr>
                          <w:divsChild>
                            <w:div w:id="656616527">
                              <w:marLeft w:val="0"/>
                              <w:marRight w:val="0"/>
                              <w:marTop w:val="0"/>
                              <w:marBottom w:val="0"/>
                              <w:divBdr>
                                <w:top w:val="none" w:sz="0" w:space="0" w:color="auto"/>
                                <w:left w:val="none" w:sz="0" w:space="0" w:color="auto"/>
                                <w:bottom w:val="none" w:sz="0" w:space="0" w:color="auto"/>
                                <w:right w:val="none" w:sz="0" w:space="0" w:color="auto"/>
                              </w:divBdr>
                              <w:divsChild>
                                <w:div w:id="1544290939">
                                  <w:marLeft w:val="0"/>
                                  <w:marRight w:val="0"/>
                                  <w:marTop w:val="0"/>
                                  <w:marBottom w:val="0"/>
                                  <w:divBdr>
                                    <w:top w:val="none" w:sz="0" w:space="0" w:color="auto"/>
                                    <w:left w:val="none" w:sz="0" w:space="0" w:color="auto"/>
                                    <w:bottom w:val="none" w:sz="0" w:space="0" w:color="auto"/>
                                    <w:right w:val="none" w:sz="0" w:space="0" w:color="auto"/>
                                  </w:divBdr>
                                  <w:divsChild>
                                    <w:div w:id="185946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145353">
      <w:bodyDiv w:val="1"/>
      <w:marLeft w:val="0"/>
      <w:marRight w:val="0"/>
      <w:marTop w:val="0"/>
      <w:marBottom w:val="0"/>
      <w:divBdr>
        <w:top w:val="none" w:sz="0" w:space="0" w:color="auto"/>
        <w:left w:val="none" w:sz="0" w:space="0" w:color="auto"/>
        <w:bottom w:val="none" w:sz="0" w:space="0" w:color="auto"/>
        <w:right w:val="none" w:sz="0" w:space="0" w:color="auto"/>
      </w:divBdr>
    </w:div>
    <w:div w:id="1680111917">
      <w:bodyDiv w:val="1"/>
      <w:marLeft w:val="0"/>
      <w:marRight w:val="0"/>
      <w:marTop w:val="0"/>
      <w:marBottom w:val="0"/>
      <w:divBdr>
        <w:top w:val="none" w:sz="0" w:space="0" w:color="auto"/>
        <w:left w:val="none" w:sz="0" w:space="0" w:color="auto"/>
        <w:bottom w:val="none" w:sz="0" w:space="0" w:color="auto"/>
        <w:right w:val="none" w:sz="0" w:space="0" w:color="auto"/>
      </w:divBdr>
    </w:div>
    <w:div w:id="1718384418">
      <w:bodyDiv w:val="1"/>
      <w:marLeft w:val="0"/>
      <w:marRight w:val="0"/>
      <w:marTop w:val="0"/>
      <w:marBottom w:val="0"/>
      <w:divBdr>
        <w:top w:val="none" w:sz="0" w:space="0" w:color="auto"/>
        <w:left w:val="none" w:sz="0" w:space="0" w:color="auto"/>
        <w:bottom w:val="none" w:sz="0" w:space="0" w:color="auto"/>
        <w:right w:val="none" w:sz="0" w:space="0" w:color="auto"/>
      </w:divBdr>
    </w:div>
    <w:div w:id="1736202204">
      <w:bodyDiv w:val="1"/>
      <w:marLeft w:val="0"/>
      <w:marRight w:val="0"/>
      <w:marTop w:val="0"/>
      <w:marBottom w:val="0"/>
      <w:divBdr>
        <w:top w:val="none" w:sz="0" w:space="0" w:color="auto"/>
        <w:left w:val="none" w:sz="0" w:space="0" w:color="auto"/>
        <w:bottom w:val="none" w:sz="0" w:space="0" w:color="auto"/>
        <w:right w:val="none" w:sz="0" w:space="0" w:color="auto"/>
      </w:divBdr>
    </w:div>
    <w:div w:id="1824806790">
      <w:bodyDiv w:val="1"/>
      <w:marLeft w:val="0"/>
      <w:marRight w:val="0"/>
      <w:marTop w:val="0"/>
      <w:marBottom w:val="0"/>
      <w:divBdr>
        <w:top w:val="none" w:sz="0" w:space="0" w:color="auto"/>
        <w:left w:val="none" w:sz="0" w:space="0" w:color="auto"/>
        <w:bottom w:val="none" w:sz="0" w:space="0" w:color="auto"/>
        <w:right w:val="none" w:sz="0" w:space="0" w:color="auto"/>
      </w:divBdr>
    </w:div>
    <w:div w:id="1876040937">
      <w:bodyDiv w:val="1"/>
      <w:marLeft w:val="0"/>
      <w:marRight w:val="0"/>
      <w:marTop w:val="0"/>
      <w:marBottom w:val="0"/>
      <w:divBdr>
        <w:top w:val="none" w:sz="0" w:space="0" w:color="auto"/>
        <w:left w:val="none" w:sz="0" w:space="0" w:color="auto"/>
        <w:bottom w:val="none" w:sz="0" w:space="0" w:color="auto"/>
        <w:right w:val="none" w:sz="0" w:space="0" w:color="auto"/>
      </w:divBdr>
    </w:div>
    <w:div w:id="1886403377">
      <w:bodyDiv w:val="1"/>
      <w:marLeft w:val="0"/>
      <w:marRight w:val="0"/>
      <w:marTop w:val="0"/>
      <w:marBottom w:val="0"/>
      <w:divBdr>
        <w:top w:val="none" w:sz="0" w:space="0" w:color="auto"/>
        <w:left w:val="none" w:sz="0" w:space="0" w:color="auto"/>
        <w:bottom w:val="none" w:sz="0" w:space="0" w:color="auto"/>
        <w:right w:val="none" w:sz="0" w:space="0" w:color="auto"/>
      </w:divBdr>
    </w:div>
    <w:div w:id="1895845785">
      <w:bodyDiv w:val="1"/>
      <w:marLeft w:val="0"/>
      <w:marRight w:val="0"/>
      <w:marTop w:val="0"/>
      <w:marBottom w:val="0"/>
      <w:divBdr>
        <w:top w:val="none" w:sz="0" w:space="0" w:color="auto"/>
        <w:left w:val="none" w:sz="0" w:space="0" w:color="auto"/>
        <w:bottom w:val="none" w:sz="0" w:space="0" w:color="auto"/>
        <w:right w:val="none" w:sz="0" w:space="0" w:color="auto"/>
      </w:divBdr>
    </w:div>
    <w:div w:id="1907371084">
      <w:bodyDiv w:val="1"/>
      <w:marLeft w:val="0"/>
      <w:marRight w:val="0"/>
      <w:marTop w:val="0"/>
      <w:marBottom w:val="0"/>
      <w:divBdr>
        <w:top w:val="none" w:sz="0" w:space="0" w:color="auto"/>
        <w:left w:val="none" w:sz="0" w:space="0" w:color="auto"/>
        <w:bottom w:val="none" w:sz="0" w:space="0" w:color="auto"/>
        <w:right w:val="none" w:sz="0" w:space="0" w:color="auto"/>
      </w:divBdr>
    </w:div>
    <w:div w:id="1971931623">
      <w:bodyDiv w:val="1"/>
      <w:marLeft w:val="0"/>
      <w:marRight w:val="0"/>
      <w:marTop w:val="0"/>
      <w:marBottom w:val="0"/>
      <w:divBdr>
        <w:top w:val="none" w:sz="0" w:space="0" w:color="auto"/>
        <w:left w:val="none" w:sz="0" w:space="0" w:color="auto"/>
        <w:bottom w:val="none" w:sz="0" w:space="0" w:color="auto"/>
        <w:right w:val="none" w:sz="0" w:space="0" w:color="auto"/>
      </w:divBdr>
      <w:divsChild>
        <w:div w:id="48498975">
          <w:marLeft w:val="0"/>
          <w:marRight w:val="0"/>
          <w:marTop w:val="0"/>
          <w:marBottom w:val="0"/>
          <w:divBdr>
            <w:top w:val="none" w:sz="0" w:space="0" w:color="auto"/>
            <w:left w:val="none" w:sz="0" w:space="0" w:color="auto"/>
            <w:bottom w:val="none" w:sz="0" w:space="0" w:color="auto"/>
            <w:right w:val="none" w:sz="0" w:space="0" w:color="auto"/>
          </w:divBdr>
          <w:divsChild>
            <w:div w:id="42218880">
              <w:marLeft w:val="0"/>
              <w:marRight w:val="0"/>
              <w:marTop w:val="0"/>
              <w:marBottom w:val="0"/>
              <w:divBdr>
                <w:top w:val="none" w:sz="0" w:space="0" w:color="auto"/>
                <w:left w:val="none" w:sz="0" w:space="0" w:color="auto"/>
                <w:bottom w:val="none" w:sz="0" w:space="0" w:color="auto"/>
                <w:right w:val="none" w:sz="0" w:space="0" w:color="auto"/>
              </w:divBdr>
              <w:divsChild>
                <w:div w:id="1644189218">
                  <w:marLeft w:val="0"/>
                  <w:marRight w:val="0"/>
                  <w:marTop w:val="0"/>
                  <w:marBottom w:val="0"/>
                  <w:divBdr>
                    <w:top w:val="none" w:sz="0" w:space="0" w:color="auto"/>
                    <w:left w:val="none" w:sz="0" w:space="0" w:color="auto"/>
                    <w:bottom w:val="none" w:sz="0" w:space="0" w:color="auto"/>
                    <w:right w:val="none" w:sz="0" w:space="0" w:color="auto"/>
                  </w:divBdr>
                  <w:divsChild>
                    <w:div w:id="1485925109">
                      <w:marLeft w:val="0"/>
                      <w:marRight w:val="0"/>
                      <w:marTop w:val="0"/>
                      <w:marBottom w:val="0"/>
                      <w:divBdr>
                        <w:top w:val="none" w:sz="0" w:space="0" w:color="auto"/>
                        <w:left w:val="none" w:sz="0" w:space="0" w:color="auto"/>
                        <w:bottom w:val="none" w:sz="0" w:space="0" w:color="auto"/>
                        <w:right w:val="none" w:sz="0" w:space="0" w:color="auto"/>
                      </w:divBdr>
                      <w:divsChild>
                        <w:div w:id="1544825471">
                          <w:marLeft w:val="0"/>
                          <w:marRight w:val="0"/>
                          <w:marTop w:val="0"/>
                          <w:marBottom w:val="0"/>
                          <w:divBdr>
                            <w:top w:val="none" w:sz="0" w:space="0" w:color="auto"/>
                            <w:left w:val="none" w:sz="0" w:space="0" w:color="auto"/>
                            <w:bottom w:val="none" w:sz="0" w:space="0" w:color="auto"/>
                            <w:right w:val="none" w:sz="0" w:space="0" w:color="auto"/>
                          </w:divBdr>
                          <w:divsChild>
                            <w:div w:id="671182147">
                              <w:marLeft w:val="0"/>
                              <w:marRight w:val="0"/>
                              <w:marTop w:val="0"/>
                              <w:marBottom w:val="0"/>
                              <w:divBdr>
                                <w:top w:val="none" w:sz="0" w:space="0" w:color="auto"/>
                                <w:left w:val="none" w:sz="0" w:space="0" w:color="auto"/>
                                <w:bottom w:val="none" w:sz="0" w:space="0" w:color="auto"/>
                                <w:right w:val="none" w:sz="0" w:space="0" w:color="auto"/>
                              </w:divBdr>
                              <w:divsChild>
                                <w:div w:id="1786079430">
                                  <w:marLeft w:val="0"/>
                                  <w:marRight w:val="0"/>
                                  <w:marTop w:val="0"/>
                                  <w:marBottom w:val="0"/>
                                  <w:divBdr>
                                    <w:top w:val="none" w:sz="0" w:space="0" w:color="auto"/>
                                    <w:left w:val="none" w:sz="0" w:space="0" w:color="auto"/>
                                    <w:bottom w:val="none" w:sz="0" w:space="0" w:color="auto"/>
                                    <w:right w:val="none" w:sz="0" w:space="0" w:color="auto"/>
                                  </w:divBdr>
                                  <w:divsChild>
                                    <w:div w:id="12033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324064">
      <w:bodyDiv w:val="1"/>
      <w:marLeft w:val="0"/>
      <w:marRight w:val="0"/>
      <w:marTop w:val="0"/>
      <w:marBottom w:val="0"/>
      <w:divBdr>
        <w:top w:val="none" w:sz="0" w:space="0" w:color="auto"/>
        <w:left w:val="none" w:sz="0" w:space="0" w:color="auto"/>
        <w:bottom w:val="none" w:sz="0" w:space="0" w:color="auto"/>
        <w:right w:val="none" w:sz="0" w:space="0" w:color="auto"/>
      </w:divBdr>
    </w:div>
    <w:div w:id="2018850745">
      <w:bodyDiv w:val="1"/>
      <w:marLeft w:val="0"/>
      <w:marRight w:val="0"/>
      <w:marTop w:val="0"/>
      <w:marBottom w:val="0"/>
      <w:divBdr>
        <w:top w:val="none" w:sz="0" w:space="0" w:color="auto"/>
        <w:left w:val="none" w:sz="0" w:space="0" w:color="auto"/>
        <w:bottom w:val="none" w:sz="0" w:space="0" w:color="auto"/>
        <w:right w:val="none" w:sz="0" w:space="0" w:color="auto"/>
      </w:divBdr>
    </w:div>
    <w:div w:id="2048602831">
      <w:bodyDiv w:val="1"/>
      <w:marLeft w:val="0"/>
      <w:marRight w:val="0"/>
      <w:marTop w:val="0"/>
      <w:marBottom w:val="0"/>
      <w:divBdr>
        <w:top w:val="none" w:sz="0" w:space="0" w:color="auto"/>
        <w:left w:val="none" w:sz="0" w:space="0" w:color="auto"/>
        <w:bottom w:val="none" w:sz="0" w:space="0" w:color="auto"/>
        <w:right w:val="none" w:sz="0" w:space="0" w:color="auto"/>
      </w:divBdr>
    </w:div>
    <w:div w:id="2140799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de.ca.gov/be/" TargetMode="External"/><Relationship Id="rId18" Type="http://schemas.openxmlformats.org/officeDocument/2006/relationships/hyperlink" Target="https://www.cde.ca.gov/" TargetMode="External"/><Relationship Id="rId26" Type="http://schemas.openxmlformats.org/officeDocument/2006/relationships/hyperlink" Target="https://www.cde.ca.gov/ci/cr/cf/" TargetMode="External"/><Relationship Id="rId39" Type="http://schemas.openxmlformats.org/officeDocument/2006/relationships/fontTable" Target="fontTable.xml"/><Relationship Id="rId21" Type="http://schemas.openxmlformats.org/officeDocument/2006/relationships/hyperlink" Target="https://leginfo.legislature.ca.gov/" TargetMode="External"/><Relationship Id="rId34" Type="http://schemas.openxmlformats.org/officeDocument/2006/relationships/hyperlink" Target="https://leginfo.legislature.ca.gov/" TargetMode="External"/><Relationship Id="rId7" Type="http://schemas.openxmlformats.org/officeDocument/2006/relationships/hyperlink" Target="https://www.usa.gov/how-laws-are-made" TargetMode="External"/><Relationship Id="rId12" Type="http://schemas.openxmlformats.org/officeDocument/2006/relationships/hyperlink" Target="https://www.cde.ca.gov/sp/el/rm/" TargetMode="External"/><Relationship Id="rId17" Type="http://schemas.openxmlformats.org/officeDocument/2006/relationships/hyperlink" Target="https://www.cde.ca.gov/be/" TargetMode="External"/><Relationship Id="rId25" Type="http://schemas.openxmlformats.org/officeDocument/2006/relationships/hyperlink" Target="https://www.cde.ca.gov/" TargetMode="External"/><Relationship Id="rId33" Type="http://schemas.openxmlformats.org/officeDocument/2006/relationships/hyperlink" Target="https://leginfo.legislature.ca.gov/" TargetMode="External"/><Relationship Id="rId38" Type="http://schemas.openxmlformats.org/officeDocument/2006/relationships/hyperlink" Target="https://leginfo.legislature.ca.gov/" TargetMode="External"/><Relationship Id="rId2" Type="http://schemas.openxmlformats.org/officeDocument/2006/relationships/settings" Target="settings.xml"/><Relationship Id="rId16" Type="http://schemas.openxmlformats.org/officeDocument/2006/relationships/hyperlink" Target="https://leginfo.legislature.ca.gov/" TargetMode="External"/><Relationship Id="rId20" Type="http://schemas.openxmlformats.org/officeDocument/2006/relationships/hyperlink" Target="https://leginfo.legislature.ca.gov/" TargetMode="External"/><Relationship Id="rId29" Type="http://schemas.openxmlformats.org/officeDocument/2006/relationships/hyperlink" Target="https://leginfo.legislature.ca.gov/" TargetMode="External"/><Relationship Id="rId1" Type="http://schemas.openxmlformats.org/officeDocument/2006/relationships/styles" Target="styles.xml"/><Relationship Id="rId6" Type="http://schemas.openxmlformats.org/officeDocument/2006/relationships/hyperlink" Target="https://www.ncsl.org/elections-and-campaigns/initiative-referendum-and-recall-overview" TargetMode="External"/><Relationship Id="rId11" Type="http://schemas.openxmlformats.org/officeDocument/2006/relationships/hyperlink" Target="https://www.cde.ca.gov/sp/el/" TargetMode="External"/><Relationship Id="rId24" Type="http://schemas.openxmlformats.org/officeDocument/2006/relationships/hyperlink" Target="https://leginfo.legislature.ca.gov/" TargetMode="External"/><Relationship Id="rId32" Type="http://schemas.openxmlformats.org/officeDocument/2006/relationships/hyperlink" Target="https://www.cde.ca.gov/sp/" TargetMode="External"/><Relationship Id="rId37" Type="http://schemas.openxmlformats.org/officeDocument/2006/relationships/hyperlink" Target="https://leginfo.legislature.ca.gov/" TargetMode="External"/><Relationship Id="rId40" Type="http://schemas.openxmlformats.org/officeDocument/2006/relationships/theme" Target="theme/theme1.xml"/><Relationship Id="rId5" Type="http://schemas.openxmlformats.org/officeDocument/2006/relationships/hyperlink" Target="https://www.britannica.com/topic/referendum" TargetMode="External"/><Relationship Id="rId15" Type="http://schemas.openxmlformats.org/officeDocument/2006/relationships/hyperlink" Target="https://leginfo.legislature.ca.gov/" TargetMode="External"/><Relationship Id="rId23" Type="http://schemas.openxmlformats.org/officeDocument/2006/relationships/hyperlink" Target="https://leginfo.legislature.ca.gov/" TargetMode="External"/><Relationship Id="rId28" Type="http://schemas.openxmlformats.org/officeDocument/2006/relationships/hyperlink" Target="https://leginfo.legislature.ca.gov/" TargetMode="External"/><Relationship Id="rId36" Type="http://schemas.openxmlformats.org/officeDocument/2006/relationships/hyperlink" Target="https://leginfo.legislature.ca.gov/" TargetMode="External"/><Relationship Id="rId10" Type="http://schemas.openxmlformats.org/officeDocument/2006/relationships/hyperlink" Target="https://leginfo.legislature.ca.gov/" TargetMode="External"/><Relationship Id="rId19" Type="http://schemas.openxmlformats.org/officeDocument/2006/relationships/hyperlink" Target="https://www.cde.ca.gov/" TargetMode="External"/><Relationship Id="rId31" Type="http://schemas.openxmlformats.org/officeDocument/2006/relationships/hyperlink" Target="https://www.cde.ca.gov/be/" TargetMode="External"/><Relationship Id="rId4" Type="http://schemas.openxmlformats.org/officeDocument/2006/relationships/hyperlink" Target="https://www.ncsl.org/elections-and-campaigns/initiative-referendum-and-recall-overview" TargetMode="External"/><Relationship Id="rId9" Type="http://schemas.openxmlformats.org/officeDocument/2006/relationships/hyperlink" Target="https://www.cde.ca.gov/re/cp/uc/" TargetMode="External"/><Relationship Id="rId14" Type="http://schemas.openxmlformats.org/officeDocument/2006/relationships/hyperlink" Target="https://leginfo.legislature.ca.gov/" TargetMode="External"/><Relationship Id="rId22" Type="http://schemas.openxmlformats.org/officeDocument/2006/relationships/hyperlink" Target="https://leginfo.legislature.ca.gov/" TargetMode="External"/><Relationship Id="rId27" Type="http://schemas.openxmlformats.org/officeDocument/2006/relationships/hyperlink" Target="https://leginfo.legislature.ca.gov/" TargetMode="External"/><Relationship Id="rId30" Type="http://schemas.openxmlformats.org/officeDocument/2006/relationships/hyperlink" Target="https://leginfo.legislature.ca.gov/" TargetMode="External"/><Relationship Id="rId35" Type="http://schemas.openxmlformats.org/officeDocument/2006/relationships/hyperlink" Target="https://leginfo.legislature.ca.gov/" TargetMode="External"/><Relationship Id="rId8" Type="http://schemas.openxmlformats.org/officeDocument/2006/relationships/hyperlink" Target="https://leginfo.legislature.ca.gov/"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6107</Words>
  <Characters>34815</Characters>
  <Application>Microsoft Office Word</Application>
  <DocSecurity>0</DocSecurity>
  <Lines>290</Lines>
  <Paragraphs>81</Paragraphs>
  <ScaleCrop>false</ScaleCrop>
  <Company/>
  <LinksUpToDate>false</LinksUpToDate>
  <CharactersWithSpaces>40841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Aashritha sankineni</dc:creator>
  <cp:keywords/>
  <dc:description/>
  <cp:lastModifiedBy>Aashritha sankineni</cp:lastModifiedBy>
  <cp:revision>2</cp:revision>
  <dcterms:created xsi:type="dcterms:W3CDTF">2026-05-11T20:39:00Z</dcterms:created>
  <dcterms:modified xsi:type="dcterms:W3CDTF">2026-05-11T20:39:00Z</dcterms:modified>
</cp:coreProperties>
</file>