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477fbaae0e7d80b6b7a44a06d6c7f82a1825490"/>
    <w:p>
      <w:pPr>
        <w:pStyle w:val="Heading1"/>
      </w:pPr>
      <w:r>
        <w:t xml:space="preserve">Measuring Equity in Urban Mobility Infrastructure: A Composite-Index and Interactive-Dashboard Approach</w:t>
      </w:r>
    </w:p>
    <w:p>
      <w:pPr>
        <w:pStyle w:val="FirstParagraph"/>
      </w:pPr>
      <w:r>
        <w:rPr>
          <w:b/>
          <w:bCs/>
        </w:rPr>
        <w:t xml:space="preserve">Initial Draft — Chapters 1–3</w:t>
      </w:r>
      <w:r>
        <w:t xml:space="preserve"> </w:t>
      </w:r>
      <w:r>
        <w:rPr>
          <w:b/>
          <w:bCs/>
        </w:rPr>
        <w:t xml:space="preserve">EMGT 7945 · Engineering Management Capstone</w:t>
      </w:r>
      <w:r>
        <w:t xml:space="preserve"> </w:t>
      </w:r>
      <w:r>
        <w:rPr>
          <w:b/>
          <w:bCs/>
        </w:rPr>
        <w:t xml:space="preserve">Aashritha Kanagala · Northeastern University · Summer 2026</w:t>
      </w:r>
      <w:r>
        <w:t xml:space="preserve"> </w:t>
      </w:r>
      <w:r>
        <w:rPr>
          <w:b/>
          <w:bCs/>
        </w:rPr>
        <w:t xml:space="preserve">Submitted: June 15,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Note on draft status.</w:t>
      </w:r>
      <w:r>
        <w:t xml:space="preserve"> </w:t>
      </w:r>
      <w:r>
        <w:t xml:space="preserve">This draft establishes the problem, situates it in the</w:t>
      </w:r>
      <w:r>
        <w:t xml:space="preserve"> </w:t>
      </w:r>
      <w:r>
        <w:t xml:space="preserve">literature, and specifies the methodology in full. The data pipeline, Mobility</w:t>
      </w:r>
      <w:r>
        <w:t xml:space="preserve"> </w:t>
      </w:r>
      <w:r>
        <w:t xml:space="preserve">Equity Score (MES) computation, and interactive dashboard are implemented and</w:t>
      </w:r>
      <w:r>
        <w:t xml:space="preserve"> </w:t>
      </w:r>
      <w:r>
        <w:t xml:space="preserve">run end-to-end for all three Phase-1 cities (Chicago, Houston, Seattle) on</w:t>
      </w:r>
      <w:r>
        <w:t xml:space="preserve"> </w:t>
      </w:r>
      <w:r>
        <w:rPr>
          <w:b/>
          <w:bCs/>
        </w:rPr>
        <w:t xml:space="preserve">measured open data across every dimension</w:t>
      </w:r>
      <w:r>
        <w:t xml:space="preserve">: transit (GTFS — CTA, METRO</w:t>
      </w:r>
      <w:r>
        <w:t xml:space="preserve"> </w:t>
      </w:r>
      <w:r>
        <w:t xml:space="preserve">Houston, King County Metro), walkability (EPA Smart Location Database), bicycle</w:t>
      </w:r>
      <w:r>
        <w:t xml:space="preserve"> </w:t>
      </w:r>
      <w:r>
        <w:t xml:space="preserve">(OpenStreetMap), EV charging (OpenStreetMap</w:t>
      </w:r>
      <w:r>
        <w:t xml:space="preserve"> </w:t>
      </w:r>
      <w:r>
        <w:rPr>
          <w:rStyle w:val="VerbatimChar"/>
        </w:rPr>
        <w:t xml:space="preserve">amenity=charging_station</w:t>
      </w:r>
      <w:r>
        <w:t xml:space="preserve">), and</w:t>
      </w:r>
      <w:r>
        <w:t xml:space="preserve"> </w:t>
      </w:r>
      <w:r>
        <w:t xml:space="preserve">demographics (Census ACS 5-year 2019–2023). One data caveat is carried forward</w:t>
      </w:r>
      <w:r>
        <w:t xml:space="preserve"> </w:t>
      </w:r>
      <w:r>
        <w:t xml:space="preserve">to Chapter 5: the EV layer uses community-maintained OSM charging points (a</w:t>
      </w:r>
      <w:r>
        <w:t xml:space="preserve"> </w:t>
      </w:r>
      <w:r>
        <w:t xml:space="preserve">lower-bound proxy relative to the authoritative DOE/NREL AFDC inventory, which</w:t>
      </w:r>
      <w:r>
        <w:t xml:space="preserve"> </w:t>
      </w:r>
      <w:r>
        <w:t xml:space="preserve">was unreachable on the development network); the measures are also supply-side</w:t>
      </w:r>
      <w:r>
        <w:t xml:space="preserve"> </w:t>
      </w:r>
      <w:r>
        <w:t xml:space="preserve">throughout. Chapter 4 (Results) is forthcoming and will present the substantive</w:t>
      </w:r>
      <w:r>
        <w:t xml:space="preserve"> </w:t>
      </w:r>
      <w:r>
        <w:t xml:space="preserve">findings; the correlation and clustering machinery is already validated on the</w:t>
      </w:r>
      <w:r>
        <w:t xml:space="preserve"> </w:t>
      </w:r>
      <w:r>
        <w:t xml:space="preserve">live data.</w:t>
      </w:r>
    </w:p>
    <w:p>
      <w:r>
        <w:pict>
          <v:rect style="width:0;height:1.5pt" o:hralign="center" o:hrstd="t" o:hr="t"/>
        </w:pict>
      </w:r>
    </w:p>
    <w:bookmarkStart w:id="15" w:name="chapter-1-introduction"/>
    <w:p>
      <w:pPr>
        <w:pStyle w:val="Heading2"/>
      </w:pPr>
      <w:r>
        <w:t xml:space="preserve">Chapter 1 — Introduction</w:t>
      </w:r>
    </w:p>
    <w:bookmarkStart w:id="9" w:name="background-and-motivation"/>
    <w:p>
      <w:pPr>
        <w:pStyle w:val="Heading3"/>
      </w:pPr>
      <w:r>
        <w:t xml:space="preserve">1.1 Background and Motivation</w:t>
      </w:r>
    </w:p>
    <w:p>
      <w:pPr>
        <w:pStyle w:val="FirstParagraph"/>
      </w:pPr>
      <w:r>
        <w:t xml:space="preserve">Mobility is a precondition for opportunity. Access to jobs, education, health</w:t>
      </w:r>
      <w:r>
        <w:t xml:space="preserve"> </w:t>
      </w:r>
      <w:r>
        <w:t xml:space="preserve">care, and social participation is mediated by the transportation options</w:t>
      </w:r>
      <w:r>
        <w:t xml:space="preserve"> </w:t>
      </w:r>
      <w:r>
        <w:t xml:space="preserve">available where a person lives. Yet the infrastructure that enables mobility —</w:t>
      </w:r>
      <w:r>
        <w:t xml:space="preserve"> </w:t>
      </w:r>
      <w:r>
        <w:t xml:space="preserve">frequent public transit, walkable streets, connected bicycle networks, and,</w:t>
      </w:r>
      <w:r>
        <w:t xml:space="preserve"> </w:t>
      </w:r>
      <w:r>
        <w:t xml:space="preserve">increasingly, electric-vehicle (EV) charging — is not distributed evenly across</w:t>
      </w:r>
      <w:r>
        <w:t xml:space="preserve"> </w:t>
      </w:r>
      <w:r>
        <w:t xml:space="preserve">urban space. Decades of transportation and land-use research have documented</w:t>
      </w:r>
      <w:r>
        <w:t xml:space="preserve"> </w:t>
      </w:r>
      <w:r>
        <w:t xml:space="preserve">that low-income neighborhoods and communities of color frequently experience a</w:t>
      </w:r>
      <w:r>
        <w:t xml:space="preserve"> </w:t>
      </w:r>
      <w:r>
        <w:t xml:space="preserve">“mobility burden”</w:t>
      </w:r>
      <w:r>
        <w:t xml:space="preserve">: longer trips, fewer modal choices, and higher exposure to the</w:t>
      </w:r>
      <w:r>
        <w:t xml:space="preserve"> </w:t>
      </w:r>
      <w:r>
        <w:t xml:space="preserve">costs of car dependence (Litman, 2023; Karner et al., 2020). As cities pursue</w:t>
      </w:r>
      <w:r>
        <w:t xml:space="preserve"> </w:t>
      </w:r>
      <w:r>
        <w:t xml:space="preserve">decarbonization and</w:t>
      </w:r>
      <w:r>
        <w:t xml:space="preserve"> </w:t>
      </w:r>
      <w:r>
        <w:t xml:space="preserve">“20-minute neighborhood”</w:t>
      </w:r>
      <w:r>
        <w:t xml:space="preserve"> </w:t>
      </w:r>
      <w:r>
        <w:t xml:space="preserve">goals, the question of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benefits from new mobility investment — and who is left behind — has moved to</w:t>
      </w:r>
      <w:r>
        <w:t xml:space="preserve"> </w:t>
      </w:r>
      <w:r>
        <w:t xml:space="preserve">the center of transportation policy.</w:t>
      </w:r>
    </w:p>
    <w:p>
      <w:pPr>
        <w:pStyle w:val="BodyText"/>
      </w:pPr>
      <w:r>
        <w:t xml:space="preserve">The challenge for planners and researchers is that mobility equity is</w:t>
      </w:r>
      <w:r>
        <w:t xml:space="preserve"> </w:t>
      </w:r>
      <w:r>
        <w:t xml:space="preserve">multidimensional and spatially heterogeneous. A neighborhood may enjoy excellent</w:t>
      </w:r>
      <w:r>
        <w:t xml:space="preserve"> </w:t>
      </w:r>
      <w:r>
        <w:t xml:space="preserve">bus service but lack safe cycling infrastructure; another may be highly walkable</w:t>
      </w:r>
      <w:r>
        <w:t xml:space="preserve"> </w:t>
      </w:r>
      <w:r>
        <w:t xml:space="preserve">yet far from any fast EV charger as the vehicle fleet electrifies. Existing</w:t>
      </w:r>
      <w:r>
        <w:t xml:space="preserve"> </w:t>
      </w:r>
      <w:r>
        <w:t xml:space="preserve">public tools tend to measure one dimension at a time. The U.S. EPA’s Smart</w:t>
      </w:r>
      <w:r>
        <w:t xml:space="preserve"> </w:t>
      </w:r>
      <w:r>
        <w:t xml:space="preserve">Location Database characterizes the built environment and walkability; the U.S.</w:t>
      </w:r>
      <w:r>
        <w:t xml:space="preserve"> </w:t>
      </w:r>
      <w:r>
        <w:t xml:space="preserve">Department of Energy’s Alternative Fuels Data Center (AFDC) inventories charging</w:t>
      </w:r>
      <w:r>
        <w:t xml:space="preserve"> </w:t>
      </w:r>
      <w:r>
        <w:t xml:space="preserve">stations; transit agencies publish service data through the General Transit Feed</w:t>
      </w:r>
      <w:r>
        <w:t xml:space="preserve"> </w:t>
      </w:r>
      <w:r>
        <w:t xml:space="preserve">Specification (GTFS). No widely-used, reproducible tool combines these supply-side</w:t>
      </w:r>
      <w:r>
        <w:t xml:space="preserve"> </w:t>
      </w:r>
      <w:r>
        <w:t xml:space="preserve">layers into a single, neighborhood-level measure of mobility access that can be</w:t>
      </w:r>
      <w:r>
        <w:t xml:space="preserve"> </w:t>
      </w:r>
      <w:r>
        <w:t xml:space="preserve">compared across cities and cross-referenced against demographic disadvantage.</w:t>
      </w:r>
    </w:p>
    <w:bookmarkEnd w:id="9"/>
    <w:bookmarkStart w:id="10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This project addresses that gap by constructing a</w:t>
      </w:r>
      <w:r>
        <w:t xml:space="preserve"> </w:t>
      </w:r>
      <w:r>
        <w:rPr>
          <w:b/>
          <w:bCs/>
        </w:rPr>
        <w:t xml:space="preserve">Mobility Equity Score (MES)</w:t>
      </w:r>
      <w:r>
        <w:t xml:space="preserve"> </w:t>
      </w:r>
      <w:r>
        <w:t xml:space="preserve">— a composite 0–100 index computed at the U.S. Census tract level that</w:t>
      </w:r>
      <w:r>
        <w:t xml:space="preserve"> </w:t>
      </w:r>
      <w:r>
        <w:t xml:space="preserve">integrates four mobility dimensions (transit access, walkability, bicycle</w:t>
      </w:r>
      <w:r>
        <w:t xml:space="preserve"> </w:t>
      </w:r>
      <w:r>
        <w:t xml:space="preserve">infrastructure, and EV-charging access) and by delivering an</w:t>
      </w:r>
      <w:r>
        <w:t xml:space="preserve"> </w:t>
      </w:r>
      <w:r>
        <w:rPr>
          <w:b/>
          <w:bCs/>
        </w:rPr>
        <w:t xml:space="preserve">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that lets analysts and policymakers explore the score, identify</w:t>
      </w:r>
      <w:r>
        <w:t xml:space="preserve"> </w:t>
      </w:r>
      <w:r>
        <w:t xml:space="preserve">“mobility deserts,”</w:t>
      </w:r>
      <w:r>
        <w:t xml:space="preserve"> </w:t>
      </w:r>
      <w:r>
        <w:t xml:space="preserve">and examine how mobility access correlates with</w:t>
      </w:r>
      <w:r>
        <w:t xml:space="preserve"> </w:t>
      </w:r>
      <w:r>
        <w:t xml:space="preserve">neighborhood demographics. The work is explicitly</w:t>
      </w:r>
      <w:r>
        <w:t xml:space="preserve"> </w:t>
      </w:r>
      <w:r>
        <w:rPr>
          <w:i/>
          <w:iCs/>
        </w:rPr>
        <w:t xml:space="preserve">supply-side</w:t>
      </w:r>
      <w:r>
        <w:t xml:space="preserve">: it measures the</w:t>
      </w:r>
      <w:r>
        <w:t xml:space="preserve"> </w:t>
      </w:r>
      <w:r>
        <w:t xml:space="preserve">infrastructure made available to a neighborhood, not the travel behavior or</w:t>
      </w:r>
      <w:r>
        <w:t xml:space="preserve"> </w:t>
      </w:r>
      <w:r>
        <w:t xml:space="preserve">realized accessibility of its residents. This scope is a deliberate, stated</w:t>
      </w:r>
      <w:r>
        <w:t xml:space="preserve"> </w:t>
      </w:r>
      <w:r>
        <w:t xml:space="preserve">limitation (§5) and shapes the interpretation of every result.</w:t>
      </w:r>
    </w:p>
    <w:bookmarkEnd w:id="10"/>
    <w:bookmarkStart w:id="11" w:name="research-questions"/>
    <w:p>
      <w:pPr>
        <w:pStyle w:val="Heading3"/>
      </w:pPr>
      <w:r>
        <w:t xml:space="preserve">1.3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Measurement.</w:t>
      </w:r>
      <w:r>
        <w:t xml:space="preserve"> </w:t>
      </w:r>
      <w:r>
        <w:t xml:space="preserve">Can heterogeneous, publicly-available mobility datasets be</w:t>
      </w:r>
      <w:r>
        <w:t xml:space="preserve"> </w:t>
      </w:r>
      <w:r>
        <w:t xml:space="preserve">integrated into a single, transparent, tract-level composite index that is</w:t>
      </w:r>
      <w:r>
        <w:t xml:space="preserve"> </w:t>
      </w:r>
      <w:r>
        <w:t xml:space="preserve">reproducible and comparable across cities?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Distribution.</w:t>
      </w:r>
      <w:r>
        <w:t xml:space="preserve"> </w:t>
      </w:r>
      <w:r>
        <w:t xml:space="preserve">How is mobility infrastructure spatially distributed within</w:t>
      </w:r>
      <w:r>
        <w:t xml:space="preserve"> </w:t>
      </w:r>
      <w:r>
        <w:t xml:space="preserve">each study city, and where are the</w:t>
      </w:r>
      <w:r>
        <w:t xml:space="preserve"> </w:t>
      </w:r>
      <w:r>
        <w:t xml:space="preserve">“mobility deserts”</w:t>
      </w:r>
      <w:r>
        <w:t xml:space="preserve"> </w:t>
      </w:r>
      <w:r>
        <w:t xml:space="preserve">(tracts in the bottom</w:t>
      </w:r>
      <w:r>
        <w:t xml:space="preserve"> </w:t>
      </w:r>
      <w:r>
        <w:t xml:space="preserve">quartile of the MES) and</w:t>
      </w:r>
      <w:r>
        <w:t xml:space="preserve"> </w:t>
      </w:r>
      <w:r>
        <w:t xml:space="preserve">“compounded deserts”</w:t>
      </w:r>
      <w:r>
        <w:t xml:space="preserve"> </w:t>
      </w:r>
      <w:r>
        <w:t xml:space="preserve">(bottom quartile on two or more</w:t>
      </w:r>
      <w:r>
        <w:t xml:space="preserve"> </w:t>
      </w:r>
      <w:r>
        <w:t xml:space="preserve">dimensions)?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Equity.</w:t>
      </w:r>
      <w:r>
        <w:t xml:space="preserve"> </w:t>
      </w:r>
      <w:r>
        <w:t xml:space="preserve">Is the MES associated with neighborhood demographic</w:t>
      </w:r>
      <w:r>
        <w:t xml:space="preserve"> </w:t>
      </w:r>
      <w:r>
        <w:t xml:space="preserve">characteristics — median household income, racial composition, vehicle</w:t>
      </w:r>
      <w:r>
        <w:t xml:space="preserve"> </w:t>
      </w:r>
      <w:r>
        <w:t xml:space="preserve">access, and tenure — and in what direction and magnitude?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Robustness.</w:t>
      </w:r>
      <w:r>
        <w:t xml:space="preserve"> </w:t>
      </w:r>
      <w:r>
        <w:t xml:space="preserve">Are the conclusions sensitive to methodological choices,</w:t>
      </w:r>
      <w:r>
        <w:t xml:space="preserve"> </w:t>
      </w:r>
      <w:r>
        <w:t xml:space="preserve">specifically the weighting of sub-indices and the percentile threshold used</w:t>
      </w:r>
      <w:r>
        <w:t xml:space="preserve"> </w:t>
      </w:r>
      <w:r>
        <w:t xml:space="preserve">to define a mobility desert?</w:t>
      </w:r>
    </w:p>
    <w:bookmarkEnd w:id="11"/>
    <w:bookmarkStart w:id="12" w:name="objectives"/>
    <w:p>
      <w:pPr>
        <w:pStyle w:val="Heading3"/>
      </w:pPr>
      <w:r>
        <w:t xml:space="preserve">1.4 Objectives</w:t>
      </w:r>
    </w:p>
    <w:p>
      <w:pPr>
        <w:pStyle w:val="Compact"/>
        <w:numPr>
          <w:ilvl w:val="0"/>
          <w:numId w:val="1002"/>
        </w:numPr>
      </w:pPr>
      <w:r>
        <w:t xml:space="preserve">Build a modular, documented Python pipeline that ingests eight public data</w:t>
      </w:r>
      <w:r>
        <w:t xml:space="preserve"> </w:t>
      </w:r>
      <w:r>
        <w:t xml:space="preserve">sources and produces tract-level sub-indices for four mobility dimensions.</w:t>
      </w:r>
    </w:p>
    <w:p>
      <w:pPr>
        <w:pStyle w:val="Compact"/>
        <w:numPr>
          <w:ilvl w:val="0"/>
          <w:numId w:val="1002"/>
        </w:numPr>
      </w:pPr>
      <w:r>
        <w:t xml:space="preserve">Define and compute the MES under a transparent normalization and weighting</w:t>
      </w:r>
      <w:r>
        <w:t xml:space="preserve"> </w:t>
      </w:r>
      <w:r>
        <w:t xml:space="preserve">scheme, with mobility-desert and compounded-desert classifications.</w:t>
      </w:r>
    </w:p>
    <w:p>
      <w:pPr>
        <w:pStyle w:val="Compact"/>
        <w:numPr>
          <w:ilvl w:val="0"/>
          <w:numId w:val="1002"/>
        </w:numPr>
      </w:pPr>
      <w:r>
        <w:t xml:space="preserve">Quantify the relationship between the MES and demographic disadvantage using</w:t>
      </w:r>
      <w:r>
        <w:t xml:space="preserve"> </w:t>
      </w:r>
      <w:r>
        <w:t xml:space="preserve">correlation analysis, and characterize spatial clustering using spatial</w:t>
      </w:r>
      <w:r>
        <w:t xml:space="preserve"> </w:t>
      </w:r>
      <w:r>
        <w:t xml:space="preserve">autocorrelation and unsupervised clustering.</w:t>
      </w:r>
    </w:p>
    <w:p>
      <w:pPr>
        <w:pStyle w:val="Compact"/>
        <w:numPr>
          <w:ilvl w:val="0"/>
          <w:numId w:val="1002"/>
        </w:numPr>
      </w:pPr>
      <w:r>
        <w:t xml:space="preserve">Test robustness through weighting-scheme and threshold sensitivity analyses.</w:t>
      </w:r>
    </w:p>
    <w:p>
      <w:pPr>
        <w:pStyle w:val="Compact"/>
        <w:numPr>
          <w:ilvl w:val="0"/>
          <w:numId w:val="1002"/>
        </w:numPr>
      </w:pPr>
      <w:r>
        <w:t xml:space="preserve">Deliver an interactive Plotly Dash dashboard for exploration and comparison,</w:t>
      </w:r>
      <w:r>
        <w:t xml:space="preserve"> </w:t>
      </w:r>
      <w:r>
        <w:t xml:space="preserve">plus static figures and tables suitable for an academic report and policy</w:t>
      </w:r>
      <w:r>
        <w:t xml:space="preserve"> </w:t>
      </w:r>
      <w:r>
        <w:t xml:space="preserve">brief.</w:t>
      </w:r>
    </w:p>
    <w:bookmarkEnd w:id="12"/>
    <w:bookmarkStart w:id="13" w:name="scope-and-significance"/>
    <w:p>
      <w:pPr>
        <w:pStyle w:val="Heading3"/>
      </w:pPr>
      <w:r>
        <w:t xml:space="preserve">1.5 Scope and Significance</w:t>
      </w:r>
    </w:p>
    <w:p>
      <w:pPr>
        <w:pStyle w:val="FirstParagraph"/>
      </w:pPr>
      <w:r>
        <w:t xml:space="preserve">The Phase-1 study covers three structurally different U.S. cities — Chicago</w:t>
      </w:r>
      <w:r>
        <w:t xml:space="preserve"> </w:t>
      </w:r>
      <w:r>
        <w:t xml:space="preserve">(mature, high transit), Houston (auto-oriented, sprawling), and Seattle</w:t>
      </w:r>
      <w:r>
        <w:t xml:space="preserve"> </w:t>
      </w:r>
      <w:r>
        <w:t xml:space="preserve">(progressive transit and EV investment) — chosen to stress-test the method</w:t>
      </w:r>
      <w:r>
        <w:t xml:space="preserve"> </w:t>
      </w:r>
      <w:r>
        <w:t xml:space="preserve">across mobility regimes. The contribution is threefold: (i) a</w:t>
      </w:r>
      <w:r>
        <w:t xml:space="preserve"> </w:t>
      </w:r>
      <w:r>
        <w:rPr>
          <w:i/>
          <w:iCs/>
        </w:rPr>
        <w:t xml:space="preserve">reproducible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of mobility datasets that are usually analyzed in isolation; (ii) a</w:t>
      </w:r>
      <w:r>
        <w:t xml:space="preserve"> </w:t>
      </w:r>
      <w:r>
        <w:rPr>
          <w:i/>
          <w:iCs/>
        </w:rPr>
        <w:t xml:space="preserve">composite equity metric</w:t>
      </w:r>
      <w:r>
        <w:t xml:space="preserve"> </w:t>
      </w:r>
      <w:r>
        <w:t xml:space="preserve">with explicit, testable methodological choices; and</w:t>
      </w:r>
      <w:r>
        <w:t xml:space="preserve"> </w:t>
      </w:r>
      <w:r>
        <w:t xml:space="preserve">(iii) a</w:t>
      </w:r>
      <w:r>
        <w:t xml:space="preserve"> </w:t>
      </w:r>
      <w:r>
        <w:rPr>
          <w:i/>
          <w:iCs/>
        </w:rPr>
        <w:t xml:space="preserve">decision-support dashboard</w:t>
      </w:r>
      <w:r>
        <w:t xml:space="preserve"> </w:t>
      </w:r>
      <w:r>
        <w:t xml:space="preserve">that translates the analysis for</w:t>
      </w:r>
      <w:r>
        <w:t xml:space="preserve"> </w:t>
      </w:r>
      <w:r>
        <w:t xml:space="preserve">non-technical stakeholders. The significance is practical — the tool can help</w:t>
      </w:r>
      <w:r>
        <w:t xml:space="preserve"> </w:t>
      </w:r>
      <w:r>
        <w:t xml:space="preserve">agencies prioritize investment toward under-served neighborhoods — and</w:t>
      </w:r>
      <w:r>
        <w:t xml:space="preserve"> </w:t>
      </w:r>
      <w:r>
        <w:t xml:space="preserve">methodological, in demonstrating how open data and modern geospatial tooling can</w:t>
      </w:r>
      <w:r>
        <w:t xml:space="preserve"> </w:t>
      </w:r>
      <w:r>
        <w:t xml:space="preserve">operationalize</w:t>
      </w:r>
      <w:r>
        <w:t xml:space="preserve"> </w:t>
      </w:r>
      <w:r>
        <w:t xml:space="preserve">“mobility justice”</w:t>
      </w:r>
      <w:r>
        <w:t xml:space="preserve"> </w:t>
      </w:r>
      <w:r>
        <w:t xml:space="preserve">concepts at scale.</w:t>
      </w:r>
    </w:p>
    <w:bookmarkEnd w:id="13"/>
    <w:bookmarkStart w:id="14" w:name="organization-of-the-report"/>
    <w:p>
      <w:pPr>
        <w:pStyle w:val="Heading3"/>
      </w:pPr>
      <w:r>
        <w:t xml:space="preserve">1.6 Organization of the Report</w:t>
      </w:r>
    </w:p>
    <w:p>
      <w:pPr>
        <w:pStyle w:val="FirstParagraph"/>
      </w:pPr>
      <w:r>
        <w:t xml:space="preserve">Chapter 2 reviews the literature on transportation equity, composite indicator</w:t>
      </w:r>
      <w:r>
        <w:t xml:space="preserve"> </w:t>
      </w:r>
      <w:r>
        <w:t xml:space="preserve">construction, and the four mobility dimensions. Chapter 3 specifies the</w:t>
      </w:r>
      <w:r>
        <w:t xml:space="preserve"> </w:t>
      </w:r>
      <w:r>
        <w:t xml:space="preserve">methodology in full: study-area selection, data sources, preprocessing,</w:t>
      </w:r>
      <w:r>
        <w:t xml:space="preserve"> </w:t>
      </w:r>
      <w:r>
        <w:t xml:space="preserve">sub-index computation, normalization and MES construction, weighting and</w:t>
      </w:r>
      <w:r>
        <w:t xml:space="preserve"> </w:t>
      </w:r>
      <w:r>
        <w:t xml:space="preserve">threshold sensitivity, and the statistical and dashboard methods. Chapters 4 and</w:t>
      </w:r>
      <w:r>
        <w:t xml:space="preserve"> </w:t>
      </w:r>
      <w:r>
        <w:t xml:space="preserve">5 (forthcoming) present results and discussion.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chapter-2-literature-review"/>
    <w:p>
      <w:pPr>
        <w:pStyle w:val="Heading2"/>
      </w:pPr>
      <w:r>
        <w:t xml:space="preserve">Chapter 2 — Literature Review</w:t>
      </w:r>
    </w:p>
    <w:bookmarkStart w:id="16" w:name="X14be52d348480ac0fea8f0873d20a64c75257f9"/>
    <w:p>
      <w:pPr>
        <w:pStyle w:val="Heading3"/>
      </w:pPr>
      <w:r>
        <w:t xml:space="preserve">2.1 Transportation Equity and Mobility Justice</w:t>
      </w:r>
    </w:p>
    <w:p>
      <w:pPr>
        <w:pStyle w:val="FirstParagraph"/>
      </w:pPr>
      <w:r>
        <w:t xml:space="preserve">Transportation equity scholarship distinguishes</w:t>
      </w:r>
      <w:r>
        <w:t xml:space="preserve"> </w:t>
      </w:r>
      <w:r>
        <w:rPr>
          <w:i/>
          <w:iCs/>
        </w:rPr>
        <w:t xml:space="preserve">horizontal equity</w:t>
      </w:r>
      <w:r>
        <w:t xml:space="preserve"> </w:t>
      </w:r>
      <w:r>
        <w:t xml:space="preserve">(equal</w:t>
      </w:r>
      <w:r>
        <w:t xml:space="preserve"> </w:t>
      </w:r>
      <w:r>
        <w:t xml:space="preserve">treatment of equals) from</w:t>
      </w:r>
      <w:r>
        <w:t xml:space="preserve"> </w:t>
      </w:r>
      <w:r>
        <w:rPr>
          <w:i/>
          <w:iCs/>
        </w:rPr>
        <w:t xml:space="preserve">vertical equity</w:t>
      </w:r>
      <w:r>
        <w:t xml:space="preserve"> </w:t>
      </w:r>
      <w:r>
        <w:t xml:space="preserve">(favoring the disadvantaged), and</w:t>
      </w:r>
      <w:r>
        <w:t xml:space="preserve"> </w:t>
      </w:r>
      <w:r>
        <w:t xml:space="preserve">increasingly frames access to mobility as a matter of justice rather than mere</w:t>
      </w:r>
      <w:r>
        <w:t xml:space="preserve"> </w:t>
      </w:r>
      <w:r>
        <w:t xml:space="preserve">efficiency (Martens, 2017; Litman, 2023). Karner et al. (2020) synthesize the</w:t>
      </w:r>
      <w:r>
        <w:t xml:space="preserve"> </w:t>
      </w:r>
      <w:r>
        <w:t xml:space="preserve">field and argue for distributional analyses that pair infrastructure or service</w:t>
      </w:r>
      <w:r>
        <w:t xml:space="preserve"> </w:t>
      </w:r>
      <w:r>
        <w:t xml:space="preserve">measures with demographic data at fine spatial resolution — precisely the design</w:t>
      </w:r>
      <w:r>
        <w:t xml:space="preserve"> </w:t>
      </w:r>
      <w:r>
        <w:t xml:space="preserve">adopted here. The</w:t>
      </w:r>
      <w:r>
        <w:t xml:space="preserve"> </w:t>
      </w:r>
      <w:r>
        <w:t xml:space="preserve">“mobility justice”</w:t>
      </w:r>
      <w:r>
        <w:t xml:space="preserve"> </w:t>
      </w:r>
      <w:r>
        <w:t xml:space="preserve">literature (Sheller, 2018) further situates</w:t>
      </w:r>
      <w:r>
        <w:t xml:space="preserve"> </w:t>
      </w:r>
      <w:r>
        <w:t xml:space="preserve">transportation access within broader patterns of spatial and social inequality,</w:t>
      </w:r>
      <w:r>
        <w:t xml:space="preserve"> </w:t>
      </w:r>
      <w:r>
        <w:t xml:space="preserve">motivating the cross-referencing of the MES against income, race, vehicle</w:t>
      </w:r>
      <w:r>
        <w:t xml:space="preserve"> </w:t>
      </w:r>
      <w:r>
        <w:t xml:space="preserve">access, and tenure.</w:t>
      </w:r>
    </w:p>
    <w:p>
      <w:pPr>
        <w:pStyle w:val="BodyText"/>
      </w:pPr>
      <w:r>
        <w:t xml:space="preserve">A persistent methodological tension is between</w:t>
      </w:r>
      <w:r>
        <w:t xml:space="preserve"> </w:t>
      </w:r>
      <w:r>
        <w:rPr>
          <w:i/>
          <w:iCs/>
        </w:rPr>
        <w:t xml:space="preserve">accessibility</w:t>
      </w:r>
      <w:r>
        <w:t xml:space="preserve"> </w:t>
      </w:r>
      <w:r>
        <w:t xml:space="preserve">measures</w:t>
      </w:r>
      <w:r>
        <w:t xml:space="preserve"> </w:t>
      </w:r>
      <w:r>
        <w:t xml:space="preserve">(opportunities reachable within a travel-time budget; Levine et al., 2012) and</w:t>
      </w:r>
      <w:r>
        <w:t xml:space="preserve"> </w:t>
      </w:r>
      <w:r>
        <w:rPr>
          <w:i/>
          <w:iCs/>
        </w:rPr>
        <w:t xml:space="preserve">supply</w:t>
      </w:r>
      <w:r>
        <w:t xml:space="preserve"> </w:t>
      </w:r>
      <w:r>
        <w:t xml:space="preserve">measures (infrastructure present in or near a place). Accessibility is</w:t>
      </w:r>
      <w:r>
        <w:t xml:space="preserve"> </w:t>
      </w:r>
      <w:r>
        <w:t xml:space="preserve">theoretically richer but data-intensive and behaviorally contingent; supply</w:t>
      </w:r>
      <w:r>
        <w:t xml:space="preserve"> </w:t>
      </w:r>
      <w:r>
        <w:t xml:space="preserve">measures are transparent and reproducible but silent on whether residents can</w:t>
      </w:r>
      <w:r>
        <w:t xml:space="preserve"> </w:t>
      </w:r>
      <w:r>
        <w:t xml:space="preserve">actually use the infrastructure. This project adopts a supply-side framing for</w:t>
      </w:r>
      <w:r>
        <w:t xml:space="preserve"> </w:t>
      </w:r>
      <w:r>
        <w:t xml:space="preserve">reproducibility and cross-city comparability, while explicitly acknowledging the</w:t>
      </w:r>
      <w:r>
        <w:t xml:space="preserve"> </w:t>
      </w:r>
      <w:r>
        <w:t xml:space="preserve">trade-off (§5).</w:t>
      </w:r>
    </w:p>
    <w:bookmarkEnd w:id="16"/>
    <w:bookmarkStart w:id="17" w:name="composite-indicators-in-public-policy"/>
    <w:p>
      <w:pPr>
        <w:pStyle w:val="Heading3"/>
      </w:pPr>
      <w:r>
        <w:t xml:space="preserve">2.2 Composite Indicators in Public Policy</w:t>
      </w:r>
    </w:p>
    <w:p>
      <w:pPr>
        <w:pStyle w:val="FirstParagraph"/>
      </w:pPr>
      <w:r>
        <w:t xml:space="preserve">Composite indicators compress multiple variables into a single, communicable</w:t>
      </w:r>
      <w:r>
        <w:t xml:space="preserve"> </w:t>
      </w:r>
      <w:r>
        <w:t xml:space="preserve">number; the OECD/JRC</w:t>
      </w:r>
      <w:r>
        <w:t xml:space="preserve"> </w:t>
      </w:r>
      <w:r>
        <w:rPr>
          <w:i/>
          <w:iCs/>
        </w:rPr>
        <w:t xml:space="preserve">Handbook on Constructing Composite Indicators</w:t>
      </w:r>
      <w:r>
        <w:t xml:space="preserve"> </w:t>
      </w:r>
      <w:r>
        <w:t xml:space="preserve">(Nardo et</w:t>
      </w:r>
      <w:r>
        <w:t xml:space="preserve"> </w:t>
      </w:r>
      <w:r>
        <w:t xml:space="preserve">al., 2008) is the canonical methodological reference and structures the choices</w:t>
      </w:r>
      <w:r>
        <w:t xml:space="preserve"> </w:t>
      </w:r>
      <w:r>
        <w:t xml:space="preserve">made in Chapter 3: framework definition, data selection, treatment of missing</w:t>
      </w:r>
      <w:r>
        <w:t xml:space="preserve"> </w:t>
      </w:r>
      <w:r>
        <w:t xml:space="preserve">data, normalization, weighting and aggregation, and robustness/sensitivity</w:t>
      </w:r>
      <w:r>
        <w:t xml:space="preserve"> </w:t>
      </w:r>
      <w:r>
        <w:t xml:space="preserve">analysis. The handbook stresses that normalization and weighting are value-laden</w:t>
      </w:r>
      <w:r>
        <w:t xml:space="preserve"> </w:t>
      </w:r>
      <w:r>
        <w:t xml:space="preserve">and that any composite must be accompanied by uncertainty and sensitivity</w:t>
      </w:r>
      <w:r>
        <w:t xml:space="preserve"> </w:t>
      </w:r>
      <w:r>
        <w:t xml:space="preserve">analysis — a requirement this study meets through its weighting-scheme and</w:t>
      </w:r>
      <w:r>
        <w:t xml:space="preserve"> </w:t>
      </w:r>
      <w:r>
        <w:t xml:space="preserve">threshold tests (§3.6, §3.7). Well-known applied examples (e.g., the UNDP Human</w:t>
      </w:r>
      <w:r>
        <w:t xml:space="preserve"> </w:t>
      </w:r>
      <w:r>
        <w:t xml:space="preserve">Development Index; the CDC/ATSDR Social Vulnerability Index) demonstrate both the</w:t>
      </w:r>
      <w:r>
        <w:t xml:space="preserve"> </w:t>
      </w:r>
      <w:r>
        <w:t xml:space="preserve">communicative power and the contestability of composites, reinforcing the need</w:t>
      </w:r>
      <w:r>
        <w:t xml:space="preserve"> </w:t>
      </w:r>
      <w:r>
        <w:t xml:space="preserve">for transparency about every modeling decision.</w:t>
      </w:r>
    </w:p>
    <w:bookmarkEnd w:id="17"/>
    <w:bookmarkStart w:id="18" w:name="the-four-mobility-dimensions"/>
    <w:p>
      <w:pPr>
        <w:pStyle w:val="Heading3"/>
      </w:pPr>
      <w:r>
        <w:t xml:space="preserve">2.3 The Four Mobility Dimensions</w:t>
      </w:r>
    </w:p>
    <w:p>
      <w:pPr>
        <w:pStyle w:val="FirstParagraph"/>
      </w:pPr>
      <w:r>
        <w:rPr>
          <w:b/>
          <w:bCs/>
        </w:rPr>
        <w:t xml:space="preserve">Transit access.</w:t>
      </w:r>
      <w:r>
        <w:t xml:space="preserve"> </w:t>
      </w:r>
      <w:r>
        <w:t xml:space="preserve">Service quality is commonly proxied by stop density,</w:t>
      </w:r>
      <w:r>
        <w:t xml:space="preserve"> </w:t>
      </w:r>
      <w:r>
        <w:t xml:space="preserve">frequency (trips per hour), and span of service, computed from GTFS feeds within</w:t>
      </w:r>
      <w:r>
        <w:t xml:space="preserve"> </w:t>
      </w:r>
      <w:r>
        <w:t xml:space="preserve">a walkable buffer of residences (typically 0.25–0.5 mi). GTFS has become the de</w:t>
      </w:r>
      <w:r>
        <w:t xml:space="preserve"> </w:t>
      </w:r>
      <w:r>
        <w:t xml:space="preserve">facto standard for transit supply analysis, and open libraries now make</w:t>
      </w:r>
      <w:r>
        <w:t xml:space="preserve"> </w:t>
      </w:r>
      <w:r>
        <w:t xml:space="preserve">feed-level frequency computation tractable.</w:t>
      </w:r>
    </w:p>
    <w:p>
      <w:pPr>
        <w:pStyle w:val="BodyText"/>
      </w:pPr>
      <w:r>
        <w:rPr>
          <w:b/>
          <w:bCs/>
        </w:rPr>
        <w:t xml:space="preserve">Walkability.</w:t>
      </w:r>
      <w:r>
        <w:t xml:space="preserve"> </w:t>
      </w:r>
      <w:r>
        <w:t xml:space="preserve">The EPA Smart Location Database (SLD) provides the National</w:t>
      </w:r>
      <w:r>
        <w:t xml:space="preserve"> </w:t>
      </w:r>
      <w:r>
        <w:t xml:space="preserve">Walkability Index (</w:t>
      </w:r>
      <w:r>
        <w:rPr>
          <w:rStyle w:val="VerbatimChar"/>
        </w:rPr>
        <w:t xml:space="preserve">NatWalkInd</w:t>
      </w:r>
      <w:r>
        <w:t xml:space="preserve">, 1–20), a block-group measure built from</w:t>
      </w:r>
      <w:r>
        <w:t xml:space="preserve"> </w:t>
      </w:r>
      <w:r>
        <w:t xml:space="preserve">intersection density, transit proximity, and employment/household mix. It is the</w:t>
      </w:r>
      <w:r>
        <w:t xml:space="preserve"> </w:t>
      </w:r>
      <w:r>
        <w:t xml:space="preserve">most widely-used national, consistently-computed walkability measure and is</w:t>
      </w:r>
      <w:r>
        <w:t xml:space="preserve"> </w:t>
      </w:r>
      <w:r>
        <w:t xml:space="preserve">adopted here directly, with areal interpolation to harmonize its 2019-vintage</w:t>
      </w:r>
      <w:r>
        <w:t xml:space="preserve"> </w:t>
      </w:r>
      <w:r>
        <w:t xml:space="preserve">block groups to the study’s 2023 tracts (§3.3).</w:t>
      </w:r>
    </w:p>
    <w:p>
      <w:pPr>
        <w:pStyle w:val="BodyText"/>
      </w:pPr>
      <w:r>
        <w:rPr>
          <w:b/>
          <w:bCs/>
        </w:rPr>
        <w:t xml:space="preserve">Bicycle infrastructure.</w:t>
      </w:r>
      <w:r>
        <w:t xml:space="preserve"> </w:t>
      </w:r>
      <w:r>
        <w:t xml:space="preserve">OpenStreetMap (OSM), accessed via the OSMnx library</w:t>
      </w:r>
      <w:r>
        <w:t xml:space="preserve"> </w:t>
      </w:r>
      <w:r>
        <w:t xml:space="preserve">(Boeing, 2017), is the standard open source for bicycle-network extraction.</w:t>
      </w:r>
      <w:r>
        <w:t xml:space="preserve"> </w:t>
      </w:r>
      <w:r>
        <w:t xml:space="preserve">Dedicated infrastructure (cycleways, paths, tracks, and marked on-street lanes)</w:t>
      </w:r>
      <w:r>
        <w:t xml:space="preserve"> </w:t>
      </w:r>
      <w:r>
        <w:t xml:space="preserve">can be filtered from the cyclable network and summarized as lane length per unit</w:t>
      </w:r>
      <w:r>
        <w:t xml:space="preserve"> </w:t>
      </w:r>
      <w:r>
        <w:t xml:space="preserve">area, a common supply proxy for bikeability.</w:t>
      </w:r>
    </w:p>
    <w:p>
      <w:pPr>
        <w:pStyle w:val="BodyText"/>
      </w:pPr>
      <w:r>
        <w:rPr>
          <w:b/>
          <w:bCs/>
        </w:rPr>
        <w:t xml:space="preserve">EV-charging access.</w:t>
      </w:r>
      <w:r>
        <w:t xml:space="preserve"> </w:t>
      </w:r>
      <w:r>
        <w:t xml:space="preserve">As fleets electrify, equitable access to public charging</w:t>
      </w:r>
      <w:r>
        <w:t xml:space="preserve"> </w:t>
      </w:r>
      <w:r>
        <w:t xml:space="preserve">— especially DC-fast charging for households without home charging — is an</w:t>
      </w:r>
      <w:r>
        <w:t xml:space="preserve"> </w:t>
      </w:r>
      <w:r>
        <w:t xml:space="preserve">emerging equity concern. The DOE/NREL AFDC is the authoritative U.S. inventory</w:t>
      </w:r>
      <w:r>
        <w:t xml:space="preserve"> </w:t>
      </w:r>
      <w:r>
        <w:t xml:space="preserve">of public stations and supports density and proximity measures at the</w:t>
      </w:r>
      <w:r>
        <w:t xml:space="preserve"> </w:t>
      </w:r>
      <w:r>
        <w:t xml:space="preserve">neighborhood scale.</w:t>
      </w:r>
    </w:p>
    <w:bookmarkEnd w:id="18"/>
    <w:bookmarkStart w:id="19" w:name="spatial-analysis-methods"/>
    <w:p>
      <w:pPr>
        <w:pStyle w:val="Heading3"/>
      </w:pPr>
      <w:r>
        <w:t xml:space="preserve">2.4 Spatial Analysis Methods</w:t>
      </w:r>
    </w:p>
    <w:p>
      <w:pPr>
        <w:pStyle w:val="FirstParagraph"/>
      </w:pPr>
      <w:r>
        <w:t xml:space="preserve">Because mobility infrastructure is spatially structured, the analysis employs</w:t>
      </w:r>
      <w:r>
        <w:t xml:space="preserve"> </w:t>
      </w:r>
      <w:r>
        <w:t xml:space="preserve">established spatial-statistical tools. Global and local Moran’s I (Anselin,</w:t>
      </w:r>
      <w:r>
        <w:t xml:space="preserve"> </w:t>
      </w:r>
      <w:r>
        <w:t xml:space="preserve">1995), implemented in the PySAL ecosystem (Rey &amp; Anselin, 2007), test whether</w:t>
      </w:r>
      <w:r>
        <w:t xml:space="preserve"> </w:t>
      </w:r>
      <w:r>
        <w:t xml:space="preserve">MES values cluster in space and locate statistically significant</w:t>
      </w:r>
      <w:r>
        <w:t xml:space="preserve"> </w:t>
      </w:r>
      <w:r>
        <w:t xml:space="preserve">low-low</w:t>
      </w:r>
      <w:r>
        <w:t xml:space="preserve"> </w:t>
      </w:r>
      <w:r>
        <w:t xml:space="preserve">“cold spots.”</w:t>
      </w:r>
      <w:r>
        <w:t xml:space="preserve"> </w:t>
      </w:r>
      <w:r>
        <w:t xml:space="preserve">Unsupervised K-means clustering with silhouette-based model</w:t>
      </w:r>
      <w:r>
        <w:t xml:space="preserve"> </w:t>
      </w:r>
      <w:r>
        <w:t xml:space="preserve">selection (Rousseeuw, 1987) is used to derive an interpretable typology of</w:t>
      </w:r>
      <w:r>
        <w:t xml:space="preserve"> </w:t>
      </w:r>
      <w:r>
        <w:t xml:space="preserve">neighborhood mobility profiles, complementing the single-number MES with a</w:t>
      </w:r>
      <w:r>
        <w:t xml:space="preserve"> </w:t>
      </w:r>
      <w:r>
        <w:t xml:space="preserve">multidimensional classification.</w:t>
      </w:r>
    </w:p>
    <w:bookmarkEnd w:id="19"/>
    <w:bookmarkStart w:id="20" w:name="existing-tools-and-the-gap-addressed"/>
    <w:p>
      <w:pPr>
        <w:pStyle w:val="Heading3"/>
      </w:pPr>
      <w:r>
        <w:t xml:space="preserve">2.5 Existing Tools and the Gap Addressed</w:t>
      </w:r>
    </w:p>
    <w:p>
      <w:pPr>
        <w:pStyle w:val="FirstParagraph"/>
      </w:pPr>
      <w:r>
        <w:t xml:space="preserve">Agencies and researchers can consult the EPA SLD for walkability, the AFDC for</w:t>
      </w:r>
      <w:r>
        <w:t xml:space="preserve"> </w:t>
      </w:r>
      <w:r>
        <w:t xml:space="preserve">chargers, transit agencies’ GTFS for service, and bespoke bike-network analyses.</w:t>
      </w:r>
      <w:r>
        <w:t xml:space="preserve"> </w:t>
      </w:r>
      <w:r>
        <w:t xml:space="preserve">National equity screening tools (e.g., the USDOT Equitable Transportation</w:t>
      </w:r>
      <w:r>
        <w:t xml:space="preserve"> </w:t>
      </w:r>
      <w:r>
        <w:t xml:space="preserve">Community Explorer; the CDC Social Vulnerability Index) provide disadvantage</w:t>
      </w:r>
      <w:r>
        <w:t xml:space="preserve"> </w:t>
      </w:r>
      <w:r>
        <w:t xml:space="preserve">indices but are not mobility-infrastructure composites at tract level across</w:t>
      </w:r>
      <w:r>
        <w:t xml:space="preserve"> </w:t>
      </w:r>
      <w:r>
        <w:t xml:space="preserve">modes. The gap this project fills is an</w:t>
      </w:r>
      <w:r>
        <w:t xml:space="preserve"> </w:t>
      </w:r>
      <w:r>
        <w:rPr>
          <w:i/>
          <w:iCs/>
        </w:rPr>
        <w:t xml:space="preserve">integrated, reproducible,</w:t>
      </w:r>
      <w:r>
        <w:rPr>
          <w:i/>
          <w:iCs/>
        </w:rPr>
        <w:t xml:space="preserve"> </w:t>
      </w:r>
      <w:r>
        <w:rPr>
          <w:i/>
          <w:iCs/>
        </w:rPr>
        <w:t xml:space="preserve">cross-city, multi-modal</w:t>
      </w:r>
      <w:r>
        <w:t xml:space="preserve"> </w:t>
      </w:r>
      <w:r>
        <w:t xml:space="preserve">mobility-supply composite with an exploratory</w:t>
      </w:r>
      <w:r>
        <w:t xml:space="preserve"> </w:t>
      </w:r>
      <w:r>
        <w:t xml:space="preserve">dashboard — bringing the four dimensions into a single comparable frame and</w:t>
      </w:r>
      <w:r>
        <w:t xml:space="preserve"> </w:t>
      </w:r>
      <w:r>
        <w:t xml:space="preserve">pairing them with demographic context.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chapter-3-methodology"/>
    <w:p>
      <w:pPr>
        <w:pStyle w:val="Heading2"/>
      </w:pPr>
      <w:r>
        <w:t xml:space="preserve">Chapter 3 — Methodology</w:t>
      </w:r>
    </w:p>
    <w:bookmarkStart w:id="22" w:name="study-area-selection-and-city-fips-codes"/>
    <w:p>
      <w:pPr>
        <w:pStyle w:val="Heading3"/>
      </w:pPr>
      <w:r>
        <w:t xml:space="preserve">3.1 Study Area Selection and City FIPS Codes</w:t>
      </w:r>
    </w:p>
    <w:p>
      <w:pPr>
        <w:pStyle w:val="FirstParagraph"/>
      </w:pPr>
      <w:r>
        <w:t xml:space="preserve">Three cities were selected to span distinct mobility regimes (Table 3.1). The</w:t>
      </w:r>
      <w:r>
        <w:t xml:space="preserve"> </w:t>
      </w:r>
      <w:r>
        <w:t xml:space="preserve">analytical unit is the 2023 Census tract; counties are identified by FIPS code</w:t>
      </w:r>
      <w:r>
        <w:t xml:space="preserve"> </w:t>
      </w:r>
      <w:r>
        <w:t xml:space="preserve">for data retrieval.</w:t>
      </w:r>
    </w:p>
    <w:p>
      <w:pPr>
        <w:pStyle w:val="BodyText"/>
      </w:pPr>
      <w:r>
        <w:rPr>
          <w:b/>
          <w:bCs/>
        </w:rPr>
        <w:t xml:space="preserve">Table 3.1 — Study cities.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2241"/>
        <w:gridCol w:w="1195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State (FIPS)</w:t>
            </w:r>
          </w:p>
        </w:tc>
        <w:tc>
          <w:tcPr/>
          <w:p>
            <w:pPr>
              <w:pStyle w:val="Compact"/>
            </w:pPr>
            <w:r>
              <w:t xml:space="preserve">County (FIPS)</w:t>
            </w:r>
          </w:p>
        </w:tc>
        <w:tc>
          <w:tcPr/>
          <w:p>
            <w:pPr>
              <w:pStyle w:val="Compact"/>
            </w:pPr>
            <w:r>
              <w:t xml:space="preserve">Tracts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</w:t>
            </w:r>
          </w:p>
        </w:tc>
        <w:tc>
          <w:tcPr/>
          <w:p>
            <w:pPr>
              <w:pStyle w:val="Compact"/>
            </w:pPr>
            <w:r>
              <w:t xml:space="preserve">Illinois (17)</w:t>
            </w:r>
          </w:p>
        </w:tc>
        <w:tc>
          <w:tcPr/>
          <w:p>
            <w:pPr>
              <w:pStyle w:val="Compact"/>
            </w:pPr>
            <w:r>
              <w:t xml:space="preserve">Cook (031)</w:t>
            </w:r>
          </w:p>
        </w:tc>
        <w:tc>
          <w:tcPr/>
          <w:p>
            <w:pPr>
              <w:pStyle w:val="Compact"/>
            </w:pPr>
            <w:r>
              <w:t xml:space="preserve">1,332</w:t>
            </w:r>
          </w:p>
        </w:tc>
        <w:tc>
          <w:tcPr/>
          <w:p>
            <w:pPr>
              <w:pStyle w:val="Compact"/>
            </w:pPr>
            <w:r>
              <w:t xml:space="preserve">Mature, high-frequency transit; diverse demographics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Houston</w:t>
            </w:r>
          </w:p>
        </w:tc>
        <w:tc>
          <w:tcPr/>
          <w:p>
            <w:pPr>
              <w:pStyle w:val="Compact"/>
            </w:pPr>
            <w:r>
              <w:t xml:space="preserve">Texas (48)</w:t>
            </w:r>
          </w:p>
        </w:tc>
        <w:tc>
          <w:tcPr/>
          <w:p>
            <w:pPr>
              <w:pStyle w:val="Compact"/>
            </w:pPr>
            <w:r>
              <w:t xml:space="preserve">Harris (201)</w:t>
            </w:r>
          </w:p>
        </w:tc>
        <w:tc>
          <w:tcPr/>
          <w:p>
            <w:pPr>
              <w:pStyle w:val="Compact"/>
            </w:pPr>
            <w:r>
              <w:t xml:space="preserve">1,115</w:t>
            </w:r>
          </w:p>
        </w:tc>
        <w:tc>
          <w:tcPr/>
          <w:p>
            <w:pPr>
              <w:pStyle w:val="Compact"/>
            </w:pPr>
            <w:r>
              <w:t xml:space="preserve">Auto-oriented, sprawling; large low-income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Seattle</w:t>
            </w:r>
          </w:p>
        </w:tc>
        <w:tc>
          <w:tcPr/>
          <w:p>
            <w:pPr>
              <w:pStyle w:val="Compact"/>
            </w:pPr>
            <w:r>
              <w:t xml:space="preserve">Washington (53)</w:t>
            </w:r>
          </w:p>
        </w:tc>
        <w:tc>
          <w:tcPr/>
          <w:p>
            <w:pPr>
              <w:pStyle w:val="Compact"/>
            </w:pPr>
            <w:r>
              <w:t xml:space="preserve">King (033)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Progressive transit and EV investment; equity focus</w:t>
            </w:r>
          </w:p>
        </w:tc>
      </w:tr>
    </w:tbl>
    <w:p>
      <w:pPr>
        <w:pStyle w:val="BodyText"/>
      </w:pPr>
      <w:r>
        <w:t xml:space="preserve">Phase 2 will extend the method to Phoenix (AZ), Atlanta (GA), and Detroit (MI)</w:t>
      </w:r>
      <w:r>
        <w:t xml:space="preserve"> </w:t>
      </w:r>
      <w:r>
        <w:t xml:space="preserve">after pipeline validation.</w:t>
      </w:r>
    </w:p>
    <w:bookmarkEnd w:id="22"/>
    <w:bookmarkStart w:id="23" w:name="data-collection-pipeline"/>
    <w:p>
      <w:pPr>
        <w:pStyle w:val="Heading3"/>
      </w:pPr>
      <w:r>
        <w:t xml:space="preserve">3.2 Data Collection Pipeline</w:t>
      </w:r>
    </w:p>
    <w:p>
      <w:pPr>
        <w:pStyle w:val="FirstParagraph"/>
      </w:pPr>
      <w:r>
        <w:t xml:space="preserve">Eight public sources feed the pipeline (Table 3.2). Each is retrieved by a</w:t>
      </w:r>
      <w:r>
        <w:t xml:space="preserve"> </w:t>
      </w:r>
      <w:r>
        <w:t xml:space="preserve">dedicated, independently-runnable Python module under</w:t>
      </w:r>
      <w:r>
        <w:t xml:space="preserve"> </w:t>
      </w:r>
      <w:r>
        <w:rPr>
          <w:rStyle w:val="VerbatimChar"/>
        </w:rPr>
        <w:t xml:space="preserve">src/data_collection/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3.2 — Data sources and access.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386"/>
        <w:gridCol w:w="1584"/>
        <w:gridCol w:w="3366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Endpoint / file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Tract boundaries (2023)</w:t>
            </w:r>
          </w:p>
        </w:tc>
        <w:tc>
          <w:tcPr/>
          <w:p>
            <w:pPr>
              <w:pStyle w:val="Compact"/>
            </w:pPr>
            <w:r>
              <w:t xml:space="preserve">Census TIGER/Line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…/TIGER2023/TRACT/tl_2023_{ss}_tract.zip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Block groups (2023, 2019)</w:t>
            </w:r>
          </w:p>
        </w:tc>
        <w:tc>
          <w:tcPr/>
          <w:p>
            <w:pPr>
              <w:pStyle w:val="Compact"/>
            </w:pPr>
            <w:r>
              <w:t xml:space="preserve">Census TIGER/Line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…/TIGER{2023,2019}/BG/tl_{yyyy}_{ss}_bg.zip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Demographics (ACS 5-yr 2019–2023)</w:t>
            </w:r>
          </w:p>
        </w:tc>
        <w:tc>
          <w:tcPr/>
          <w:p>
            <w:pPr>
              <w:pStyle w:val="Compact"/>
            </w:pPr>
            <w:r>
              <w:t xml:space="preserve">Census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api.census.gov/data/2023/acs/acs5</w:t>
            </w:r>
          </w:p>
        </w:tc>
        <w:tc>
          <w:tcPr/>
          <w:p>
            <w:pPr>
              <w:pStyle w:val="Compact"/>
            </w:pPr>
            <w:r>
              <w:t xml:space="preserve">Census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Walkability</w:t>
            </w:r>
          </w:p>
        </w:tc>
        <w:tc>
          <w:tcPr/>
          <w:p>
            <w:pPr>
              <w:pStyle w:val="Compact"/>
            </w:pPr>
            <w:r>
              <w:t xml:space="preserve">EPA Smart Location Database 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edg.epa.gov/…/EPA_SmartLocationDatabase_V3_Jan_2021_Final.csv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Bicycle network</w:t>
            </w:r>
          </w:p>
        </w:tc>
        <w:tc>
          <w:tcPr/>
          <w:p>
            <w:pPr>
              <w:pStyle w:val="Compact"/>
            </w:pPr>
            <w:r>
              <w:t xml:space="preserve">OpenStreetMap (OSMnx)</w:t>
            </w:r>
          </w:p>
        </w:tc>
        <w:tc>
          <w:tcPr/>
          <w:p>
            <w:pPr>
              <w:pStyle w:val="Compact"/>
            </w:pPr>
            <w:r>
              <w:t xml:space="preserve">Overpass via</w:t>
            </w:r>
            <w:r>
              <w:t xml:space="preserve"> </w:t>
            </w:r>
            <w:r>
              <w:rPr>
                <w:rStyle w:val="VerbatimChar"/>
              </w:rPr>
              <w:t xml:space="preserve">graph_from_place(..., 'bike')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 charging</w:t>
            </w:r>
          </w:p>
        </w:tc>
        <w:tc>
          <w:tcPr/>
          <w:p>
            <w:pPr>
              <w:pStyle w:val="Compact"/>
            </w:pPr>
            <w:r>
              <w:t xml:space="preserve">DOE/NREL AFDC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developer.nrel.gov/api/alt-fuel-stations/v1.json</w:t>
            </w:r>
          </w:p>
        </w:tc>
        <w:tc>
          <w:tcPr/>
          <w:p>
            <w:pPr>
              <w:pStyle w:val="Compact"/>
            </w:pPr>
            <w:r>
              <w:t xml:space="preserve">NREL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Transit service</w:t>
            </w:r>
          </w:p>
        </w:tc>
        <w:tc>
          <w:tcPr/>
          <w:p>
            <w:pPr>
              <w:pStyle w:val="Compact"/>
            </w:pPr>
            <w:r>
              <w:t xml:space="preserve">GTFS (transit.land / agency)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transit.land/api/v2/rest/feeds</w:t>
            </w:r>
            <w:r>
              <w:t xml:space="preserve">; agency zips</w:t>
            </w:r>
          </w:p>
        </w:tc>
        <w:tc>
          <w:tcPr/>
          <w:p>
            <w:pPr>
              <w:pStyle w:val="Compact"/>
            </w:pPr>
            <w:r>
              <w:t xml:space="preserve">transit.land (opt.)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(derived) Tract centroids &amp; areas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ACS variables retrieved: median household income (</w:t>
      </w:r>
      <w:r>
        <w:rPr>
          <w:rStyle w:val="VerbatimChar"/>
        </w:rPr>
        <w:t xml:space="preserve">B19013_001E</w:t>
      </w:r>
      <w:r>
        <w:t xml:space="preserve">); total</w:t>
      </w:r>
      <w:r>
        <w:t xml:space="preserve"> </w:t>
      </w:r>
      <w:r>
        <w:t xml:space="preserve">population and White-alone-non-Hispanic (</w:t>
      </w:r>
      <w:r>
        <w:rPr>
          <w:rStyle w:val="VerbatimChar"/>
        </w:rPr>
        <w:t xml:space="preserve">B03002_001E</w:t>
      </w:r>
      <w:r>
        <w:t xml:space="preserve">,</w:t>
      </w:r>
      <w:r>
        <w:t xml:space="preserve"> </w:t>
      </w:r>
      <w:r>
        <w:rPr>
          <w:rStyle w:val="VerbatimChar"/>
        </w:rPr>
        <w:t xml:space="preserve">B03002_003E</w:t>
      </w:r>
      <w:r>
        <w:t xml:space="preserve">) for</w:t>
      </w:r>
      <w:r>
        <w:t xml:space="preserve"> </w:t>
      </w:r>
      <w:r>
        <w:t xml:space="preserve">percent non-white; zero-vehicle owner/renter households (</w:t>
      </w:r>
      <w:r>
        <w:rPr>
          <w:rStyle w:val="VerbatimChar"/>
        </w:rPr>
        <w:t xml:space="preserve">B25044_003E</w:t>
      </w:r>
      <w:r>
        <w:t xml:space="preserve">,</w:t>
      </w:r>
      <w:r>
        <w:t xml:space="preserve"> </w:t>
      </w:r>
      <w:r>
        <w:rPr>
          <w:rStyle w:val="VerbatimChar"/>
        </w:rPr>
        <w:t xml:space="preserve">B25044_010E</w:t>
      </w:r>
      <w:r>
        <w:t xml:space="preserve">); renter-occupied and total occupied units (</w:t>
      </w:r>
      <w:r>
        <w:rPr>
          <w:rStyle w:val="VerbatimChar"/>
        </w:rPr>
        <w:t xml:space="preserve">B25003_003E</w:t>
      </w:r>
      <w:r>
        <w:t xml:space="preserve">,</w:t>
      </w:r>
      <w:r>
        <w:t xml:space="preserve"> </w:t>
      </w:r>
      <w:r>
        <w:rPr>
          <w:rStyle w:val="VerbatimChar"/>
        </w:rPr>
        <w:t xml:space="preserve">B25003_001E</w:t>
      </w:r>
      <w:r>
        <w:t xml:space="preserve">) for percent renter.</w:t>
      </w:r>
    </w:p>
    <w:bookmarkEnd w:id="23"/>
    <w:bookmarkStart w:id="24" w:name="data-preprocessing"/>
    <w:p>
      <w:pPr>
        <w:pStyle w:val="Heading3"/>
      </w:pPr>
      <w:r>
        <w:t xml:space="preserve">3.3 Data Preprocessing</w:t>
      </w:r>
    </w:p>
    <w:p>
      <w:pPr>
        <w:pStyle w:val="FirstParagraph"/>
      </w:pPr>
      <w:r>
        <w:t xml:space="preserve">All layers are reprojected to a common geographic CRS (EPSG:4326) for storage</w:t>
      </w:r>
      <w:r>
        <w:t xml:space="preserve"> </w:t>
      </w:r>
      <w:r>
        <w:t xml:space="preserve">and mapping and to USA Contiguous Albers Equal Area (EPSG:5070) for any</w:t>
      </w:r>
      <w:r>
        <w:t xml:space="preserve"> </w:t>
      </w:r>
      <w:r>
        <w:t xml:space="preserve">length/area/distance computation, so metrics are in true metres and not degrees.</w:t>
      </w:r>
      <w:r>
        <w:t xml:space="preserve"> </w:t>
      </w:r>
      <w:r>
        <w:t xml:space="preserve">GEOIDs are coerced to zero-padded strings (11 digits for tracts, 12 for block</w:t>
      </w:r>
      <w:r>
        <w:t xml:space="preserve"> </w:t>
      </w:r>
      <w:r>
        <w:t xml:space="preserve">groups) to guarantee exact joins.</w:t>
      </w:r>
    </w:p>
    <w:p>
      <w:pPr>
        <w:pStyle w:val="BodyText"/>
      </w:pPr>
      <w:r>
        <w:t xml:space="preserve">A key preprocessing problem is</w:t>
      </w:r>
      <w:r>
        <w:t xml:space="preserve"> </w:t>
      </w:r>
      <w:r>
        <w:rPr>
          <w:b/>
          <w:bCs/>
        </w:rPr>
        <w:t xml:space="preserve">geographic vintage mismatch</w:t>
      </w:r>
      <w:r>
        <w:t xml:space="preserve">. The EPA SLD v3</w:t>
      </w:r>
      <w:r>
        <w:t xml:space="preserve"> </w:t>
      </w:r>
      <w:r>
        <w:t xml:space="preserve">is published on 2019-vintage (2010-decade) block-group boundaries, whereas the</w:t>
      </w:r>
      <w:r>
        <w:t xml:space="preserve"> </w:t>
      </w:r>
      <w:r>
        <w:t xml:space="preserve">study uses 2023 (2020-decade) tracts to align with the 2019–2023 ACS. A naive</w:t>
      </w:r>
      <w:r>
        <w:t xml:space="preserve"> </w:t>
      </w:r>
      <w:r>
        <w:t xml:space="preserve">GEOID-prefix join loses tracts wherever boundaries were redrawn — empirically,</w:t>
      </w:r>
      <w:r>
        <w:t xml:space="preserve"> </w:t>
      </w:r>
      <w:r>
        <w:t xml:space="preserve">about 57% of Houston’s tracts. The pipeline therefore performs</w:t>
      </w:r>
      <w:r>
        <w:t xml:space="preserve"> </w:t>
      </w:r>
      <w:r>
        <w:rPr>
          <w:b/>
          <w:bCs/>
        </w:rPr>
        <w:t xml:space="preserve">areal</w:t>
      </w:r>
      <w:r>
        <w:rPr>
          <w:b/>
          <w:bCs/>
        </w:rPr>
        <w:t xml:space="preserve"> </w:t>
      </w:r>
      <w:r>
        <w:rPr>
          <w:b/>
          <w:bCs/>
        </w:rPr>
        <w:t xml:space="preserve">interpolation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NatWalkInd</w:t>
      </w:r>
      <w:r>
        <w:t xml:space="preserve"> </w:t>
      </w:r>
      <w:r>
        <w:t xml:space="preserve">is joined to 2019 block-group polygons (a 100%</w:t>
      </w:r>
      <w:r>
        <w:t xml:space="preserve"> </w:t>
      </w:r>
      <w:r>
        <w:t xml:space="preserve">GEOID match against the SLD) and then area-weighted onto 2023 tracts via a</w:t>
      </w:r>
      <w:r>
        <w:t xml:space="preserve"> </w:t>
      </w:r>
      <w:r>
        <w:t xml:space="preserve">geometric overlay, with each tract’s value the area-weighted mean of its</w:t>
      </w:r>
      <w:r>
        <w:t xml:space="preserve"> </w:t>
      </w:r>
      <w:r>
        <w:t xml:space="preserve">overlapping block-group pieces. Because</w:t>
      </w:r>
      <w:r>
        <w:t xml:space="preserve"> </w:t>
      </w:r>
      <w:r>
        <w:rPr>
          <w:rStyle w:val="VerbatimChar"/>
        </w:rPr>
        <w:t xml:space="preserve">NatWalkInd</w:t>
      </w:r>
      <w:r>
        <w:t xml:space="preserve"> </w:t>
      </w:r>
      <w:r>
        <w:t xml:space="preserve">is an intensive index</w:t>
      </w:r>
      <w:r>
        <w:t xml:space="preserve"> </w:t>
      </w:r>
      <w:r>
        <w:t xml:space="preserve">(not a count), area-weighted averaging is the correct interpolation.</w:t>
      </w:r>
    </w:p>
    <w:p>
      <w:pPr>
        <w:pStyle w:val="BodyText"/>
      </w:pPr>
      <w:r>
        <w:t xml:space="preserve">Missing values are preserved rather than imputed so that data gaps remain</w:t>
      </w:r>
      <w:r>
        <w:t xml:space="preserve"> </w:t>
      </w:r>
      <w:r>
        <w:t xml:space="preserve">visible; normalization functions propagate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and a constant input maps to</w:t>
      </w:r>
      <w:r>
        <w:t xml:space="preserve"> </w:t>
      </w:r>
      <w:r>
        <w:t xml:space="preserve">the scale midpoint rather than producing undefined values. Tracts with zero land</w:t>
      </w:r>
      <w:r>
        <w:t xml:space="preserve"> </w:t>
      </w:r>
      <w:r>
        <w:t xml:space="preserve">area or no population are guarded against division-by-zero in density metrics.</w:t>
      </w:r>
    </w:p>
    <w:bookmarkEnd w:id="24"/>
    <w:bookmarkStart w:id="25" w:name="sub-index-computation"/>
    <w:p>
      <w:pPr>
        <w:pStyle w:val="Heading3"/>
      </w:pPr>
      <w:r>
        <w:t xml:space="preserve">3.4 Sub-Index Computation</w:t>
      </w:r>
    </w:p>
    <w:p>
      <w:pPr>
        <w:pStyle w:val="FirstParagraph"/>
      </w:pPr>
      <w:r>
        <w:t xml:space="preserve">Each sub-index is computed at tract level and then normalized (§3.5).</w:t>
      </w:r>
    </w:p>
    <w:p>
      <w:pPr>
        <w:pStyle w:val="BodyText"/>
      </w:pPr>
      <w:r>
        <w:rPr>
          <w:b/>
          <w:bCs/>
        </w:rPr>
        <w:t xml:space="preserve">Transit (</w:t>
      </w:r>
      <w:r>
        <w:rPr>
          <w:rStyle w:val="VerbatimChar"/>
          <w:b/>
          <w:bCs/>
        </w:rPr>
        <w:t xml:space="preserve">transit_index.py</w:t>
      </w:r>
      <w:r>
        <w:rPr>
          <w:b/>
          <w:bCs/>
        </w:rPr>
        <w:t xml:space="preserve">).</w:t>
      </w:r>
      <w:r>
        <w:t xml:space="preserve"> </w:t>
      </w:r>
      <w:r>
        <w:t xml:space="preserve">From GTFS</w:t>
      </w:r>
      <w:r>
        <w:t xml:space="preserve"> </w:t>
      </w:r>
      <w:r>
        <w:rPr>
          <w:rStyle w:val="VerbatimChar"/>
        </w:rPr>
        <w:t xml:space="preserve">stops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stop_times</w:t>
      </w:r>
      <w:r>
        <w:t xml:space="preserve">, AM-peak</w:t>
      </w:r>
      <w:r>
        <w:t xml:space="preserve"> </w:t>
      </w:r>
      <w:r>
        <w:t xml:space="preserve">(07:00–09:00) departures per stop are converted to trips/hour, and the daily</w:t>
      </w:r>
      <w:r>
        <w:t xml:space="preserve"> </w:t>
      </w:r>
      <w:r>
        <w:t xml:space="preserve">service span (distinct hours with ≥1 departure) is computed. Stops are spatially</w:t>
      </w:r>
      <w:r>
        <w:t xml:space="preserve"> </w:t>
      </w:r>
      <w:r>
        <w:t xml:space="preserve">joined to a 0.5-mile (804.7 m) buffer of each tract centroid, yielding stop</w:t>
      </w:r>
      <w:r>
        <w:t xml:space="preserve"> </w:t>
      </w:r>
      <w:r>
        <w:t xml:space="preserve">density (stops/km²), mean AM-peak frequency, and service span. The three</w:t>
      </w:r>
      <w:r>
        <w:t xml:space="preserve"> </w:t>
      </w:r>
      <w:r>
        <w:t xml:space="preserve">components are normalized and averaged.</w:t>
      </w:r>
    </w:p>
    <w:p>
      <w:pPr>
        <w:pStyle w:val="BodyText"/>
      </w:pPr>
      <w:r>
        <w:rPr>
          <w:b/>
          <w:bCs/>
        </w:rPr>
        <w:t xml:space="preserve">Walkability (</w:t>
      </w:r>
      <w:r>
        <w:rPr>
          <w:rStyle w:val="VerbatimChar"/>
          <w:b/>
          <w:bCs/>
        </w:rPr>
        <w:t xml:space="preserve">walk_index.py</w:t>
      </w:r>
      <w:r>
        <w:rPr>
          <w:b/>
          <w:bCs/>
        </w:rPr>
        <w:t xml:space="preserve">).</w:t>
      </w:r>
      <w:r>
        <w:t xml:space="preserve"> </w:t>
      </w:r>
      <w:r>
        <w:t xml:space="preserve">Area-weighted</w:t>
      </w:r>
      <w:r>
        <w:t xml:space="preserve"> </w:t>
      </w:r>
      <w:r>
        <w:rPr>
          <w:rStyle w:val="VerbatimChar"/>
        </w:rPr>
        <w:t xml:space="preserve">NatWalkInd</w:t>
      </w:r>
      <w:r>
        <w:t xml:space="preserve"> </w:t>
      </w:r>
      <w:r>
        <w:t xml:space="preserve">per tract (§3.3),</w:t>
      </w:r>
      <w:r>
        <w:t xml:space="preserve"> </w:t>
      </w:r>
      <w:r>
        <w:t xml:space="preserve">normalized to 0–100.</w:t>
      </w:r>
    </w:p>
    <w:p>
      <w:pPr>
        <w:pStyle w:val="BodyText"/>
      </w:pPr>
      <w:r>
        <w:rPr>
          <w:b/>
          <w:bCs/>
        </w:rPr>
        <w:t xml:space="preserve">Bicycle (</w:t>
      </w:r>
      <w:r>
        <w:rPr>
          <w:rStyle w:val="VerbatimChar"/>
          <w:b/>
          <w:bCs/>
        </w:rPr>
        <w:t xml:space="preserve">bike_index.py</w:t>
      </w:r>
      <w:r>
        <w:rPr>
          <w:b/>
          <w:bCs/>
        </w:rPr>
        <w:t xml:space="preserve">).</w:t>
      </w:r>
      <w:r>
        <w:t xml:space="preserve"> </w:t>
      </w:r>
      <w:r>
        <w:t xml:space="preserve">From the OSM cyclable network, edges are retained</w:t>
      </w:r>
      <w:r>
        <w:t xml:space="preserve"> </w:t>
      </w:r>
      <w:r>
        <w:t xml:space="preserve">as dedicated infrastructure when</w:t>
      </w:r>
      <w:r>
        <w:t xml:space="preserve"> </w:t>
      </w:r>
      <w:r>
        <w:rPr>
          <w:rStyle w:val="VerbatimChar"/>
        </w:rPr>
        <w:t xml:space="preserve">highway ∈ {cycleway, path, track}</w:t>
      </w:r>
      <w:r>
        <w:t xml:space="preserve"> </w:t>
      </w:r>
      <w:r>
        <w:t xml:space="preserve">or a</w:t>
      </w:r>
      <w:r>
        <w:t xml:space="preserve"> </w:t>
      </w:r>
      <w:r>
        <w:t xml:space="preserve">positive</w:t>
      </w:r>
      <w:r>
        <w:t xml:space="preserve"> </w:t>
      </w:r>
      <w:r>
        <w:rPr>
          <w:rStyle w:val="VerbatimChar"/>
        </w:rPr>
        <w:t xml:space="preserve">cycleway</w:t>
      </w:r>
      <w:r>
        <w:t xml:space="preserve"> </w:t>
      </w:r>
      <w:r>
        <w:t xml:space="preserve">tag is present (e.g.,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shared_lane</w:t>
      </w:r>
      <w:r>
        <w:t xml:space="preserve">). Edges</w:t>
      </w:r>
      <w:r>
        <w:t xml:space="preserve"> </w:t>
      </w:r>
      <w:r>
        <w:t xml:space="preserve">are clipped to tracts by overlay; bike-lane kilometres per km² of tract land</w:t>
      </w:r>
      <w:r>
        <w:t xml:space="preserve"> </w:t>
      </w:r>
      <w:r>
        <w:t xml:space="preserve">area form the raw metric, normalized to 0–100.</w:t>
      </w:r>
    </w:p>
    <w:p>
      <w:pPr>
        <w:pStyle w:val="BodyText"/>
      </w:pPr>
      <w:r>
        <w:rPr>
          <w:b/>
          <w:bCs/>
        </w:rPr>
        <w:t xml:space="preserve">EV charging (</w:t>
      </w:r>
      <w:r>
        <w:rPr>
          <w:rStyle w:val="VerbatimChar"/>
          <w:b/>
          <w:bCs/>
        </w:rPr>
        <w:t xml:space="preserve">ev_index.py</w:t>
      </w:r>
      <w:r>
        <w:rPr>
          <w:b/>
          <w:bCs/>
        </w:rPr>
        <w:t xml:space="preserve">).</w:t>
      </w:r>
      <w:r>
        <w:t xml:space="preserve"> </w:t>
      </w:r>
      <w:r>
        <w:t xml:space="preserve">Public Level-2 and DC-fast stations are spatially</w:t>
      </w:r>
      <w:r>
        <w:t xml:space="preserve"> </w:t>
      </w:r>
      <w:r>
        <w:t xml:space="preserve">joined to tracts. Two metrics are computed: chargers per 1,000 residents, and the</w:t>
      </w:r>
      <w:r>
        <w:t xml:space="preserve"> </w:t>
      </w:r>
      <w:r>
        <w:t xml:space="preserve">distance from each tract centroid to the nearest DC-fast station (inverted so</w:t>
      </w:r>
      <w:r>
        <w:t xml:space="preserve"> </w:t>
      </w:r>
      <w:r>
        <w:t xml:space="preserve">that proximity raises the score). Both are normalized and averaged. The</w:t>
      </w:r>
      <w:r>
        <w:t xml:space="preserve"> </w:t>
      </w:r>
      <w:r>
        <w:t xml:space="preserve">authoritative source is the DOE/NREL AFDC inventory (</w:t>
      </w:r>
      <w:r>
        <w:rPr>
          <w:rStyle w:val="VerbatimChar"/>
        </w:rPr>
        <w:t xml:space="preserve">fetch_afdc.py</w:t>
      </w:r>
      <w:r>
        <w:t xml:space="preserve">); where that</w:t>
      </w:r>
      <w:r>
        <w:t xml:space="preserve"> </w:t>
      </w:r>
      <w:r>
        <w:t xml:space="preserve">API is unreachable, the pipeline falls back to OpenStreetMap</w:t>
      </w:r>
      <w:r>
        <w:t xml:space="preserve"> </w:t>
      </w:r>
      <w:r>
        <w:rPr>
          <w:rStyle w:val="VerbatimChar"/>
        </w:rPr>
        <w:t xml:space="preserve">amenity=charging_station</w:t>
      </w:r>
      <w:r>
        <w:t xml:space="preserve"> </w:t>
      </w:r>
      <w:r>
        <w:t xml:space="preserve">points (</w:t>
      </w:r>
      <w:r>
        <w:rPr>
          <w:rStyle w:val="VerbatimChar"/>
        </w:rPr>
        <w:t xml:space="preserve">fetch_osm_ev.py</w:t>
      </w:r>
      <w:r>
        <w:t xml:space="preserve">), a key-free but</w:t>
      </w:r>
      <w:r>
        <w:t xml:space="preserve"> </w:t>
      </w:r>
      <w:r>
        <w:t xml:space="preserve">lower-bound proxy whose completeness limitation is noted in §5.</w:t>
      </w:r>
    </w:p>
    <w:bookmarkEnd w:id="25"/>
    <w:bookmarkStart w:id="26" w:name="normalization-and-mes-construction"/>
    <w:p>
      <w:pPr>
        <w:pStyle w:val="Heading3"/>
      </w:pPr>
      <w:r>
        <w:t xml:space="preserve">3.5 Normalization and MES Construction</w:t>
      </w:r>
    </w:p>
    <w:p>
      <w:pPr>
        <w:pStyle w:val="FirstParagraph"/>
      </w:pPr>
      <w:r>
        <w:t xml:space="preserve">Each raw sub-index is placed on a common 0–100 scale by</w:t>
      </w:r>
      <w:r>
        <w:t xml:space="preserve"> </w:t>
      </w:r>
      <w:r>
        <w:rPr>
          <w:b/>
          <w:bCs/>
        </w:rPr>
        <w:t xml:space="preserve">min–max</w:t>
      </w:r>
      <w:r>
        <w:rPr>
          <w:b/>
          <w:bCs/>
        </w:rPr>
        <w:t xml:space="preserve"> </w:t>
      </w:r>
      <w:r>
        <w:rPr>
          <w:b/>
          <w:bCs/>
        </w:rPr>
        <w:t xml:space="preserve">normalization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x_norm = (x − x_min) / (x_max − x_min) × 100</w:t>
      </w:r>
    </w:p>
    <w:p>
      <w:pPr>
        <w:pStyle w:val="FirstParagraph"/>
      </w:pPr>
      <w:r>
        <w:t xml:space="preserve">computed within each city so scores are interpretable relative to that city’s</w:t>
      </w:r>
      <w:r>
        <w:t xml:space="preserve"> </w:t>
      </w:r>
      <w:r>
        <w:t xml:space="preserve">own distribution. A robust percentile-rank variant is retained for sensitivity</w:t>
      </w:r>
      <w:r>
        <w:t xml:space="preserve"> </w:t>
      </w:r>
      <w:r>
        <w:t xml:space="preserve">checks. The composite is a weighted sum of the four normalized sub-indices:</w:t>
      </w:r>
    </w:p>
    <w:p>
      <w:pPr>
        <w:pStyle w:val="SourceCode"/>
      </w:pPr>
      <w:r>
        <w:rPr>
          <w:rStyle w:val="VerbatimChar"/>
        </w:rPr>
        <w:t xml:space="preserve">MES = w_transit·transit_norm + w_walk·walk_norm + w_bike·bike_norm + w_ev·ev_norm,   Σw = 1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uses equal weights (0.25 each), the most defensible default</w:t>
      </w:r>
      <w:r>
        <w:t xml:space="preserve"> </w:t>
      </w:r>
      <w:r>
        <w:t xml:space="preserve">absent strong prior information (Nardo et al., 2008). The MES therefore ranges</w:t>
      </w:r>
      <w:r>
        <w:t xml:space="preserve"> </w:t>
      </w:r>
      <w:r>
        <w:t xml:space="preserve">0–100, with higher values indicating better mobility-infrastructure access.</w:t>
      </w:r>
    </w:p>
    <w:bookmarkEnd w:id="26"/>
    <w:bookmarkStart w:id="27" w:name="Xf4f43c373f585aa7a2d31693b7379b8e775cd5f"/>
    <w:p>
      <w:pPr>
        <w:pStyle w:val="Heading3"/>
      </w:pPr>
      <w:r>
        <w:t xml:space="preserve">3.6 Weighting Methodology and Sensitivity Analysis</w:t>
      </w:r>
    </w:p>
    <w:p>
      <w:pPr>
        <w:pStyle w:val="FirstParagraph"/>
      </w:pPr>
      <w:r>
        <w:t xml:space="preserve">Because equal weighting is itself a value choice, three alternatives are computed</w:t>
      </w:r>
      <w:r>
        <w:t xml:space="preserve"> </w:t>
      </w:r>
      <w:r>
        <w:t xml:space="preserve">and compared (</w:t>
      </w:r>
      <w:r>
        <w:rPr>
          <w:rStyle w:val="VerbatimChar"/>
        </w:rPr>
        <w:t xml:space="preserve">weighting_methods.py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Entropy weighting</w:t>
      </w:r>
      <w:r>
        <w:t xml:space="preserve"> </w:t>
      </w:r>
      <w:r>
        <w:t xml:space="preserve">— objective weights derived from each sub-index’s</w:t>
      </w:r>
      <w:r>
        <w:t xml:space="preserve"> </w:t>
      </w:r>
      <w:r>
        <w:t xml:space="preserve">dispersion; dimensions that discriminate more between tracts receive more</w:t>
      </w:r>
      <w:r>
        <w:t xml:space="preserve"> </w:t>
      </w:r>
      <w:r>
        <w:t xml:space="preserve">weight (redundancy = 1 − Shannon entropy, normalized to sum to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weighting</w:t>
      </w:r>
      <w:r>
        <w:t xml:space="preserve"> </w:t>
      </w:r>
      <w:r>
        <w:t xml:space="preserve">— weights from the absolute loadings of the first principal</w:t>
      </w:r>
      <w:r>
        <w:t xml:space="preserve"> </w:t>
      </w:r>
      <w:r>
        <w:t xml:space="preserve">component of the four sub-indices.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AHP weighting</w:t>
      </w:r>
      <w:r>
        <w:t xml:space="preserve"> </w:t>
      </w:r>
      <w:r>
        <w:t xml:space="preserve">— expert pairwise-judgement weights (Analytic Hierarchy</w:t>
      </w:r>
      <w:r>
        <w:t xml:space="preserve"> </w:t>
      </w:r>
      <w:r>
        <w:t xml:space="preserve">Process); a provisional vector (transit 0.40, walk 0.30, bike 0.15, EV 0.15)</w:t>
      </w:r>
      <w:r>
        <w:t xml:space="preserve"> </w:t>
      </w:r>
      <w:r>
        <w:t xml:space="preserve">is used pending a structured expert survey.</w:t>
      </w:r>
    </w:p>
    <w:p>
      <w:pPr>
        <w:pStyle w:val="FirstParagraph"/>
      </w:pPr>
      <w:r>
        <w:t xml:space="preserve">For each scheme the MES is recomputed and the equity correlations (§3.8) are</w:t>
      </w:r>
      <w:r>
        <w:t xml:space="preserve"> </w:t>
      </w:r>
      <w:r>
        <w:t xml:space="preserve">re-estimated; the analysis reports how much the sign, magnitude, and significance</w:t>
      </w:r>
      <w:r>
        <w:t xml:space="preserve"> </w:t>
      </w:r>
      <w:r>
        <w:t xml:space="preserve">of those correlations move across schemes, establishing whether conclusions are</w:t>
      </w:r>
      <w:r>
        <w:t xml:space="preserve"> </w:t>
      </w:r>
      <w:r>
        <w:t xml:space="preserve">weighting-robust.</w:t>
      </w:r>
    </w:p>
    <w:bookmarkEnd w:id="27"/>
    <w:bookmarkStart w:id="28" w:name="mobility-desert-classification"/>
    <w:p>
      <w:pPr>
        <w:pStyle w:val="Heading3"/>
      </w:pPr>
      <w:r>
        <w:t xml:space="preserve">3.7 Mobility-Desert Classification</w:t>
      </w:r>
    </w:p>
    <w:p>
      <w:pPr>
        <w:pStyle w:val="FirstParagraph"/>
      </w:pPr>
      <w:r>
        <w:t xml:space="preserve">A tract is a</w:t>
      </w:r>
      <w:r>
        <w:t xml:space="preserve"> </w:t>
      </w:r>
      <w:r>
        <w:rPr>
          <w:b/>
          <w:bCs/>
        </w:rPr>
        <w:t xml:space="preserve">mobility desert</w:t>
      </w:r>
      <w:r>
        <w:t xml:space="preserve"> </w:t>
      </w:r>
      <w:r>
        <w:t xml:space="preserve">if its MES falls below the city’s 25th</w:t>
      </w:r>
      <w:r>
        <w:t xml:space="preserve"> </w:t>
      </w:r>
      <w:r>
        <w:t xml:space="preserve">percentile. A</w:t>
      </w:r>
      <w:r>
        <w:t xml:space="preserve"> </w:t>
      </w:r>
      <w:r>
        <w:rPr>
          <w:b/>
          <w:bCs/>
        </w:rPr>
        <w:t xml:space="preserve">compounded desert</w:t>
      </w:r>
      <w:r>
        <w:t xml:space="preserve"> </w:t>
      </w:r>
      <w:r>
        <w:t xml:space="preserve">is a tract in the bottom quartile of two or</w:t>
      </w:r>
      <w:r>
        <w:t xml:space="preserve"> </w:t>
      </w:r>
      <w:r>
        <w:t xml:space="preserve">more individual sub-indices — capturing places disadvantaged on multiple</w:t>
      </w:r>
      <w:r>
        <w:t xml:space="preserve"> </w:t>
      </w:r>
      <w:r>
        <w:t xml:space="preserve">dimensions simultaneously. Because the 25th-percentile cut is arbitrary, a</w:t>
      </w:r>
      <w:r>
        <w:t xml:space="preserve"> </w:t>
      </w:r>
      <w:r>
        <w:rPr>
          <w:b/>
          <w:bCs/>
        </w:rPr>
        <w:t xml:space="preserve">threshold sensitivity analysis</w:t>
      </w:r>
      <w:r>
        <w:t xml:space="preserve"> </w:t>
      </w:r>
      <w:r>
        <w:t xml:space="preserve">(</w:t>
      </w:r>
      <w:r>
        <w:rPr>
          <w:rStyle w:val="VerbatimChar"/>
        </w:rPr>
        <w:t xml:space="preserve">sensitivity_analysis.py</w:t>
      </w:r>
      <w:r>
        <w:t xml:space="preserve">) recomputes the</w:t>
      </w:r>
      <w:r>
        <w:t xml:space="preserve"> </w:t>
      </w:r>
      <w:r>
        <w:t xml:space="preserve">desert set at the 20th, 25th, and 30th percentiles and reports the Jaccard</w:t>
      </w:r>
      <w:r>
        <w:t xml:space="preserve"> </w:t>
      </w:r>
      <w:r>
        <w:t xml:space="preserve">overlap with the baseline set and the demographic profile of flagged tracts at</w:t>
      </w:r>
      <w:r>
        <w:t xml:space="preserve"> </w:t>
      </w:r>
      <w:r>
        <w:t xml:space="preserve">each threshold; high overlap indicates the classification is not an artefact of</w:t>
      </w:r>
      <w:r>
        <w:t xml:space="preserve"> </w:t>
      </w:r>
      <w:r>
        <w:t xml:space="preserve">the chosen cut-off.</w:t>
      </w:r>
    </w:p>
    <w:bookmarkEnd w:id="28"/>
    <w:bookmarkStart w:id="29" w:name="equity-correlation-analysis"/>
    <w:p>
      <w:pPr>
        <w:pStyle w:val="Heading3"/>
      </w:pPr>
      <w:r>
        <w:t xml:space="preserve">3.8 Equity Correlation Analysis</w:t>
      </w:r>
    </w:p>
    <w:p>
      <w:pPr>
        <w:pStyle w:val="FirstParagraph"/>
      </w:pPr>
      <w:r>
        <w:t xml:space="preserve">Pearson correlations relate the MES (and each sub-index) to four demographic</w:t>
      </w:r>
      <w:r>
        <w:t xml:space="preserve"> </w:t>
      </w:r>
      <w:r>
        <w:t xml:space="preserve">variables — median income, percent non-white, percent zero-vehicle households,</w:t>
      </w:r>
      <w:r>
        <w:t xml:space="preserve"> </w:t>
      </w:r>
      <w:r>
        <w:t xml:space="preserve">and percent renter (</w:t>
      </w:r>
      <w:r>
        <w:rPr>
          <w:rStyle w:val="VerbatimChar"/>
        </w:rPr>
        <w:t xml:space="preserve">equity_correlation.py</w:t>
      </w:r>
      <w:r>
        <w:t xml:space="preserve">). For each pair the analysis reports</w:t>
      </w:r>
      <w:r>
        <w:t xml:space="preserve"> </w:t>
      </w:r>
      <w:r>
        <w:t xml:space="preserve">r, the two-sided p-value, the sample size, and the 95% confidence interval from</w:t>
      </w:r>
      <w:r>
        <w:t xml:space="preserve"> </w:t>
      </w:r>
      <w:r>
        <w:t xml:space="preserve">the Fisher z-transformation:</w:t>
      </w:r>
    </w:p>
    <w:p>
      <w:pPr>
        <w:pStyle w:val="SourceCode"/>
      </w:pPr>
      <w:r>
        <w:rPr>
          <w:rStyle w:val="VerbatimChar"/>
        </w:rPr>
        <w:t xml:space="preserve">z = arctanh(r),  SE = 1/√(n−3),  CI = tanh(z ± 1.96·SE)</w:t>
      </w:r>
    </w:p>
    <w:p>
      <w:pPr>
        <w:pStyle w:val="FirstParagraph"/>
      </w:pPr>
      <w:r>
        <w:t xml:space="preserve">A negative MES–income or MES–percent-non-white correlation would indicate that</w:t>
      </w:r>
      <w:r>
        <w:t xml:space="preserve"> </w:t>
      </w:r>
      <w:r>
        <w:t xml:space="preserve">more-disadvantaged neighborhoods receive less mobility infrastructure (a vertical-</w:t>
      </w:r>
      <w:r>
        <w:t xml:space="preserve"> </w:t>
      </w:r>
      <w:r>
        <w:t xml:space="preserve">equity concern). All correlations are also rendered as a correlation-matrix</w:t>
      </w:r>
      <w:r>
        <w:t xml:space="preserve"> </w:t>
      </w:r>
      <w:r>
        <w:t xml:space="preserve">heatmap for the report.</w:t>
      </w:r>
    </w:p>
    <w:bookmarkEnd w:id="29"/>
    <w:bookmarkStart w:id="30" w:name="spatial-autocorrelation-morans-i"/>
    <w:p>
      <w:pPr>
        <w:pStyle w:val="Heading3"/>
      </w:pPr>
      <w:r>
        <w:t xml:space="preserve">3.9 Spatial Autocorrelation (Moran’s I)</w:t>
      </w:r>
    </w:p>
    <w:p>
      <w:pPr>
        <w:pStyle w:val="FirstParagraph"/>
      </w:pPr>
      <w:r>
        <w:t xml:space="preserve">Global Moran’s I (</w:t>
      </w:r>
      <w:r>
        <w:rPr>
          <w:rStyle w:val="VerbatimChar"/>
        </w:rPr>
        <w:t xml:space="preserve">spatial_autocorrelation.py</w:t>
      </w:r>
      <w:r>
        <w:t xml:space="preserve">) tests whether MES values cluster</w:t>
      </w:r>
      <w:r>
        <w:t xml:space="preserve"> </w:t>
      </w:r>
      <w:r>
        <w:t xml:space="preserve">spatially, using</w:t>
      </w:r>
      <w:r>
        <w:t xml:space="preserve"> </w:t>
      </w:r>
      <w:r>
        <w:rPr>
          <w:b/>
          <w:bCs/>
        </w:rPr>
        <w:t xml:space="preserve">queen-contiguity</w:t>
      </w:r>
      <w:r>
        <w:t xml:space="preserve"> </w:t>
      </w:r>
      <w:r>
        <w:t xml:space="preserve">weights, row-standardized, with 999</w:t>
      </w:r>
      <w:r>
        <w:t xml:space="preserve"> </w:t>
      </w:r>
      <w:r>
        <w:t xml:space="preserve">conditional permutations for a pseudo p-value. Local Moran’s I (LISA) classifies</w:t>
      </w:r>
      <w:r>
        <w:t xml:space="preserve"> </w:t>
      </w:r>
      <w:r>
        <w:t xml:space="preserve">each tract as high-high, low-low, high-low, low-high, or non-significant</w:t>
      </w:r>
      <w:r>
        <w:t xml:space="preserve"> </w:t>
      </w:r>
      <w:r>
        <w:t xml:space="preserve">(p &lt; 0.05); low-low clusters are mapped as mobility</w:t>
      </w:r>
      <w:r>
        <w:t xml:space="preserve"> </w:t>
      </w:r>
      <w:r>
        <w:t xml:space="preserve">“cold spots.”</w:t>
      </w:r>
    </w:p>
    <w:bookmarkEnd w:id="30"/>
    <w:bookmarkStart w:id="31" w:name="cluster-analysis"/>
    <w:p>
      <w:pPr>
        <w:pStyle w:val="Heading3"/>
      </w:pPr>
      <w:r>
        <w:t xml:space="preserve">3.10 Cluster Analysis</w:t>
      </w:r>
    </w:p>
    <w:p>
      <w:pPr>
        <w:pStyle w:val="FirstParagraph"/>
      </w:pPr>
      <w:r>
        <w:t xml:space="preserve">K-means clustering (</w:t>
      </w:r>
      <w:r>
        <w:rPr>
          <w:rStyle w:val="VerbatimChar"/>
        </w:rPr>
        <w:t xml:space="preserve">clustering.py</w:t>
      </w:r>
      <w:r>
        <w:t xml:space="preserve">) on the four standardized sub-indices derives</w:t>
      </w:r>
      <w:r>
        <w:t xml:space="preserve"> </w:t>
      </w:r>
      <w:r>
        <w:t xml:space="preserve">a typology of neighborhood mobility profiles. The number of clusters k is chosen</w:t>
      </w:r>
      <w:r>
        <w:t xml:space="preserve"> </w:t>
      </w:r>
      <w:r>
        <w:t xml:space="preserve">by maximizing the mean silhouette score over k ∈ {2,…,7}, with the inertia</w:t>
      </w:r>
      <w:r>
        <w:t xml:space="preserve"> </w:t>
      </w:r>
      <w:r>
        <w:t xml:space="preserve">(elbow) curve reported for validation. Each cluster is given an interpretable</w:t>
      </w:r>
      <w:r>
        <w:t xml:space="preserve"> </w:t>
      </w:r>
      <w:r>
        <w:t xml:space="preserve">label from its centroid profile (e.g.,</w:t>
      </w:r>
      <w:r>
        <w:t xml:space="preserve"> </w:t>
      </w:r>
      <w:r>
        <w:t xml:space="preserve">“uniformly under-served,”</w:t>
      </w:r>
      <w:r>
        <w:t xml:space="preserve"> </w:t>
      </w:r>
      <w:r>
        <w:t xml:space="preserve">“well-served /</w:t>
      </w:r>
      <w:r>
        <w:t xml:space="preserve"> </w:t>
      </w:r>
      <w:r>
        <w:t xml:space="preserve">multimodal,”</w:t>
      </w:r>
      <w:r>
        <w:t xml:space="preserve"> </w:t>
      </w:r>
      <w:r>
        <w:t xml:space="preserve">or</w:t>
      </w:r>
      <w:r>
        <w:t xml:space="preserve"> </w:t>
      </w:r>
      <w:r>
        <w:t xml:space="preserve">“transit-rich, bike-poor”</w:t>
      </w:r>
      <w:r>
        <w:t xml:space="preserve">) for the Chapter 4 typology table.</w:t>
      </w:r>
    </w:p>
    <w:bookmarkEnd w:id="31"/>
    <w:bookmarkStart w:id="32" w:name="dashboard-development"/>
    <w:p>
      <w:pPr>
        <w:pStyle w:val="Heading3"/>
      </w:pPr>
      <w:r>
        <w:t xml:space="preserve">3.11 Dashboard Development</w:t>
      </w:r>
    </w:p>
    <w:p>
      <w:pPr>
        <w:pStyle w:val="FirstParagraph"/>
      </w:pPr>
      <w:r>
        <w:t xml:space="preserve">The interactive dashboard (</w:t>
      </w:r>
      <w:r>
        <w:rPr>
          <w:rStyle w:val="VerbatimChar"/>
        </w:rPr>
        <w:t xml:space="preserve">src/dashboard/</w:t>
      </w:r>
      <w:r>
        <w:t xml:space="preserve">, Plotly Dash + Dash Bootstrap</w:t>
      </w:r>
      <w:r>
        <w:t xml:space="preserve"> </w:t>
      </w:r>
      <w:r>
        <w:t xml:space="preserve">Components) follows a modular layout/callbacks/utilities architecture. It</w:t>
      </w:r>
      <w:r>
        <w:t xml:space="preserve"> </w:t>
      </w:r>
      <w:r>
        <w:t xml:space="preserve">provides: a tract-level choropleth of the MES or any sub-index (reversed</w:t>
      </w:r>
      <w:r>
        <w:t xml:space="preserve"> </w:t>
      </w:r>
      <w:r>
        <w:t xml:space="preserve">yellow-orange-red scale, darkest = worst) with desert filters; a click-through</w:t>
      </w:r>
      <w:r>
        <w:t xml:space="preserve"> </w:t>
      </w:r>
      <w:r>
        <w:t xml:space="preserve">side panel showing a tract’s MES, city percentile, a sub-index bar chart versus</w:t>
      </w:r>
      <w:r>
        <w:t xml:space="preserve"> </w:t>
      </w:r>
      <w:r>
        <w:t xml:space="preserve">the city median, an auto-generated plain-language interpretation, and a</w:t>
      </w:r>
      <w:r>
        <w:t xml:space="preserve"> </w:t>
      </w:r>
      <w:r>
        <w:t xml:space="preserve">demographic summary; a city-comparison equity-gap chart (median MES of the</w:t>
      </w:r>
      <w:r>
        <w:t xml:space="preserve"> </w:t>
      </w:r>
      <w:r>
        <w:t xml:space="preserve">poorest versus richest income quintile); a ranked table of the most</w:t>
      </w:r>
      <w:r>
        <w:t xml:space="preserve"> </w:t>
      </w:r>
      <w:r>
        <w:t xml:space="preserve">disadvantaged tracts; and CSV/PNG export. Each MES file records the measurement</w:t>
      </w:r>
      <w:r>
        <w:t xml:space="preserve"> </w:t>
      </w:r>
      <w:r>
        <w:t xml:space="preserve">status of every layer so placeholder data is never displayed as measured.</w:t>
      </w:r>
    </w:p>
    <w:bookmarkEnd w:id="32"/>
    <w:bookmarkStart w:id="33" w:name="reproducibility-and-tooling"/>
    <w:p>
      <w:pPr>
        <w:pStyle w:val="Heading3"/>
      </w:pPr>
      <w:r>
        <w:t xml:space="preserve">3.12 Reproducibility and Tooling</w:t>
      </w:r>
    </w:p>
    <w:p>
      <w:pPr>
        <w:pStyle w:val="FirstParagraph"/>
      </w:pPr>
      <w:r>
        <w:t xml:space="preserve">The project targets Python 3.11 with a pinned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Every stage is</w:t>
      </w:r>
      <w:r>
        <w:t xml:space="preserve"> </w:t>
      </w:r>
      <w:r>
        <w:t xml:space="preserve">an independently-runnable module, raw downloads are cached, and 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</w:t>
      </w:r>
      <w:r>
        <w:t xml:space="preserve"> </w:t>
      </w:r>
      <w:r>
        <w:t xml:space="preserve">covers normalization, MES construction and desert flagging, and the correlation</w:t>
      </w:r>
      <w:r>
        <w:t xml:space="preserve"> </w:t>
      </w:r>
      <w:r>
        <w:t xml:space="preserve">statistics. Code, data-processing scripts, and documentation are version-</w:t>
      </w:r>
      <w:r>
        <w:t xml:space="preserve"> </w:t>
      </w:r>
      <w:r>
        <w:t xml:space="preserve">controlled, with raw and large artefacts gitignored.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1802959e78b052849afddd26f7c3c941e951e62"/>
    <w:p>
      <w:pPr>
        <w:pStyle w:val="Heading2"/>
      </w:pPr>
      <w:r>
        <w:t xml:space="preserve">References (selected; to be completed in final draft)</w:t>
      </w:r>
    </w:p>
    <w:p>
      <w:pPr>
        <w:pStyle w:val="Compact"/>
        <w:numPr>
          <w:ilvl w:val="0"/>
          <w:numId w:val="1004"/>
        </w:numPr>
      </w:pPr>
      <w:r>
        <w:t xml:space="preserve">Anselin, L. (1995). Local Indicators of Spatial Association—LISA.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, 27(2), 93–115.</w:t>
      </w:r>
    </w:p>
    <w:p>
      <w:pPr>
        <w:pStyle w:val="Compact"/>
        <w:numPr>
          <w:ilvl w:val="0"/>
          <w:numId w:val="1004"/>
        </w:numPr>
      </w:pPr>
      <w:r>
        <w:t xml:space="preserve">Boeing, G. (2017). OSMnx: New methods for acquiring, constructing, analyzing, and visualizing complex street networks.</w:t>
      </w:r>
      <w:r>
        <w:t xml:space="preserve"> </w:t>
      </w:r>
      <w:r>
        <w:rPr>
          <w:i/>
          <w:iCs/>
        </w:rPr>
        <w:t xml:space="preserve">Computers, Environment and Urban Systems</w:t>
      </w:r>
      <w:r>
        <w:t xml:space="preserve">, 65, 126–139.</w:t>
      </w:r>
    </w:p>
    <w:p>
      <w:pPr>
        <w:pStyle w:val="Compact"/>
        <w:numPr>
          <w:ilvl w:val="0"/>
          <w:numId w:val="1004"/>
        </w:numPr>
      </w:pPr>
      <w:r>
        <w:t xml:space="preserve">Karner, A., London, J., Rowangould, D., &amp; Manaugh, K. (2020). From transportation equity to transportation justice.</w:t>
      </w:r>
      <w:r>
        <w:t xml:space="preserve"> </w:t>
      </w:r>
      <w:r>
        <w:rPr>
          <w:i/>
          <w:iCs/>
        </w:rPr>
        <w:t xml:space="preserve">Journal of Planning Literature</w:t>
      </w:r>
      <w:r>
        <w:t xml:space="preserve">, 35(4), 440–459.</w:t>
      </w:r>
    </w:p>
    <w:p>
      <w:pPr>
        <w:pStyle w:val="Compact"/>
        <w:numPr>
          <w:ilvl w:val="0"/>
          <w:numId w:val="1004"/>
        </w:numPr>
      </w:pPr>
      <w:r>
        <w:t xml:space="preserve">Levine, J., Grengs, J., Shen, Q., &amp; Shen, Q. (2012). Does accessibility require density or speed?</w:t>
      </w:r>
      <w:r>
        <w:t xml:space="preserve"> </w:t>
      </w:r>
      <w:r>
        <w:rPr>
          <w:i/>
          <w:iCs/>
        </w:rPr>
        <w:t xml:space="preserve">Journal of the American Planning Association</w:t>
      </w:r>
      <w:r>
        <w:t xml:space="preserve">, 78(2), 157–172.</w:t>
      </w:r>
    </w:p>
    <w:p>
      <w:pPr>
        <w:pStyle w:val="Compact"/>
        <w:numPr>
          <w:ilvl w:val="0"/>
          <w:numId w:val="1004"/>
        </w:numPr>
      </w:pPr>
      <w:r>
        <w:t xml:space="preserve">Litman, T. (2023).</w:t>
      </w:r>
      <w:r>
        <w:t xml:space="preserve"> </w:t>
      </w:r>
      <w:r>
        <w:rPr>
          <w:i/>
          <w:iCs/>
        </w:rPr>
        <w:t xml:space="preserve">Evaluating Transportation Equity</w:t>
      </w:r>
      <w:r>
        <w:t xml:space="preserve">. Victoria Transport Policy Institute.</w:t>
      </w:r>
    </w:p>
    <w:p>
      <w:pPr>
        <w:pStyle w:val="Compact"/>
        <w:numPr>
          <w:ilvl w:val="0"/>
          <w:numId w:val="1004"/>
        </w:numPr>
      </w:pPr>
      <w:r>
        <w:t xml:space="preserve">Martens, K. (2017).</w:t>
      </w:r>
      <w:r>
        <w:t xml:space="preserve"> </w:t>
      </w:r>
      <w:r>
        <w:rPr>
          <w:i/>
          <w:iCs/>
        </w:rPr>
        <w:t xml:space="preserve">Transport Justice: Designing Fair Transportation Systems</w:t>
      </w:r>
      <w:r>
        <w:t xml:space="preserve">. Routledge.</w:t>
      </w:r>
    </w:p>
    <w:p>
      <w:pPr>
        <w:pStyle w:val="Compact"/>
        <w:numPr>
          <w:ilvl w:val="0"/>
          <w:numId w:val="1004"/>
        </w:numPr>
      </w:pPr>
      <w:r>
        <w:t xml:space="preserve">Nardo, M., Saisana, M., Saltelli, A., et al. (2008).</w:t>
      </w:r>
      <w:r>
        <w:t xml:space="preserve"> </w:t>
      </w:r>
      <w:r>
        <w:rPr>
          <w:i/>
          <w:iCs/>
        </w:rPr>
        <w:t xml:space="preserve">Handbook on Constructing Composite Indicators</w:t>
      </w:r>
      <w:r>
        <w:t xml:space="preserve">. OECD/JRC.</w:t>
      </w:r>
    </w:p>
    <w:p>
      <w:pPr>
        <w:pStyle w:val="Compact"/>
        <w:numPr>
          <w:ilvl w:val="0"/>
          <w:numId w:val="1004"/>
        </w:numPr>
      </w:pPr>
      <w:r>
        <w:t xml:space="preserve">Rey, S. J., &amp; Anselin, L. (2007). PySAL: A Python library of spatial analytical methods.</w:t>
      </w:r>
      <w:r>
        <w:t xml:space="preserve"> </w:t>
      </w:r>
      <w:r>
        <w:rPr>
          <w:i/>
          <w:iCs/>
        </w:rPr>
        <w:t xml:space="preserve">The Review of Regional Studies</w:t>
      </w:r>
      <w:r>
        <w:t xml:space="preserve">, 37(1), 5–27.</w:t>
      </w:r>
    </w:p>
    <w:p>
      <w:pPr>
        <w:pStyle w:val="Compact"/>
        <w:numPr>
          <w:ilvl w:val="0"/>
          <w:numId w:val="1004"/>
        </w:numPr>
      </w:pPr>
      <w:r>
        <w:t xml:space="preserve">Rousseeuw, P. J. (1987). Silhouettes: A graphical aid to the interpretation and validation of cluster analysis.</w:t>
      </w:r>
      <w:r>
        <w:t xml:space="preserve"> </w:t>
      </w:r>
      <w:r>
        <w:rPr>
          <w:i/>
          <w:iCs/>
        </w:rPr>
        <w:t xml:space="preserve">Journal of Computational and Applied Mathematics</w:t>
      </w:r>
      <w:r>
        <w:t xml:space="preserve">, 20, 53–65.</w:t>
      </w:r>
    </w:p>
    <w:p>
      <w:pPr>
        <w:pStyle w:val="Compact"/>
        <w:numPr>
          <w:ilvl w:val="0"/>
          <w:numId w:val="1004"/>
        </w:numPr>
      </w:pPr>
      <w:r>
        <w:t xml:space="preserve">Sheller, M. (2018).</w:t>
      </w:r>
      <w:r>
        <w:t xml:space="preserve"> </w:t>
      </w:r>
      <w:r>
        <w:rPr>
          <w:i/>
          <w:iCs/>
        </w:rPr>
        <w:t xml:space="preserve">Mobility Justice: The Politics of Movement in an Age of Extremes</w:t>
      </w:r>
      <w:r>
        <w:t xml:space="preserve">. Verso.</w:t>
      </w:r>
    </w:p>
    <w:p>
      <w:pPr>
        <w:pStyle w:val="Compact"/>
        <w:numPr>
          <w:ilvl w:val="0"/>
          <w:numId w:val="1004"/>
        </w:numPr>
      </w:pPr>
      <w:r>
        <w:t xml:space="preserve">U.S. EPA (2021).</w:t>
      </w:r>
      <w:r>
        <w:t xml:space="preserve"> </w:t>
      </w:r>
      <w:r>
        <w:rPr>
          <w:i/>
          <w:iCs/>
        </w:rPr>
        <w:t xml:space="preserve">Smart Location Database Technical Documentation and User Guide, Version 3.0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2026-06-15T17:56:24Z</dcterms:created>
  <dcterms:modified xsi:type="dcterms:W3CDTF">2026-06-15T17:56:24Z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