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2.png" ContentType="image/png"/>
  <Override PartName="/word/media/rId64.png" ContentType="image/png"/>
  <Override PartName="/word/media/rId47.png" ContentType="image/png"/>
  <Override PartName="/word/media/rId74.png" ContentType="image/png"/>
  <Override PartName="/word/media/rId71.png" ContentType="image/png"/>
  <Override PartName="/word/media/rId52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MS PROJECT — FINAL REPORT (CHAPTERS 1–5)</w:t>
      </w:r>
      <w:r>
        <w:br/>
      </w:r>
      <w:r>
        <w:t xml:space="preserve">EMGT 7945 MS Project</w:t>
      </w:r>
      <w:r>
        <w:br/>
      </w:r>
      <w:r>
        <w:t xml:space="preserve"> </w:t>
      </w:r>
      <w:r>
        <w:rPr>
          <w:b/>
          <w:bCs/>
        </w:rPr>
        <w:t xml:space="preserve">Urban Mobility Equity Dashboard:</w:t>
      </w:r>
      <w:r>
        <w:br/>
      </w:r>
      <w:r>
        <w:t xml:space="preserve"> </w:t>
      </w:r>
      <w:r>
        <w:rPr>
          <w:b/>
          <w:bCs/>
        </w:rPr>
        <w:t xml:space="preserve">Mapping Who Gets Left Behind in U.S. Cities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Submitted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Aashritha Krishna Kanagala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Science in Engineering Management (MSEM)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EMGT 7945 MS Project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Northeastern University, Boston, Massachusetts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Sivarit (Tony) Sultornsanee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15,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Urban mobility infrastructure — public transit, walkable streets, bicycle</w:t>
      </w:r>
      <w:r>
        <w:t xml:space="preserve"> </w:t>
      </w:r>
      <w:r>
        <w:t xml:space="preserve">facilities, and electric-vehicle (EV) charging — is unevenly distributed, yet</w:t>
      </w:r>
      <w:r>
        <w:t xml:space="preserve"> </w:t>
      </w:r>
      <w:r>
        <w:t xml:space="preserve">existing measurement tools treat each dimension in isolation. This project</w:t>
      </w:r>
      <w:r>
        <w:t xml:space="preserve"> </w:t>
      </w:r>
      <w:r>
        <w:t xml:space="preserve">constructs a</w:t>
      </w:r>
      <w:r>
        <w:t xml:space="preserve"> </w:t>
      </w:r>
      <w:r>
        <w:rPr>
          <w:i/>
          <w:iCs/>
        </w:rPr>
        <w:t xml:space="preserve">Mobility Equity Score</w:t>
      </w:r>
      <w:r>
        <w:t xml:space="preserve"> </w:t>
      </w:r>
      <w:r>
        <w:t xml:space="preserve">(MES): a transparent, reproducible</w:t>
      </w:r>
      <w:r>
        <w:t xml:space="preserve"> </w:t>
      </w:r>
      <w:r>
        <w:t xml:space="preserve">composite index that integrates all four dimensions at the U.S. Census-tract</w:t>
      </w:r>
      <w:r>
        <w:t xml:space="preserve"> </w:t>
      </w:r>
      <w:r>
        <w:t xml:space="preserve">level, and applies it to three structurally distinct cities (Chicago, Houston,</w:t>
      </w:r>
      <w:r>
        <w:t xml:space="preserve"> </w:t>
      </w:r>
      <w:r>
        <w:t xml:space="preserve">Seattle) using only open data. Across all three cities the MES exhibits strong,</w:t>
      </w:r>
      <w:r>
        <w:t xml:space="preserve"> </w:t>
      </w:r>
      <w:r>
        <w:t xml:space="preserve">significant spatial clustering (global Moran’s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0.82</m:t>
        </m:r>
      </m:oMath>
      <w:r>
        <w:t xml:space="preserve">–</w:t>
      </w:r>
      <m:oMath>
        <m:r>
          <m:t>0.92</m:t>
        </m:r>
      </m:oMath>
      <w:r>
        <w:t xml:space="preserve">) and is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associated with the share of zero-vehicle and renter</w:t>
      </w:r>
      <w:r>
        <w:t xml:space="preserve"> </w:t>
      </w:r>
      <w:r>
        <w:t xml:space="preserve">households, reflecting that supply-side infrastructure concentrates in dense,</w:t>
      </w:r>
      <w:r>
        <w:t xml:space="preserve"> </w:t>
      </w:r>
      <w:r>
        <w:t xml:space="preserve">central tracts. The bivariate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association with median income is</w:t>
      </w:r>
      <w:r>
        <w:t xml:space="preserve"> </w:t>
      </w:r>
      <w:r>
        <w:t xml:space="preserve">largely accounted for by urban form: after controlling for population density</w:t>
      </w:r>
      <w:r>
        <w:t xml:space="preserve"> </w:t>
      </w:r>
      <w:r>
        <w:t xml:space="preserve">and distance to the central business district — and after spatial-regression</w:t>
      </w:r>
      <w:r>
        <w:t xml:space="preserve"> </w:t>
      </w:r>
      <w:r>
        <w:t xml:space="preserve">correction for the strong spatial dependence — it attenuates to</w:t>
      </w:r>
      <w:r>
        <w:t xml:space="preserve"> </w:t>
      </w:r>
      <w:r>
        <w:t xml:space="preserve">non-significance in Houston, reverses weakly in Chicago, and persists only in</w:t>
      </w:r>
      <w:r>
        <w:t xml:space="preserve"> </w:t>
      </w:r>
      <w:r>
        <w:t xml:space="preserve">Seattle. The results are therefore interpreted as</w:t>
      </w:r>
      <w:r>
        <w:t xml:space="preserve"> </w:t>
      </w:r>
      <w:r>
        <w:rPr>
          <w:i/>
          <w:iCs/>
        </w:rPr>
        <w:t xml:space="preserve">associational</w:t>
      </w:r>
      <w:r>
        <w:t xml:space="preserve"> </w:t>
      </w:r>
      <w:r>
        <w:t xml:space="preserve">and</w:t>
      </w:r>
      <w:r>
        <w:t xml:space="preserve"> </w:t>
      </w:r>
      <w:r>
        <w:t xml:space="preserve">consistent with a supply–</w:t>
      </w:r>
      <w:r>
        <w:rPr>
          <w:i/>
          <w:iCs/>
        </w:rPr>
        <w:t xml:space="preserve">need</w:t>
      </w:r>
      <w:r>
        <w:t xml:space="preserve"> </w:t>
      </w:r>
      <w:r>
        <w:t xml:space="preserve">mismatch (need proxied by car-free and</w:t>
      </w:r>
      <w:r>
        <w:t xml:space="preserve"> </w:t>
      </w:r>
      <w:r>
        <w:t xml:space="preserve">renter households), not as evidence of a causal relationship. The methodology is</w:t>
      </w:r>
      <w:r>
        <w:t xml:space="preserve"> </w:t>
      </w:r>
      <w:r>
        <w:t xml:space="preserve">released as an open-source pipeline and an interactive dashboard so any city with</w:t>
      </w:r>
      <w:r>
        <w:t xml:space="preserve"> </w:t>
      </w:r>
      <w:r>
        <w:t xml:space="preserve">open data can reproduce the analysis.</w:t>
      </w:r>
    </w:p>
    <w:p>
      <w:pPr>
        <w:pStyle w:val="BodyText"/>
      </w:pPr>
      <w:r>
        <w:t xml:space="preserve"> </w:t>
      </w:r>
    </w:p>
    <w:bookmarkStart w:id="15" w:name="introduction-and-motivation"/>
    <w:p>
      <w:pPr>
        <w:pStyle w:val="Heading1"/>
      </w:pPr>
      <w:r>
        <w:t xml:space="preserve">Introduction and Motivation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Transportation is a fundamental determinant of economic opportunity in urban</w:t>
      </w:r>
      <w:r>
        <w:t xml:space="preserve"> </w:t>
      </w:r>
      <w:r>
        <w:t xml:space="preserve">America. A person’s ability to reach employment, healthcare, education, and</w:t>
      </w:r>
      <w:r>
        <w:t xml:space="preserve"> </w:t>
      </w:r>
      <w:r>
        <w:t xml:space="preserve">essential services depends on a layered ecosystem of infrastructure: transit</w:t>
      </w:r>
      <w:r>
        <w:t xml:space="preserve"> </w:t>
      </w:r>
      <w:r>
        <w:t xml:space="preserve">frequency and coverage, pedestrian networks, bicycle facilities, and access to</w:t>
      </w:r>
      <w:r>
        <w:t xml:space="preserve"> </w:t>
      </w:r>
      <w:r>
        <w:t xml:space="preserve">electric-vehicle (EV) charging. Each dimension has documented equity gaps.</w:t>
      </w:r>
      <w:r>
        <w:t xml:space="preserve"> </w:t>
      </w:r>
      <w:r>
        <w:t xml:space="preserve">Transit deserts disproportionately affect low-income and minority</w:t>
      </w:r>
      <w:r>
        <w:t xml:space="preserve"> </w:t>
      </w:r>
      <w:r>
        <w:t xml:space="preserve">communities </w:t>
      </w:r>
      <w:r>
        <w:t xml:space="preserve">; walkability is highly racialized, with</w:t>
      </w:r>
      <w:r>
        <w:t xml:space="preserve"> </w:t>
      </w:r>
      <w:r>
        <w:t xml:space="preserve">communities of color inhabiting systematically less walkable</w:t>
      </w:r>
      <w:r>
        <w:t xml:space="preserve"> </w:t>
      </w:r>
      <w:r>
        <w:t xml:space="preserve">neighborhoods </w:t>
      </w:r>
      <w:r>
        <w:t xml:space="preserve">; disadvantaged communities have roughly 64% fewer</w:t>
      </w:r>
      <w:r>
        <w:t xml:space="preserve"> </w:t>
      </w:r>
      <w:r>
        <w:t xml:space="preserve">public EV chargers per capita </w:t>
      </w:r>
      <w:r>
        <w:t xml:space="preserve">; and bicycle infrastructure remains</w:t>
      </w:r>
      <w:r>
        <w:t xml:space="preserve"> </w:t>
      </w:r>
      <w:r>
        <w:t xml:space="preserve">underfunded in lower-income areas </w:t>
      </w:r>
      <w:r>
        <w:t xml:space="preserve">. Despite this evidence, the</w:t>
      </w:r>
      <w:r>
        <w:t xml:space="preserve"> </w:t>
      </w:r>
      <w:r>
        <w:t xml:space="preserve">available measurement tools remain siloed — the EPA National Walkability Index,</w:t>
      </w:r>
      <w:r>
        <w:t xml:space="preserve"> </w:t>
      </w:r>
      <w:r>
        <w:t xml:space="preserve">the DOE Alternative Fuels Station Locator, the FTA National Transit Database, and</w:t>
      </w:r>
      <w:r>
        <w:t xml:space="preserve"> </w:t>
      </w:r>
      <w:r>
        <w:t xml:space="preserve">OpenStreetMap bicycle data each capture one dimension in isolation.</w:t>
      </w:r>
    </w:p>
    <w:bookmarkEnd w:id="9"/>
    <w:bookmarkStart w:id="1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Low-income and minority neighborhoods may experience</w:t>
      </w:r>
      <w:r>
        <w:t xml:space="preserve"> </w:t>
      </w:r>
      <w:r>
        <w:rPr>
          <w:i/>
          <w:iCs/>
        </w:rPr>
        <w:t xml:space="preserve">compounded</w:t>
      </w:r>
      <w:r>
        <w:t xml:space="preserve">,</w:t>
      </w:r>
      <w:r>
        <w:t xml:space="preserve"> </w:t>
      </w:r>
      <w:r>
        <w:t xml:space="preserve">multi-dimensional mobility disadvantage — scoring poorly across several</w:t>
      </w:r>
      <w:r>
        <w:t xml:space="preserve"> </w:t>
      </w:r>
      <w:r>
        <w:t xml:space="preserve">dimensions at once rather than in a single dimension. The magnitude of this</w:t>
      </w:r>
      <w:r>
        <w:t xml:space="preserve"> </w:t>
      </w:r>
      <w:r>
        <w:t xml:space="preserve">compounding, and where it is most severe, have not been quantified in an</w:t>
      </w:r>
      <w:r>
        <w:t xml:space="preserve"> </w:t>
      </w:r>
      <w:r>
        <w:t xml:space="preserve">integrated, reproducible framework. Equally unexamined is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the supply-side relationship: whether infrastructure is scarcest where</w:t>
      </w:r>
      <w:r>
        <w:t xml:space="preserve"> </w:t>
      </w:r>
      <w:r>
        <w:t xml:space="preserve">demand-side need (car-free, low-income households) is greatest, or whether it</w:t>
      </w:r>
      <w:r>
        <w:t xml:space="preserve"> </w:t>
      </w:r>
      <w:r>
        <w:t xml:space="preserve">instead concentrates in dense cores for reasons of land use and density. Both</w:t>
      </w:r>
      <w:r>
        <w:t xml:space="preserve"> </w:t>
      </w:r>
      <w:r>
        <w:t xml:space="preserve">questions impede evidence-based infrastructure-investment decisions.</w:t>
      </w:r>
    </w:p>
    <w:bookmarkEnd w:id="10"/>
    <w:bookmarkStart w:id="11" w:name="research-questions"/>
    <w:p>
      <w:pPr>
        <w:pStyle w:val="Heading2"/>
      </w:pPr>
      <w:r>
        <w:t xml:space="preserve">Research Questions</w:t>
      </w:r>
    </w:p>
    <w:p>
      <w:pPr>
        <w:pStyle w:val="FirstParagraph"/>
      </w:pPr>
      <w:r>
        <w:t xml:space="preserve">The project is framed around one central question and four measurable</w:t>
      </w:r>
      <w:r>
        <w:t xml:space="preserve"> </w:t>
      </w:r>
      <w:r>
        <w:t xml:space="preserve">sub-questions. Each sub-question names the specific quantity, statistical test,</w:t>
      </w:r>
      <w:r>
        <w:t xml:space="preserve"> </w:t>
      </w:r>
      <w:r>
        <w:t xml:space="preserve">and decision criterion used to answer it (developed in Chapter 3).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(Measurement.)</w:t>
      </w:r>
      <w:r>
        <w:t xml:space="preserve"> </w:t>
      </w:r>
      <w:r>
        <w:t xml:space="preserve">Can four heterogeneous open datasets be integrated</w:t>
      </w:r>
      <w:r>
        <w:t xml:space="preserve"> </w:t>
      </w:r>
      <w:r>
        <w:t xml:space="preserve">into a single tract-level composite (MES) whose components are related but</w:t>
      </w:r>
      <w:r>
        <w:t xml:space="preserve"> </w:t>
      </w:r>
      <w:r>
        <w:t xml:space="preserve">non-redundant (inter-sub-index correlations reported) and whose downstream</w:t>
      </w:r>
      <w:r>
        <w:t xml:space="preserve"> </w:t>
      </w:r>
      <w:r>
        <w:t xml:space="preserve">findings are stable under alternative weighting schemes (sign and significance</w:t>
      </w:r>
      <w:r>
        <w:t xml:space="preserve"> </w:t>
      </w:r>
      <w:r>
        <w:t xml:space="preserve">unchanged across equal, entropy, PCA, and policy-priority weights)?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(Distribution.)</w:t>
      </w:r>
      <w:r>
        <w:t xml:space="preserve"> </w:t>
      </w:r>
      <w:r>
        <w:t xml:space="preserve">What share of tracts in each city are mobility</w:t>
      </w:r>
      <w:r>
        <w:t xml:space="preserve"> </w:t>
      </w:r>
      <w:r>
        <w:t xml:space="preserve">deserts (MES below the 25th percentile) and compounded deserts (bottom quartile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sub-indices), and is that classification robust to the threshold</w:t>
      </w:r>
      <w:r>
        <w:t xml:space="preserve"> </w:t>
      </w:r>
      <w:r>
        <w:t xml:space="preserve">(Jaccard overlap</w:t>
      </w:r>
      <w:r>
        <w:t xml:space="preserve"> </w:t>
      </w:r>
      <m:oMath>
        <m:r>
          <m:rPr>
            <m:sty m:val="p"/>
          </m:rPr>
          <m:t>≥</m:t>
        </m:r>
        <m:r>
          <m:t>0.75</m:t>
        </m:r>
      </m:oMath>
      <w:r>
        <w:t xml:space="preserve"> </w:t>
      </w:r>
      <w:r>
        <w:t xml:space="preserve">across the 20th/25th/30th percentiles)?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(Equity.)</w:t>
      </w:r>
      <w:r>
        <w:t xml:space="preserve"> </w:t>
      </w:r>
      <w:r>
        <w:t xml:space="preserve">What is the sign, magnitude (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), and significance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95% CI excluding zero) of the association between the MES and each</w:t>
      </w:r>
      <w:r>
        <w:t xml:space="preserve"> </w:t>
      </w:r>
      <w:r>
        <w:t xml:space="preserve">of median income, percent non-white, percent zero-vehicle, and percent renter?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(Spatial structure and typology.)</w:t>
      </w:r>
      <w:r>
        <w:t xml:space="preserve"> </w:t>
      </w:r>
      <w:r>
        <w:t xml:space="preserve">Do MES values cluster spatially</w:t>
      </w:r>
      <w:r>
        <w:t xml:space="preserve"> </w:t>
      </w:r>
      <w:r>
        <w:t xml:space="preserve">(global Moran’s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), where are the statistically significant</w:t>
      </w:r>
      <w:r>
        <w:t xml:space="preserve"> </w:t>
      </w:r>
      <w:r>
        <w:t xml:space="preserve">low-low cold spots (local Moran’s</w:t>
      </w:r>
      <w:r>
        <w:t xml:space="preserve"> </w:t>
      </w:r>
      <m:oMath>
        <m:r>
          <m:t>I</m:t>
        </m:r>
      </m:oMath>
      <w:r>
        <w:t xml:space="preserve">), and how many distinct mobility</w:t>
      </w:r>
      <w:r>
        <w:t xml:space="preserve"> </w:t>
      </w:r>
      <w:r>
        <w:t xml:space="preserve">“profiles”</w:t>
      </w:r>
      <w:r>
        <w:t xml:space="preserve"> </w:t>
      </w:r>
      <w:r>
        <w:t xml:space="preserve">(K-means, silhouette-selected</w:t>
      </w:r>
      <w:r>
        <w:t xml:space="preserve"> </w:t>
      </w:r>
      <m:oMath>
        <m:r>
          <m:t>k</m:t>
        </m:r>
      </m:oMath>
      <w:r>
        <w:t xml:space="preserve">) recur across neighborhoods?</w:t>
      </w:r>
    </w:p>
    <w:bookmarkEnd w:id="11"/>
    <w:bookmarkStart w:id="12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2"/>
        </w:numPr>
      </w:pPr>
      <w:r>
        <w:t xml:space="preserve">Construct the MES from four equally-weighted, 0–100-normalized</w:t>
      </w:r>
      <w:r>
        <w:t xml:space="preserve"> </w:t>
      </w:r>
      <w:r>
        <w:t xml:space="preserve">sub-indices at the census-tract level for three Phase-1 cities, with documented</w:t>
      </w:r>
      <w:r>
        <w:t xml:space="preserve"> </w:t>
      </w:r>
      <w:r>
        <w:t xml:space="preserve">indicator selection and normalization.</w:t>
      </w:r>
    </w:p>
    <w:p>
      <w:pPr>
        <w:numPr>
          <w:ilvl w:val="0"/>
          <w:numId w:val="1002"/>
        </w:numPr>
      </w:pPr>
      <w:r>
        <w:t xml:space="preserve">Quantify the association between the MES and four socioeconomic indicators</w:t>
      </w:r>
      <w:r>
        <w:t xml:space="preserve"> </w:t>
      </w:r>
      <w:r>
        <w:t xml:space="preserve">with effect sizes,</w:t>
      </w:r>
      <w:r>
        <w:t xml:space="preserve"> </w:t>
      </w:r>
      <m:oMath>
        <m:r>
          <m:t>p</m:t>
        </m:r>
      </m:oMath>
      <w:r>
        <w:t xml:space="preserve">-values, and confidence intervals.</w:t>
      </w:r>
    </w:p>
    <w:p>
      <w:pPr>
        <w:numPr>
          <w:ilvl w:val="0"/>
          <w:numId w:val="1002"/>
        </w:numPr>
      </w:pPr>
      <w:r>
        <w:t xml:space="preserve">Classify and rank mobility deserts and compounded deserts, and validate the</w:t>
      </w:r>
      <w:r>
        <w:t xml:space="preserve"> </w:t>
      </w:r>
      <w:r>
        <w:t xml:space="preserve">classification against threshold and weighting sensitivity.</w:t>
      </w:r>
    </w:p>
    <w:p>
      <w:pPr>
        <w:numPr>
          <w:ilvl w:val="0"/>
          <w:numId w:val="1002"/>
        </w:numPr>
      </w:pPr>
      <w:r>
        <w:t xml:space="preserve">Characterize the spatial structure (Moran’s</w:t>
      </w:r>
      <w:r>
        <w:t xml:space="preserve"> </w:t>
      </w:r>
      <m:oMath>
        <m:r>
          <m:t>I</m:t>
        </m:r>
      </m:oMath>
      <w:r>
        <w:t xml:space="preserve">/LISA) and the recurring</w:t>
      </w:r>
      <w:r>
        <w:t xml:space="preserve"> </w:t>
      </w:r>
      <w:r>
        <w:t xml:space="preserve">neighborhood mobility typologies (K-means).</w:t>
      </w:r>
    </w:p>
    <w:p>
      <w:pPr>
        <w:numPr>
          <w:ilvl w:val="0"/>
          <w:numId w:val="1002"/>
        </w:numPr>
      </w:pPr>
      <w:r>
        <w:t xml:space="preserve">Release a reproducible open-source pipeline and an interactive dashboard</w:t>
      </w:r>
      <w:r>
        <w:t xml:space="preserve"> </w:t>
      </w:r>
      <w:r>
        <w:t xml:space="preserve">for dissemination and replication.</w:t>
      </w:r>
    </w:p>
    <w:bookmarkEnd w:id="12"/>
    <w:bookmarkStart w:id="13" w:name="research-contributions"/>
    <w:p>
      <w:pPr>
        <w:pStyle w:val="Heading2"/>
      </w:pPr>
      <w:r>
        <w:t xml:space="preserve">Research Contributions</w:t>
      </w:r>
    </w:p>
    <w:p>
      <w:pPr>
        <w:pStyle w:val="FirstParagraph"/>
      </w:pPr>
      <w:r>
        <w:t xml:space="preserve">The contribution of this work is</w:t>
      </w:r>
      <w:r>
        <w:t xml:space="preserve"> </w:t>
      </w:r>
      <w:r>
        <w:rPr>
          <w:i/>
          <w:iCs/>
        </w:rPr>
        <w:t xml:space="preserve">methodological and empirical</w:t>
      </w:r>
      <w:r>
        <w:t xml:space="preserve">, not the</w:t>
      </w:r>
      <w:r>
        <w:t xml:space="preserve"> </w:t>
      </w:r>
      <w:r>
        <w:t xml:space="preserve">visualization system (the dashboard is a dissemination layer over the analysis,</w:t>
      </w:r>
      <w:r>
        <w:t xml:space="preserve"> </w:t>
      </w:r>
      <w:r>
        <w:t xml:space="preserve">not the result). Specifically: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 integrated composite.</w:t>
      </w:r>
      <w:r>
        <w:t xml:space="preserve"> </w:t>
      </w:r>
      <w:r>
        <w:t xml:space="preserve">The first open, reproducible integration</w:t>
      </w:r>
      <w:r>
        <w:t xml:space="preserve"> </w:t>
      </w:r>
      <w:r>
        <w:t xml:space="preserve">of transit, walkability, bicycle, and EV-charging supply into a single</w:t>
      </w:r>
      <w:r>
        <w:t xml:space="preserve"> </w:t>
      </w:r>
      <w:r>
        <w:t xml:space="preserve">tract-level index, where prior tools measure one dimension or one scale (Sec. 2.7).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transparent, tested methodology.</w:t>
      </w:r>
      <w:r>
        <w:t xml:space="preserve"> </w:t>
      </w:r>
      <w:r>
        <w:t xml:space="preserve">Every modeling choice —</w:t>
      </w:r>
      <w:r>
        <w:t xml:space="preserve"> </w:t>
      </w:r>
      <w:r>
        <w:t xml:space="preserve">indicator selection, within-city min–max normalization, equal-weight baseline,</w:t>
      </w:r>
      <w:r>
        <w:t xml:space="preserve"> </w:t>
      </w:r>
      <w:r>
        <w:t xml:space="preserve">and desert thresholds — is stated and stress-tested through weighting</w:t>
      </w:r>
      <w:r>
        <w:t xml:space="preserve"> </w:t>
      </w:r>
      <w:r>
        <w:t xml:space="preserve">(equal/entropy/PCA/AHP) and threshold (20/25/30th percentile) sensitivity</w:t>
      </w:r>
      <w:r>
        <w:t xml:space="preserve"> </w:t>
      </w:r>
      <w:r>
        <w:t xml:space="preserve">analyses, addressing the reproducibility and value-ladenness concerns raised for</w:t>
      </w:r>
      <w:r>
        <w:t xml:space="preserve"> </w:t>
      </w:r>
      <w:r>
        <w:t xml:space="preserve">composite indicators 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 empirical finding.</w:t>
      </w:r>
      <w:r>
        <w:t xml:space="preserve"> </w:t>
      </w:r>
      <w:r>
        <w:t xml:space="preserve">Across three structurally different cities,</w:t>
      </w:r>
      <w:r>
        <w:t xml:space="preserve"> </w:t>
      </w:r>
      <w:r>
        <w:t xml:space="preserve">supply-side mobility infrastructure concentrates in dense, central tracts that</w:t>
      </w:r>
      <w:r>
        <w:t xml:space="preserve"> </w:t>
      </w:r>
      <w:r>
        <w:t xml:space="preserve">tend to be higher-renter and car-free. The bivariate negative association with</w:t>
      </w:r>
      <w:r>
        <w:t xml:space="preserve"> </w:t>
      </w:r>
      <w:r>
        <w:t xml:space="preserve">income is shown to be largely an</w:t>
      </w:r>
      <w:r>
        <w:t xml:space="preserve"> </w:t>
      </w:r>
      <w:r>
        <w:rPr>
          <w:i/>
          <w:iCs/>
        </w:rPr>
        <w:t xml:space="preserve">urban-form artifact</w:t>
      </w:r>
      <w:r>
        <w:t xml:space="preserve"> </w:t>
      </w:r>
      <w:r>
        <w:t xml:space="preserve">(it does not survive</w:t>
      </w:r>
      <w:r>
        <w:t xml:space="preserve"> </w:t>
      </w:r>
      <w:r>
        <w:t xml:space="preserve">density/centrality controls or spatial regression, except in Seattle) —</w:t>
      </w:r>
      <w:r>
        <w:t xml:space="preserve"> </w:t>
      </w:r>
      <w:r>
        <w:t xml:space="preserve">reframing the equity question, associationally, as a supply–</w:t>
      </w:r>
      <w:r>
        <w:rPr>
          <w:i/>
          <w:iCs/>
        </w:rPr>
        <w:t xml:space="preserve">need</w:t>
      </w:r>
      <w:r>
        <w:t xml:space="preserve"> </w:t>
      </w:r>
      <w:r>
        <w:t xml:space="preserve">mismatch rather than a simple</w:t>
      </w:r>
      <w:r>
        <w:t xml:space="preserve"> </w:t>
      </w:r>
      <w:r>
        <w:t xml:space="preserve">“poor areas are under-served”</w:t>
      </w:r>
      <w:r>
        <w:t xml:space="preserve"> </w:t>
      </w:r>
      <w:r>
        <w:t xml:space="preserve">narrative (Sec. 5).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replication artifact.</w:t>
      </w:r>
      <w:r>
        <w:t xml:space="preserve"> </w:t>
      </w:r>
      <w:r>
        <w:t xml:space="preserve">A documented Python pipeline (MIT-licensed)</w:t>
      </w:r>
      <w:r>
        <w:t xml:space="preserve"> </w:t>
      </w:r>
      <w:r>
        <w:t xml:space="preserve">that reproduces the entire analysis for any U.S. city with open data.</w:t>
      </w:r>
    </w:p>
    <w:bookmarkEnd w:id="13"/>
    <w:bookmarkStart w:id="14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Chapter 2 critically reviews prior work and isolates the gap. Chapter 3 specifies</w:t>
      </w:r>
      <w:r>
        <w:t xml:space="preserve"> </w:t>
      </w:r>
      <w:r>
        <w:t xml:space="preserve">the methodology. Chapter 4 presents results. Chapter 5 discusses findings,</w:t>
      </w:r>
      <w:r>
        <w:t xml:space="preserve"> </w:t>
      </w:r>
      <w:r>
        <w:t xml:space="preserve">implications, limitations, and future work.</w:t>
      </w:r>
    </w:p>
    <w:bookmarkEnd w:id="14"/>
    <w:bookmarkEnd w:id="15"/>
    <w:bookmarkStart w:id="22" w:name="literature-review"/>
    <w:p>
      <w:pPr>
        <w:pStyle w:val="Heading1"/>
      </w:pPr>
      <w:r>
        <w:t xml:space="preserve">Literature Review</w:t>
      </w:r>
    </w:p>
    <w:p>
      <w:pPr>
        <w:pStyle w:val="FirstParagraph"/>
      </w:pPr>
      <w:r>
        <w:t xml:space="preserve">Rather than summarizing studies individually, this chapter organizes prior work</w:t>
      </w:r>
      <w:r>
        <w:t xml:space="preserve"> </w:t>
      </w:r>
      <w:r>
        <w:t xml:space="preserve">by what it measures and how, then isolates the specific gap the MES fills</w:t>
      </w:r>
      <w:r>
        <w:t xml:space="preserve"> </w:t>
      </w:r>
      <w:r>
        <w:t xml:space="preserve">(Table </w:t>
      </w:r>
      <w:hyperlink w:anchor="tab:gap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16" w:name="single-dimension-equity-measurement"/>
    <w:p>
      <w:pPr>
        <w:pStyle w:val="Heading2"/>
      </w:pPr>
      <w:r>
        <w:t xml:space="preserve">Single-Dimension Equity Measurement</w:t>
      </w:r>
    </w:p>
    <w:p>
      <w:pPr>
        <w:pStyle w:val="FirstParagraph"/>
      </w:pPr>
      <w:r>
        <w:t xml:space="preserve">The strongest body of evidence is</w:t>
      </w:r>
      <w:r>
        <w:t xml:space="preserve"> </w:t>
      </w:r>
      <w:r>
        <w:rPr>
          <w:i/>
          <w:iCs/>
        </w:rPr>
        <w:t xml:space="preserve">single-dimension</w:t>
      </w:r>
      <w:r>
        <w:t xml:space="preserve">. In transit, Aman and</w:t>
      </w:r>
      <w:r>
        <w:t xml:space="preserve"> </w:t>
      </w:r>
      <w:r>
        <w:t xml:space="preserve">Smith-Colin </w:t>
      </w:r>
      <w:r>
        <w:t xml:space="preserve"> </w:t>
      </w:r>
      <w:r>
        <w:t xml:space="preserve">operationalize</w:t>
      </w:r>
      <w:r>
        <w:t xml:space="preserve"> </w:t>
      </w:r>
      <w:r>
        <w:t xml:space="preserve">“transit deserts”</w:t>
      </w:r>
      <w:r>
        <w:t xml:space="preserve"> </w:t>
      </w:r>
      <w:r>
        <w:t xml:space="preserve">as a</w:t>
      </w:r>
      <w:r>
        <w:t xml:space="preserve"> </w:t>
      </w:r>
      <w:r>
        <w:t xml:space="preserve">tract-level supply–demand gap from GTFS, and Maharjan et al. </w:t>
      </w:r>
      <w:r>
        <w:t xml:space="preserve"> </w:t>
      </w:r>
      <w:r>
        <w:t xml:space="preserve">confirm the pattern nationally; both establish that low-income and minority</w:t>
      </w:r>
      <w:r>
        <w:t xml:space="preserve"> </w:t>
      </w:r>
      <w:r>
        <w:t xml:space="preserve">tracts are under-served — consistent with evidence that transit access</w:t>
      </w:r>
      <w:r>
        <w:t xml:space="preserve"> </w:t>
      </w:r>
      <w:r>
        <w:t xml:space="preserve">directly shapes job accessibility </w:t>
      </w:r>
      <w:r>
        <w:t xml:space="preserve"> </w:t>
      </w:r>
      <w:r>
        <w:t xml:space="preserve">— but neither places</w:t>
      </w:r>
      <w:r>
        <w:t xml:space="preserve"> </w:t>
      </w:r>
      <w:r>
        <w:t xml:space="preserve">transit alongside other modes.</w:t>
      </w:r>
      <w:r>
        <w:t xml:space="preserve"> </w:t>
      </w:r>
      <w:r>
        <w:t xml:space="preserve">Walkability research standardizes on the EPA National Walkability</w:t>
      </w:r>
      <w:r>
        <w:t xml:space="preserve"> </w:t>
      </w:r>
      <w:r>
        <w:t xml:space="preserve">Index </w:t>
      </w:r>
      <w:r>
        <w:t xml:space="preserve"> </w:t>
      </w:r>
      <w:r>
        <w:t xml:space="preserve">and documents racialized disparities </w:t>
      </w:r>
      <w:r>
        <w:t xml:space="preserve">, while</w:t>
      </w:r>
      <w:r>
        <w:t xml:space="preserve"> </w:t>
      </w:r>
      <w:r>
        <w:t xml:space="preserve">active-travel toolkits </w:t>
      </w:r>
      <w:r>
        <w:t xml:space="preserve"> </w:t>
      </w:r>
      <w:r>
        <w:t xml:space="preserve">refine walk/bike access</w:t>
      </w:r>
      <w:r>
        <w:t xml:space="preserve"> </w:t>
      </w:r>
      <w:r>
        <w:t xml:space="preserve">but again in isolation. EV-charging equity is the newest strand: Lou et</w:t>
      </w:r>
      <w:r>
        <w:t xml:space="preserve"> </w:t>
      </w:r>
      <w:r>
        <w:t xml:space="preserve">al. </w:t>
      </w:r>
      <w:r>
        <w:t xml:space="preserve"> </w:t>
      </w:r>
      <w:r>
        <w:t xml:space="preserve">and Chen and Li </w:t>
      </w:r>
      <w:r>
        <w:t xml:space="preserve"> </w:t>
      </w:r>
      <w:r>
        <w:t xml:space="preserve">demonstrate severe</w:t>
      </w:r>
      <w:r>
        <w:t xml:space="preserve"> </w:t>
      </w:r>
      <w:r>
        <w:t xml:space="preserve">under-provision for disadvantaged and renter households. The common limitation is</w:t>
      </w:r>
      <w:r>
        <w:t xml:space="preserve"> </w:t>
      </w:r>
      <w:r>
        <w:rPr>
          <w:i/>
          <w:iCs/>
        </w:rPr>
        <w:t xml:space="preserve">dimensional siloing</w:t>
      </w:r>
      <w:r>
        <w:t xml:space="preserve">: each literature answers</w:t>
      </w:r>
      <w:r>
        <w:t xml:space="preserve"> </w:t>
      </w:r>
      <w:r>
        <w:t xml:space="preserve">“is mode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inequitable?”</w:t>
      </w:r>
      <w:r>
        <w:t xml:space="preserve"> </w:t>
      </w:r>
      <w:r>
        <w:t xml:space="preserve">but none answers</w:t>
      </w:r>
      <w:r>
        <w:t xml:space="preserve"> </w:t>
      </w:r>
      <w:r>
        <w:t xml:space="preserve">“which neighborhoods are disadvantaged across modes at once?”</w:t>
      </w:r>
    </w:p>
    <w:bookmarkEnd w:id="16"/>
    <w:bookmarkStart w:id="17" w:name="composite-indicators-and-their-critique"/>
    <w:p>
      <w:pPr>
        <w:pStyle w:val="Heading2"/>
      </w:pPr>
      <w:r>
        <w:t xml:space="preserve">Composite Indicators and Their Critique</w:t>
      </w:r>
    </w:p>
    <w:p>
      <w:pPr>
        <w:pStyle w:val="FirstParagraph"/>
      </w:pPr>
      <w:r>
        <w:t xml:space="preserve">Composite indicators are attractive for communication but contested on</w:t>
      </w:r>
      <w:r>
        <w:t xml:space="preserve"> </w:t>
      </w:r>
      <w:r>
        <w:t xml:space="preserve">methodology. The OECD/JRC handbook </w:t>
      </w:r>
      <w:r>
        <w:t xml:space="preserve"> </w:t>
      </w:r>
      <w:r>
        <w:t xml:space="preserve">warns that normalization and</w:t>
      </w:r>
      <w:r>
        <w:t xml:space="preserve"> </w:t>
      </w:r>
      <w:r>
        <w:t xml:space="preserve">weighting are value judgments that must be paired with sensitivity analysis —</w:t>
      </w:r>
      <w:r>
        <w:t xml:space="preserve"> </w:t>
      </w:r>
      <w:r>
        <w:t xml:space="preserve">a discipline frequently omitted in applied indices. This project treats that</w:t>
      </w:r>
      <w:r>
        <w:t xml:space="preserve"> </w:t>
      </w:r>
      <w:r>
        <w:t xml:space="preserve">critique as a design requirement (Secs. 3.6–3.7) rather than an afterthought,</w:t>
      </w:r>
      <w:r>
        <w:t xml:space="preserve"> </w:t>
      </w:r>
      <w:r>
        <w:t xml:space="preserve">distinguishing it from single-shot composites.</w:t>
      </w:r>
    </w:p>
    <w:bookmarkEnd w:id="17"/>
    <w:bookmarkStart w:id="19" w:name="X6c9c3bf4d4ed1b5cb8e8b9dea3b63ab5ba6db65"/>
    <w:p>
      <w:pPr>
        <w:pStyle w:val="Heading2"/>
      </w:pPr>
      <w:r>
        <w:t xml:space="preserve">Existing Integrated Tools — and Why They Fall Short</w:t>
      </w:r>
    </w:p>
    <w:p>
      <w:pPr>
        <w:pStyle w:val="FirstParagraph"/>
      </w:pPr>
      <w:r>
        <w:t xml:space="preserve">The closest comparators are multi-dimensional tools, but each trades away</w:t>
      </w:r>
      <w:r>
        <w:t xml:space="preserve"> </w:t>
      </w:r>
      <w:r>
        <w:t xml:space="preserve">tract-level, multi-modal, or open-data properties. The EPA Smart Location</w:t>
      </w:r>
      <w:r>
        <w:t xml:space="preserve"> </w:t>
      </w:r>
      <w:r>
        <w:t xml:space="preserve">Database is multi-variable but built for walkability/location efficiency, not</w:t>
      </w:r>
      <w:r>
        <w:t xml:space="preserve"> </w:t>
      </w:r>
      <w:r>
        <w:t xml:space="preserve">transit/bike/EV equity. The Urban Institute SITE tool </w:t>
      </w:r>
      <w:r>
        <w:t xml:space="preserve"> </w:t>
      </w:r>
      <w:r>
        <w:t xml:space="preserve">measures infrastructure</w:t>
      </w:r>
      <w:r>
        <w:t xml:space="preserve"> </w:t>
      </w:r>
      <w:r>
        <w:rPr>
          <w:i/>
          <w:iCs/>
        </w:rPr>
        <w:t xml:space="preserve">spending</w:t>
      </w:r>
      <w:r>
        <w:t xml:space="preserve"> </w:t>
      </w:r>
      <w:r>
        <w:t xml:space="preserve">equity, not physical supply. The Oliver</w:t>
      </w:r>
      <w:r>
        <w:t xml:space="preserve"> </w:t>
      </w:r>
      <w:r>
        <w:t xml:space="preserve">Wyman Urban Mobility Readiness Index </w:t>
      </w:r>
      <w:r>
        <w:t xml:space="preserve"> </w:t>
      </w:r>
      <w:r>
        <w:t xml:space="preserve">ranks whole cities,</w:t>
      </w:r>
      <w:r>
        <w:t xml:space="preserve"> </w:t>
      </w:r>
      <w:r>
        <w:t xml:space="preserve">not neighborhoods. Pandey et al. </w:t>
      </w:r>
      <w:r>
        <w:t xml:space="preserve"> </w:t>
      </w:r>
      <w:r>
        <w:t xml:space="preserve">link urbanization to widening</w:t>
      </w:r>
      <w:r>
        <w:t xml:space="preserve"> </w:t>
      </w:r>
      <w:r>
        <w:t xml:space="preserve">infrastructure inequality but at national/global scale. Table </w:t>
      </w:r>
      <w:hyperlink w:anchor="tab:ga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comparison.</w:t>
      </w:r>
    </w:p>
    <w:bookmarkStart w:id="18" w:name="tab:gap"/>
    <w:p>
      <w:pPr>
        <w:pStyle w:val="TableCaption"/>
      </w:pPr>
      <w:r>
        <w:t xml:space="preserve">Critical comparison of representative prior work. The MES is the only</w:t>
      </w:r>
      <w:r>
        <w:t xml:space="preserve"> </w:t>
      </w:r>
      <w:r>
        <w:t xml:space="preserve">approach that is simultaneously multi-modal (all four dimensions), tract-level,</w:t>
      </w:r>
      <w:r>
        <w:t xml:space="preserve"> </w:t>
      </w:r>
      <w:r>
        <w:t xml:space="preserve">open-data, and demographically cross-referenced.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itical comparison of representative prior work. The MES is the only approach that is simultaneously multi-modal (all four dimensions), tract-level, open-data, and demographically cross-reference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work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Dimensions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Spatial 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Open 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Demographic cross-ref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Transit-desert models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Transit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 walkability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Walk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Block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EV-charging equity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Tract/ZIP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Bikeability indices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Bike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Institute SITE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Spending (multi)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City/region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Oliver Wyman UMRI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 (readiness)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 (MES)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 four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18"/>
    <w:bookmarkEnd w:id="19"/>
    <w:bookmarkStart w:id="20" w:name="spatial-and-multivariate-methods"/>
    <w:p>
      <w:pPr>
        <w:pStyle w:val="Heading2"/>
      </w:pPr>
      <w:r>
        <w:t xml:space="preserve">Spatial and Multivariate Methods</w:t>
      </w:r>
    </w:p>
    <w:p>
      <w:pPr>
        <w:pStyle w:val="FirstParagraph"/>
      </w:pPr>
      <w:r>
        <w:t xml:space="preserve">Because infrastructure is spatially structured, the analysis draws on established</w:t>
      </w:r>
      <w:r>
        <w:t xml:space="preserve"> </w:t>
      </w:r>
      <w:r>
        <w:t xml:space="preserve">methods: global and local Moran’s</w:t>
      </w:r>
      <w:r>
        <w:t xml:space="preserve"> </w:t>
      </w:r>
      <m:oMath>
        <m:r>
          <m:t>I</m:t>
        </m:r>
      </m:oMath>
      <w:r>
        <w:t xml:space="preserve"> </w:t>
      </w:r>
      <w:r>
        <w:t xml:space="preserve"> </w:t>
      </w:r>
      <w:r>
        <w:t xml:space="preserve">for spatial clustering</w:t>
      </w:r>
      <w:r>
        <w:t xml:space="preserve"> </w:t>
      </w:r>
      <w:r>
        <w:t xml:space="preserve">and cold-spot detection, and K-means with silhouette</w:t>
      </w:r>
      <w:r>
        <w:t xml:space="preserve"> </w:t>
      </w:r>
      <w:r>
        <w:t xml:space="preserve">validation </w:t>
      </w:r>
      <w:r>
        <w:t xml:space="preserve"> </w:t>
      </w:r>
      <w:r>
        <w:t xml:space="preserve">for typology discovery. These are chosen (Sec. 3.9–</w:t>
      </w:r>
      <w:r>
        <w:t xml:space="preserve"> </w:t>
      </w:r>
      <w:r>
        <w:t xml:space="preserve">Sec. 3.11) because they directly answer the distributional and structural research</w:t>
      </w:r>
      <w:r>
        <w:t xml:space="preserve"> </w:t>
      </w:r>
      <w:r>
        <w:t xml:space="preserve">questions, not merely because they are conventional.</w:t>
      </w:r>
    </w:p>
    <w:bookmarkEnd w:id="20"/>
    <w:bookmarkStart w:id="21" w:name="synthesis-of-the-gap"/>
    <w:p>
      <w:pPr>
        <w:pStyle w:val="Heading2"/>
      </w:pPr>
      <w:r>
        <w:t xml:space="preserve">Synthesis of the Gap</w:t>
      </w:r>
    </w:p>
    <w:p>
      <w:pPr>
        <w:pStyle w:val="FirstParagraph"/>
      </w:pPr>
      <w:r>
        <w:t xml:space="preserve">Three gaps motivate the MES: (i)</w:t>
      </w:r>
      <w:r>
        <w:t xml:space="preserve"> </w:t>
      </w:r>
      <w:r>
        <w:rPr>
          <w:i/>
          <w:iCs/>
        </w:rPr>
        <w:t xml:space="preserve">no integrated, multi-modal, tract-level</w:t>
      </w:r>
      <w:r>
        <w:t xml:space="preserve"> </w:t>
      </w:r>
      <w:r>
        <w:t xml:space="preserve">supply measure exists; (ii) integrated tools that do exist are either</w:t>
      </w:r>
      <w:r>
        <w:t xml:space="preserve"> </w:t>
      </w:r>
      <w:r>
        <w:t xml:space="preserve">city-scale, spending-based, or closed; and (iii)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</w:t>
      </w:r>
      <w:r>
        <w:t xml:space="preserve"> </w:t>
      </w:r>
      <w:r>
        <w:t xml:space="preserve">supply–demographic relationship is assumed rather than measured. The MES closes</w:t>
      </w:r>
      <w:r>
        <w:t xml:space="preserve"> </w:t>
      </w:r>
      <w:r>
        <w:t xml:space="preserve">(i) and (ii) by construction and tests (iii) empirically.</w:t>
      </w:r>
    </w:p>
    <w:bookmarkEnd w:id="21"/>
    <w:bookmarkEnd w:id="22"/>
    <w:bookmarkStart w:id="34" w:name="methodology"/>
    <w:p>
      <w:pPr>
        <w:pStyle w:val="Heading1"/>
      </w:pPr>
      <w:r>
        <w:t xml:space="preserve">Methodology</w:t>
      </w:r>
    </w:p>
    <w:bookmarkStart w:id="23" w:name="study-area"/>
    <w:p>
      <w:pPr>
        <w:pStyle w:val="Heading2"/>
      </w:pPr>
      <w:r>
        <w:t xml:space="preserve">Study Area</w:t>
      </w:r>
    </w:p>
    <w:p>
      <w:pPr>
        <w:pStyle w:val="FirstParagraph"/>
      </w:pPr>
      <w:r>
        <w:t xml:space="preserve">The unit of analysis is the 2023 U.S. Census tract. Three cities were selected</w:t>
      </w:r>
      <w:r>
        <w:t xml:space="preserve"> </w:t>
      </w:r>
      <w:r>
        <w:t xml:space="preserve">for Phase 1 to span mobility regimes (Table </w:t>
      </w:r>
      <w:hyperlink w:anchor="tab:cities">
        <w:r>
          <w:rPr>
            <w:rStyle w:val="Hyperlink"/>
          </w:rPr>
          <w:t xml:space="preserve">[tab:cities]</w:t>
        </w:r>
      </w:hyperlink>
      <w:r>
        <w:t xml:space="preserve">); Phase 2 will add</w:t>
      </w:r>
      <w:r>
        <w:t xml:space="preserve"> </w:t>
      </w:r>
      <w:r>
        <w:t xml:space="preserve">Phoenix, Atlanta, and Detroit. Selection criteria: population</w:t>
      </w:r>
      <w:r>
        <w:t xml:space="preserve"> </w:t>
      </w:r>
      <m:oMath>
        <m:r>
          <m:rPr>
            <m:sty m:val="p"/>
          </m:rPr>
          <m:t>&gt;</m:t>
        </m:r>
        <m:r>
          <m:t>300</m:t>
        </m:r>
        <m:r>
          <m:rPr>
            <m:sty m:val="p"/>
          </m:rPr>
          <m:t>,</m:t>
        </m:r>
        <m:r>
          <m:t>000</m:t>
        </m:r>
      </m:oMath>
      <w:r>
        <w:t xml:space="preserve">,</w:t>
      </w:r>
      <w:r>
        <w:t xml:space="preserve"> </w:t>
      </w:r>
      <w:r>
        <w:t xml:space="preserve">complete GTFS feeds, demographic diversity, and contrasting transit-investment</w:t>
      </w:r>
      <w:r>
        <w:t xml:space="preserve"> </w:t>
      </w:r>
      <w:r>
        <w:t xml:space="preserve">histories.</w:t>
      </w:r>
    </w:p>
    <w:p>
      <w:pPr>
        <w:pStyle w:val="BodyText"/>
      </w:pPr>
      <w:r>
        <w:t xml:space="preserve">l l l r Y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State (FIPS)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County (FIPS)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Tracts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Rationale</w:t>
      </w:r>
      <w:r>
        <w:br/>
      </w:r>
      <w:r>
        <w:t xml:space="preserve">Chicago &amp; Illinois (17) &amp; Cook (031) &amp; 1</w:t>
      </w:r>
      <w:r>
        <w:t xml:space="preserve">,</w:t>
      </w:r>
      <w:r>
        <w:t xml:space="preserve">332 &amp; Mature high-frequency transit; diverse</w:t>
      </w:r>
      <w:r>
        <w:br/>
      </w:r>
      <w:r>
        <w:t xml:space="preserve">Houston &amp; Texas (48) &amp; Harris (201) &amp; 1</w:t>
      </w:r>
      <w:r>
        <w:t xml:space="preserve">,</w:t>
      </w:r>
      <w:r>
        <w:t xml:space="preserve">115 &amp; Auto-oriented, sprawling; large low-income pop.</w:t>
      </w:r>
      <w:r>
        <w:br/>
      </w:r>
      <w:r>
        <w:t xml:space="preserve">Seattle &amp; Washington (53) &amp; King (033) &amp; 495 &amp; Progressive transit and EV investment</w:t>
      </w:r>
      <w:r>
        <w:br/>
      </w:r>
    </w:p>
    <w:bookmarkEnd w:id="23"/>
    <w:bookmarkStart w:id="24" w:name="Xee3f73f51436e4b20793a3c5c556082fb018393"/>
    <w:p>
      <w:pPr>
        <w:pStyle w:val="Heading2"/>
      </w:pPr>
      <w:r>
        <w:t xml:space="preserve">Indicator Selection and Sub-Index Definition</w:t>
      </w:r>
    </w:p>
    <w:p>
      <w:pPr>
        <w:pStyle w:val="FirstParagraph"/>
      </w:pPr>
      <w:r>
        <w:t xml:space="preserve">Indicators were selected against three criteria: (a)</w:t>
      </w:r>
      <w:r>
        <w:t xml:space="preserve"> </w:t>
      </w:r>
      <w:r>
        <w:rPr>
          <w:i/>
          <w:iCs/>
        </w:rPr>
        <w:t xml:space="preserve">construct validity</w:t>
      </w:r>
      <w:r>
        <w:t xml:space="preserve"> </w:t>
      </w:r>
      <w:r>
        <w:t xml:space="preserve">— each must be an accepted proxy for its dimension in the literature (Sec. 2);</w:t>
      </w:r>
      <w:r>
        <w:t xml:space="preserve"> </w:t>
      </w:r>
      <w:r>
        <w:t xml:space="preserve">(b)</w:t>
      </w:r>
      <w:r>
        <w:t xml:space="preserve"> </w:t>
      </w:r>
      <w:r>
        <w:rPr>
          <w:i/>
          <w:iCs/>
        </w:rPr>
        <w:t xml:space="preserve">national open availability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tract resolution for</w:t>
      </w:r>
      <w:r>
        <w:t xml:space="preserve"> </w:t>
      </w:r>
      <w:r>
        <w:t xml:space="preserve">reproducibility; and (c)</w:t>
      </w:r>
      <w:r>
        <w:t xml:space="preserve"> </w:t>
      </w:r>
      <w:r>
        <w:rPr>
          <w:i/>
          <w:iCs/>
        </w:rPr>
        <w:t xml:space="preserve">supply orientation</w:t>
      </w:r>
      <w:r>
        <w:t xml:space="preserve"> </w:t>
      </w:r>
      <w:r>
        <w:t xml:space="preserve">— each measures</w:t>
      </w:r>
      <w:r>
        <w:t xml:space="preserve"> </w:t>
      </w:r>
      <w:r>
        <w:t xml:space="preserve">infrastructure present near residents, keeping the composite conceptually</w:t>
      </w:r>
      <w:r>
        <w:t xml:space="preserve"> </w:t>
      </w:r>
      <w:r>
        <w:t xml:space="preserve">coherent. Table </w:t>
      </w:r>
      <w:hyperlink w:anchor="tab:subindex">
        <w:r>
          <w:rPr>
            <w:rStyle w:val="Hyperlink"/>
          </w:rPr>
          <w:t xml:space="preserve">[tab:subindex]</w:t>
        </w:r>
      </w:hyperlink>
      <w:r>
        <w:t xml:space="preserve"> </w:t>
      </w:r>
      <w:r>
        <w:t xml:space="preserve">lists the resulting metrics.</w:t>
      </w:r>
    </w:p>
    <w:p>
      <w:pPr>
        <w:pStyle w:val="BodyText"/>
      </w:pPr>
      <w:r>
        <w:t xml:space="preserve">l c Y l</w:t>
      </w:r>
      <w:r>
        <w:t xml:space="preserve"> </w:t>
      </w:r>
      <w:r>
        <w:rPr>
          <w:b/>
          <w:bCs/>
        </w:rPr>
        <w:t xml:space="preserve">Sub-index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Metric(s)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</w:t>
      </w:r>
      <w:r>
        <w:br/>
      </w:r>
      <w:r>
        <w:t xml:space="preserve">Transit &amp; 25% &amp; Stop density; AM-peak (07–09h) trips/hr; service span within 0.5 mi of centroid &amp; GTFS</w:t>
      </w:r>
      <w:r>
        <w:br/>
      </w:r>
      <w:r>
        <w:t xml:space="preserve">Walkability &amp; 25% &amp; EPA National Walkability Index (areal-interpolated to tract) &amp; EPA SLD v3</w:t>
      </w:r>
      <w:r>
        <w:br/>
      </w:r>
      <w:r>
        <w:t xml:space="preserve">Bicycle &amp; 25% &amp; Dedicated bike-lane km per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tract land area &amp; OpenStreetMap</w:t>
      </w:r>
      <w:r>
        <w:br/>
      </w:r>
      <w:r>
        <w:t xml:space="preserve">EV charging &amp; 25% &amp; Public-charger count and proximity to nearest DC-fast station &amp; OSM (AFDC fallback)</w:t>
      </w:r>
      <w:r>
        <w:br/>
      </w:r>
    </w:p>
    <w:bookmarkEnd w:id="24"/>
    <w:bookmarkStart w:id="25" w:name="Xa6d1d058fbed4deef9567b4a1bc0952a8c512ac"/>
    <w:p>
      <w:pPr>
        <w:pStyle w:val="Heading2"/>
      </w:pPr>
      <w:r>
        <w:t xml:space="preserve">Data Preprocessing, Missing Values, and Assumptions</w:t>
      </w:r>
    </w:p>
    <w:p>
      <w:pPr>
        <w:pStyle w:val="FirstParagraph"/>
      </w:pPr>
      <w:r>
        <w:t xml:space="preserve">All layers are reprojected to EPSG:4326 for storage and to EPSG:5070 (equal-area,</w:t>
      </w:r>
      <w:r>
        <w:t xml:space="preserve"> </w:t>
      </w:r>
      <w:r>
        <w:t xml:space="preserve">metres) for all distance/area computation. GEOIDs are zero-padded strings to</w:t>
      </w:r>
      <w:r>
        <w:t xml:space="preserve"> </w:t>
      </w:r>
      <w:r>
        <w:t xml:space="preserve">guarantee exact joins. The principal preprocessing challenge is</w:t>
      </w:r>
      <w:r>
        <w:t xml:space="preserve"> </w:t>
      </w:r>
      <w:r>
        <w:rPr>
          <w:i/>
          <w:iCs/>
        </w:rPr>
        <w:t xml:space="preserve">geographic-vintage mismatch</w:t>
      </w:r>
      <w:r>
        <w:t xml:space="preserve">: the EPA walkability data is published on</w:t>
      </w:r>
      <w:r>
        <w:t xml:space="preserve"> </w:t>
      </w:r>
      <w:r>
        <w:t xml:space="preserve">2019-vintage block groups while the study uses 2023 tracts; a naive GEOID join</w:t>
      </w:r>
      <w:r>
        <w:t xml:space="preserve"> </w:t>
      </w:r>
      <w:r>
        <w:t xml:space="preserve">loses</w:t>
      </w:r>
      <w:r>
        <w:t xml:space="preserve"> </w:t>
      </w:r>
      <m:oMath>
        <m:r>
          <m:rPr>
            <m:sty m:val="p"/>
          </m:rPr>
          <m:t>≈</m:t>
        </m:r>
        <m:r>
          <m:t>57</m:t>
        </m:r>
        <m:r>
          <m:rPr>
            <m:sty m:val="p"/>
          </m:rPr>
          <m:t>%</m:t>
        </m:r>
      </m:oMath>
      <w:r>
        <w:t xml:space="preserve"> </w:t>
      </w:r>
      <w:r>
        <w:t xml:space="preserve">of Houston’s tracts. We therefore</w:t>
      </w:r>
      <w:r>
        <w:t xml:space="preserve"> </w:t>
      </w:r>
      <w:r>
        <w:rPr>
          <w:i/>
          <w:iCs/>
        </w:rPr>
        <w:t xml:space="preserve">areally interpolate</w:t>
      </w:r>
      <w:r>
        <w:t xml:space="preserve"> </w:t>
      </w:r>
      <w:r>
        <w:t xml:space="preserve">— joining the index to 2019 block-group polygons (100% GEOID match) and</w:t>
      </w:r>
      <w:r>
        <w:t xml:space="preserve"> </w:t>
      </w:r>
      <w:r>
        <w:t xml:space="preserve">area-weighting onto 2023 tracts, valid because the walkability index is an</w:t>
      </w:r>
      <w:r>
        <w:t xml:space="preserve"> </w:t>
      </w:r>
      <w:r>
        <w:t xml:space="preserve">intensive quantity.</w:t>
      </w:r>
      <w:r>
        <w:t xml:space="preserve"> </w:t>
      </w:r>
      <w:r>
        <w:rPr>
          <w:b/>
          <w:bCs/>
        </w:rPr>
        <w:t xml:space="preserve">Missing values</w:t>
      </w:r>
      <w:r>
        <w:t xml:space="preserve"> </w:t>
      </w:r>
      <w:r>
        <w:t xml:space="preserve">are preserved, not imputed, so gaps</w:t>
      </w:r>
      <w:r>
        <w:t xml:space="preserve"> </w:t>
      </w:r>
      <w:r>
        <w:t xml:space="preserve">remain visible; a tract missing any sub-index is excluded pairwise from that</w:t>
      </w:r>
      <w:r>
        <w:t xml:space="preserve"> </w:t>
      </w:r>
      <w:r>
        <w:t xml:space="preserve">statistic rather than zero-filled, and normalization propagates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 Key</w:t>
      </w:r>
      <w:r>
        <w:t xml:space="preserve"> </w:t>
      </w:r>
      <w:r>
        <w:rPr>
          <w:b/>
          <w:bCs/>
        </w:rPr>
        <w:t xml:space="preserve">assumptions</w:t>
      </w:r>
      <w:r>
        <w:t xml:space="preserve">: (i) supply near the tract centroid proxies residents’</w:t>
      </w:r>
      <w:r>
        <w:t xml:space="preserve"> </w:t>
      </w:r>
      <w:r>
        <w:t xml:space="preserve">access; (ii) the 0.5-mile transit buffer approximates walk-access to stops;</w:t>
      </w:r>
      <w:r>
        <w:t xml:space="preserve"> </w:t>
      </w:r>
      <w:r>
        <w:t xml:space="preserve">(iii) OSM bike/EV coverage, though community-maintained, is spatially unbiased</w:t>
      </w:r>
      <w:r>
        <w:t xml:space="preserve"> </w:t>
      </w:r>
      <w:r>
        <w:t xml:space="preserve">enough for within-city comparison (revisited as a limitation in Sec. 5.4).</w:t>
      </w:r>
    </w:p>
    <w:bookmarkEnd w:id="25"/>
    <w:bookmarkStart w:id="26" w:name="sub-index-computation"/>
    <w:p>
      <w:pPr>
        <w:pStyle w:val="Heading2"/>
      </w:pPr>
      <w:r>
        <w:t xml:space="preserve">Sub-Index Computation</w:t>
      </w:r>
    </w:p>
    <w:p>
      <w:pPr>
        <w:pStyle w:val="FirstParagraph"/>
      </w:pPr>
      <w:r>
        <w:t xml:space="preserve">Each raw metric is computed at the tract level before normalization.</w:t>
      </w:r>
      <w:r>
        <w:t xml:space="preserve"> </w:t>
      </w:r>
      <w:r>
        <w:rPr>
          <w:b/>
          <w:bCs/>
        </w:rPr>
        <w:t xml:space="preserve">Transit.</w:t>
      </w:r>
      <w:r>
        <w:t xml:space="preserve"> </w:t>
      </w:r>
      <w:r>
        <w:t xml:space="preserve">From GTFS</w:t>
      </w:r>
      <w:r>
        <w:t xml:space="preserve"> </w:t>
      </w:r>
      <w:r>
        <w:rPr>
          <w:rStyle w:val="VerbatimChar"/>
        </w:rPr>
        <w:t xml:space="preserve">stops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stop_times</w:t>
      </w:r>
      <w:r>
        <w:t xml:space="preserve">, AM-peak</w:t>
      </w:r>
      <w:r>
        <w:t xml:space="preserve"> </w:t>
      </w:r>
      <w:r>
        <w:t xml:space="preserve">(07:00–09:00) departures per stop are converted to trips/hour and the daily</w:t>
      </w:r>
      <w:r>
        <w:t xml:space="preserve"> </w:t>
      </w:r>
      <w:r>
        <w:t xml:space="preserve">service span (distinct hours with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departure) is computed; stops are</w:t>
      </w:r>
      <w:r>
        <w:t xml:space="preserve"> </w:t>
      </w:r>
      <w:r>
        <w:t xml:space="preserve">spatially joined to a 0.5-mile (804.7 m) buffer of each tract centroid, and the</w:t>
      </w:r>
      <w:r>
        <w:t xml:space="preserve"> </w:t>
      </w:r>
      <w:r>
        <w:t xml:space="preserve">tract’s stop density (stops/km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mean AM-peak frequency, and span are each</w:t>
      </w:r>
      <w:r>
        <w:t xml:space="preserve"> </w:t>
      </w:r>
      <w:r>
        <w:t xml:space="preserve">normalized and averaged.</w:t>
      </w:r>
      <w:r>
        <w:t xml:space="preserve"> </w:t>
      </w:r>
      <w:r>
        <w:rPr>
          <w:b/>
          <w:bCs/>
        </w:rPr>
        <w:t xml:space="preserve">Walkability.</w:t>
      </w:r>
      <w:r>
        <w:t xml:space="preserve"> </w:t>
      </w:r>
      <w:r>
        <w:t xml:space="preserve">The area-weighted National</w:t>
      </w:r>
      <w:r>
        <w:t xml:space="preserve"> </w:t>
      </w:r>
      <w:r>
        <w:t xml:space="preserve">Walkability Index per tract (Sec. 3.4).</w:t>
      </w:r>
      <w:r>
        <w:t xml:space="preserve"> </w:t>
      </w:r>
      <w:r>
        <w:rPr>
          <w:b/>
          <w:bCs/>
        </w:rPr>
        <w:t xml:space="preserve">Bicycle.</w:t>
      </w:r>
      <w:r>
        <w:t xml:space="preserve"> </w:t>
      </w:r>
      <w:r>
        <w:t xml:space="preserve">From the OpenStreetMap</w:t>
      </w:r>
      <w:r>
        <w:t xml:space="preserve"> </w:t>
      </w:r>
      <w:r>
        <w:t xml:space="preserve">cyclable network extracted with OSMnx </w:t>
      </w:r>
      <w:r>
        <w:t xml:space="preserve">, edges are retained as</w:t>
      </w:r>
      <w:r>
        <w:t xml:space="preserve"> </w:t>
      </w:r>
      <w:r>
        <w:t xml:space="preserve">dedicated infrastructure when the</w:t>
      </w:r>
      <w:r>
        <w:t xml:space="preserve"> </w:t>
      </w:r>
      <w:r>
        <w:rPr>
          <w:rStyle w:val="VerbatimChar"/>
        </w:rPr>
        <w:t xml:space="preserve">highway</w:t>
      </w:r>
      <w:r>
        <w:t xml:space="preserve"> </w:t>
      </w:r>
      <w:r>
        <w:t xml:space="preserve">tag is cycleway/path/track or a</w:t>
      </w:r>
      <w:r>
        <w:t xml:space="preserve"> </w:t>
      </w:r>
      <w:r>
        <w:t xml:space="preserve">positive</w:t>
      </w:r>
      <w:r>
        <w:t xml:space="preserve"> </w:t>
      </w:r>
      <w:r>
        <w:rPr>
          <w:rStyle w:val="VerbatimChar"/>
        </w:rPr>
        <w:t xml:space="preserve">cycleway</w:t>
      </w:r>
      <w:r>
        <w:t xml:space="preserve"> </w:t>
      </w:r>
      <w:r>
        <w:t xml:space="preserve">tag is present; edges are clipped to tracts by</w:t>
      </w:r>
      <w:r>
        <w:t xml:space="preserve"> </w:t>
      </w:r>
      <w:r>
        <w:t xml:space="preserve">geometric overlay and summed to bike-lane km per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tract land area.</w:t>
      </w:r>
      <w:r>
        <w:t xml:space="preserve"> </w:t>
      </w:r>
      <w:r>
        <w:rPr>
          <w:b/>
          <w:bCs/>
        </w:rPr>
        <w:t xml:space="preserve">EV charging.</w:t>
      </w:r>
      <w:r>
        <w:t xml:space="preserve"> </w:t>
      </w:r>
      <w:r>
        <w:t xml:space="preserve">Public stations are spatially joined to tracts; chargers per</w:t>
      </w:r>
      <w:r>
        <w:t xml:space="preserve"> </w:t>
      </w:r>
      <w:r>
        <w:t xml:space="preserve">1</w:t>
      </w:r>
      <w:r>
        <w:t xml:space="preserve">,</w:t>
      </w:r>
      <w:r>
        <w:t xml:space="preserve">000 residents and the (inverted) distance from the tract centroid to the</w:t>
      </w:r>
      <w:r>
        <w:t xml:space="preserve"> </w:t>
      </w:r>
      <w:r>
        <w:t xml:space="preserve">nearest DC-fast station are each normalized and averaged. The authoritative</w:t>
      </w:r>
      <w:r>
        <w:t xml:space="preserve"> </w:t>
      </w:r>
      <w:r>
        <w:t xml:space="preserve">source is the DOE/NREL AFDC; where that API is unreachable the pipeline falls back</w:t>
      </w:r>
      <w:r>
        <w:t xml:space="preserve"> </w:t>
      </w:r>
      <w:r>
        <w:t xml:space="preserve">to OSM</w:t>
      </w:r>
      <w:r>
        <w:t xml:space="preserve"> </w:t>
      </w:r>
      <w:r>
        <w:rPr>
          <w:rStyle w:val="VerbatimChar"/>
        </w:rPr>
        <w:t xml:space="preserve">amenity=charging_station</w:t>
      </w:r>
      <w:r>
        <w:t xml:space="preserve"> </w:t>
      </w:r>
      <w:r>
        <w:t xml:space="preserve">points, a key-free lower-bound proxy</w:t>
      </w:r>
      <w:r>
        <w:t xml:space="preserve"> </w:t>
      </w:r>
      <w:r>
        <w:t xml:space="preserve">(Sec. 5.4).</w:t>
      </w:r>
    </w:p>
    <w:bookmarkEnd w:id="26"/>
    <w:bookmarkStart w:id="27" w:name="normalization-and-mes-construction"/>
    <w:p>
      <w:pPr>
        <w:pStyle w:val="Heading2"/>
      </w:pPr>
      <w:r>
        <w:t xml:space="preserve">Normalization and MES Construction</w:t>
      </w:r>
    </w:p>
    <w:p>
      <w:pPr>
        <w:pStyle w:val="FirstParagraph"/>
      </w:pPr>
      <w:r>
        <w:t xml:space="preserve">Each raw metric is placed on a common 0–100 scale by</w:t>
      </w:r>
      <w:r>
        <w:t xml:space="preserve"> </w:t>
      </w:r>
      <w:r>
        <w:rPr>
          <w:i/>
          <w:iCs/>
        </w:rPr>
        <w:t xml:space="preserve">within-city</w:t>
      </w:r>
      <w:r>
        <w:t xml:space="preserve"> </w:t>
      </w:r>
      <w:r>
        <w:t xml:space="preserve">min–max normalization,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nor/>
                  <m:sty m:val="p"/>
                </m:rPr>
                <m:t>norm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chosen over</w:t>
      </w:r>
      <w:r>
        <w:t xml:space="preserve"> </w:t>
      </w:r>
      <m:oMath>
        <m:r>
          <m:t>z</m:t>
        </m:r>
      </m:oMath>
      <w:r>
        <w:t xml:space="preserve">-scores so scores are bounded, interpretable as</w:t>
      </w:r>
      <w:r>
        <w:t xml:space="preserve"> </w:t>
      </w:r>
      <w:r>
        <w:t xml:space="preserve">“percent of the</w:t>
      </w:r>
      <w:r>
        <w:t xml:space="preserve"> </w:t>
      </w:r>
      <w:r>
        <w:t xml:space="preserve">best-served tract in this city,”</w:t>
      </w:r>
      <w:r>
        <w:t xml:space="preserve"> </w:t>
      </w:r>
      <w:r>
        <w:t xml:space="preserve">and comparable across sub-indices. Because</w:t>
      </w:r>
      <w:r>
        <w:t xml:space="preserve"> </w:t>
      </w:r>
      <w:r>
        <w:t xml:space="preserve">normalization is within-city, the MES is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measure; cross-city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are therefore interpreted with caution (Sec. 5.4), while within-city</w:t>
      </w:r>
      <w:r>
        <w:t xml:space="preserve"> </w:t>
      </w:r>
      <w:r>
        <w:t xml:space="preserve">patterns and correlations are directly valid. The composite is the weighted sum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t>s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an equal-weight baseline (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), the neutral default recommended</w:t>
      </w:r>
      <w:r>
        <w:t xml:space="preserve"> </w:t>
      </w:r>
      <w:r>
        <w:t xml:space="preserve">absent strong prior information </w:t>
      </w:r>
      <w:r>
        <w:t xml:space="preserve">.</w:t>
      </w:r>
    </w:p>
    <w:bookmarkEnd w:id="27"/>
    <w:bookmarkStart w:id="28" w:name="weighting-determination-and-sensitivity"/>
    <w:p>
      <w:pPr>
        <w:pStyle w:val="Heading2"/>
      </w:pPr>
      <w:r>
        <w:t xml:space="preserve">Weighting: Determination and Sensitivity</w:t>
      </w:r>
    </w:p>
    <w:p>
      <w:pPr>
        <w:pStyle w:val="FirstParagraph"/>
      </w:pPr>
      <w:r>
        <w:t xml:space="preserve">The equal-weight baseline is a deliberate, stated choice, but its influence is</w:t>
      </w:r>
      <w:r>
        <w:t xml:space="preserve"> </w:t>
      </w:r>
      <w:r>
        <w:t xml:space="preserve">tested against three alternatives (Sec. 4.6):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weights (from each</w:t>
      </w:r>
      <w:r>
        <w:t xml:space="preserve"> </w:t>
      </w:r>
      <w:r>
        <w:t xml:space="preserve">sub-index’s dispersion),</w:t>
      </w:r>
      <w:r>
        <w:t xml:space="preserve"> </w:t>
      </w:r>
      <w:r>
        <w:rPr>
          <w:i/>
          <w:iCs/>
        </w:rPr>
        <w:t xml:space="preserve">PCA</w:t>
      </w:r>
      <w:r>
        <w:t xml:space="preserve"> </w:t>
      </w:r>
      <w:r>
        <w:t xml:space="preserve">weights (first-component loadings), and</w:t>
      </w:r>
      <w:r>
        <w:t xml:space="preserve"> </w:t>
      </w:r>
      <w:r>
        <w:rPr>
          <w:i/>
          <w:iCs/>
        </w:rPr>
        <w:t xml:space="preserve">AHP-style</w:t>
      </w:r>
      <w:r>
        <w:t xml:space="preserve"> </w:t>
      </w:r>
      <w:r>
        <w:t xml:space="preserve">weights (illustrative expert priorities pending a formal Analytic</w:t>
      </w:r>
      <w:r>
        <w:t xml:space="preserve"> </w:t>
      </w:r>
      <w:r>
        <w:t xml:space="preserve">Hierarchy Process elicitation: transit 0.40, walk 0.30, bike 0.15, EV 0.15). If the sign, magnitude, and significance of the equity correlations are</w:t>
      </w:r>
      <w:r>
        <w:t xml:space="preserve"> </w:t>
      </w:r>
      <w:r>
        <w:t xml:space="preserve">stable across all four schemes, the substantive conclusions do not depend on the</w:t>
      </w:r>
      <w:r>
        <w:t xml:space="preserve"> </w:t>
      </w:r>
      <w:r>
        <w:t xml:space="preserve">weighting choice — the criterion for RQ1.</w:t>
      </w:r>
    </w:p>
    <w:bookmarkEnd w:id="28"/>
    <w:bookmarkStart w:id="29" w:name="X1cce984b3de7682c68a88614d660f57dff40a03"/>
    <w:p>
      <w:pPr>
        <w:pStyle w:val="Heading2"/>
      </w:pPr>
      <w:r>
        <w:t xml:space="preserve">Mobility-Desert Classification and Threshold Validation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mobility desert</w:t>
      </w:r>
      <w:r>
        <w:t xml:space="preserve"> </w:t>
      </w:r>
      <w:r>
        <w:t xml:space="preserve">is a tract below its city’s 25th MES percentile; a</w:t>
      </w:r>
      <w:r>
        <w:t xml:space="preserve"> </w:t>
      </w:r>
      <w:r>
        <w:rPr>
          <w:i/>
          <w:iCs/>
        </w:rPr>
        <w:t xml:space="preserve">compounded desert</w:t>
      </w:r>
      <w:r>
        <w:t xml:space="preserve"> </w:t>
      </w:r>
      <w:r>
        <w:t xml:space="preserve">is below the 25th percentile in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sub-indices.</w:t>
      </w:r>
      <w:r>
        <w:t xml:space="preserve"> </w:t>
      </w:r>
      <w:r>
        <w:t xml:space="preserve">Because the 25th-percentile cut is arbitrary, it is validated by recomputing the</w:t>
      </w:r>
      <w:r>
        <w:t xml:space="preserve"> </w:t>
      </w:r>
      <w:r>
        <w:t xml:space="preserve">desert set at the 20th and 30th percentiles and reporting the Jaccard overlap</w:t>
      </w:r>
      <w:r>
        <w:t xml:space="preserve"> </w:t>
      </w:r>
      <w:r>
        <w:t xml:space="preserve">with the baseline and the demographic profile at each threshold (RQ2).</w:t>
      </w:r>
    </w:p>
    <w:bookmarkEnd w:id="29"/>
    <w:bookmarkStart w:id="30" w:name="X40a640826706465ba13a1c40efdeb57378afef8"/>
    <w:p>
      <w:pPr>
        <w:pStyle w:val="Heading2"/>
      </w:pPr>
      <w:r>
        <w:t xml:space="preserve">Equity Correlation Analysis — Justification</w:t>
      </w:r>
    </w:p>
    <w:p>
      <w:pPr>
        <w:pStyle w:val="FirstParagraph"/>
      </w:pPr>
      <w:r>
        <w:t xml:space="preserve">Pearson correlation is used because the research question (RQ3) concerns the</w:t>
      </w:r>
      <w:r>
        <w:t xml:space="preserve"> </w:t>
      </w:r>
      <w:r>
        <w:rPr>
          <w:i/>
          <w:iCs/>
        </w:rPr>
        <w:t xml:space="preserve">linear direction and strength</w:t>
      </w:r>
      <w:r>
        <w:t xml:space="preserve"> </w:t>
      </w:r>
      <w:r>
        <w:t xml:space="preserve">of association between the continuous MES and</w:t>
      </w:r>
      <w:r>
        <w:t xml:space="preserve"> </w:t>
      </w:r>
      <w:r>
        <w:t xml:space="preserve">continuous demographic variables; it yields an interpretable effect size (</w:t>
      </w:r>
      <m:oMath>
        <m:r>
          <m:t>r</m:t>
        </m:r>
      </m:oMath>
      <w:r>
        <w:t xml:space="preserve">),</w:t>
      </w:r>
      <w:r>
        <w:t xml:space="preserve"> </w:t>
      </w:r>
      <w:r>
        <w:t xml:space="preserve">a significance test, and (via the Fisher</w:t>
      </w:r>
      <w:r>
        <w:t xml:space="preserve"> </w:t>
      </w:r>
      <m:oMath>
        <m:r>
          <m:t>z</m:t>
        </m:r>
      </m:oMath>
      <w:r>
        <w:t xml:space="preserve">-transform) a confidence interval,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arctanh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</m:e>
            <m:sub>
              <m:r>
                <m:t>95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  <m:r>
                <m:rPr>
                  <m:sty m:val="p"/>
                </m:rPr>
                <m:t>±</m:t>
              </m:r>
              <m:r>
                <m:t>1.96</m:t>
              </m:r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Spearman rank correlation is computed as a monotonic robustness variant</w:t>
      </w:r>
      <w:r>
        <w:t xml:space="preserve"> </w:t>
      </w:r>
      <w:r>
        <w:t xml:space="preserve">(reported in Sec. 4.2); it agrees in sign with Pearson across all cities.</w:t>
      </w:r>
    </w:p>
    <w:bookmarkEnd w:id="30"/>
    <w:bookmarkStart w:id="31" w:name="spatial-autocorrelation-justification"/>
    <w:p>
      <w:pPr>
        <w:pStyle w:val="Heading2"/>
      </w:pPr>
      <w:r>
        <w:t xml:space="preserve">Spatial Autocorrelation — Justification</w:t>
      </w:r>
    </w:p>
    <w:p>
      <w:pPr>
        <w:pStyle w:val="FirstParagraph"/>
      </w:pPr>
      <w:r>
        <w:t xml:space="preserve">Ordinary correlation ignores that tracts are spatially embedded. Global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(queen contiguity, row-standardized, 999 permutations) tests whether the MES</w:t>
      </w:r>
      <w:r>
        <w:t xml:space="preserve"> </w:t>
      </w:r>
      <w:r>
        <w:t xml:space="preserve">is spatially clustered rather than random — necessary because a clustered</w:t>
      </w:r>
      <w:r>
        <w:t xml:space="preserve"> </w:t>
      </w:r>
      <w:r>
        <w:t xml:space="preserve">pattern implies systematic, place-based (not idiosyncratic) inequity. Local</w:t>
      </w:r>
      <w:r>
        <w:t xml:space="preserve"> </w:t>
      </w:r>
      <w:r>
        <w:t xml:space="preserve">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(LISA) then locates statistically significant low-low</w:t>
      </w:r>
      <w:r>
        <w:t xml:space="preserve"> </w:t>
      </w:r>
      <w:r>
        <w:t xml:space="preserve">“cold spots”</w:t>
      </w:r>
      <w:r>
        <w:t xml:space="preserve"> </w:t>
      </w:r>
      <w:r>
        <w:t xml:space="preserve">for targeting (RQ4).</w:t>
      </w:r>
    </w:p>
    <w:bookmarkEnd w:id="31"/>
    <w:bookmarkStart w:id="32" w:name="cluster-analysis-justification"/>
    <w:p>
      <w:pPr>
        <w:pStyle w:val="Heading2"/>
      </w:pPr>
      <w:r>
        <w:t xml:space="preserve">Cluster Analysis — Justification</w:t>
      </w:r>
    </w:p>
    <w:p>
      <w:pPr>
        <w:pStyle w:val="FirstParagraph"/>
      </w:pPr>
      <w:r>
        <w:t xml:space="preserve">To move beyond a single score to actionable</w:t>
      </w:r>
      <w:r>
        <w:t xml:space="preserve"> </w:t>
      </w:r>
      <w:r>
        <w:rPr>
          <w:i/>
          <w:iCs/>
        </w:rPr>
        <w:t xml:space="preserve">profiles</w:t>
      </w:r>
      <w:r>
        <w:t xml:space="preserve">, K-means clusters</w:t>
      </w:r>
      <w:r>
        <w:t xml:space="preserve"> </w:t>
      </w:r>
      <w:r>
        <w:t xml:space="preserve">tracts on the four standardized sub-indices;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selected by maximizing the</w:t>
      </w:r>
      <w:r>
        <w:t xml:space="preserve"> </w:t>
      </w:r>
      <w:r>
        <w:t xml:space="preserve">mean silhouette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(with the inertia elbow reported), which</w:t>
      </w:r>
      <w:r>
        <w:t xml:space="preserve"> </w:t>
      </w:r>
      <w:r>
        <w:t xml:space="preserve">serves as internal validation of cluster quality. The resulting typology answers</w:t>
      </w:r>
      <w:r>
        <w:t xml:space="preserve"> </w:t>
      </w:r>
      <w:r>
        <w:t xml:space="preserve">“what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 mobility disadvantage exist?”</w:t>
      </w:r>
      <w:r>
        <w:t xml:space="preserve"> </w:t>
      </w:r>
      <w:r>
        <w:t xml:space="preserve">— directly supporting</w:t>
      </w:r>
      <w:r>
        <w:t xml:space="preserve"> </w:t>
      </w:r>
      <w:r>
        <w:t xml:space="preserve">differentiated policy (RQ4).</w:t>
      </w:r>
    </w:p>
    <w:bookmarkEnd w:id="32"/>
    <w:bookmarkStart w:id="33" w:name="validation-and-reproducibility"/>
    <w:p>
      <w:pPr>
        <w:pStyle w:val="Heading2"/>
      </w:pPr>
      <w:r>
        <w:t xml:space="preserve">Validation and Reproducibility</w:t>
      </w:r>
    </w:p>
    <w:p>
      <w:pPr>
        <w:pStyle w:val="FirstParagraph"/>
      </w:pPr>
      <w:r>
        <w:t xml:space="preserve">Validation is multi-pronged: permutation inference for Moran’s</w:t>
      </w:r>
      <w:r>
        <w:t xml:space="preserve"> </w:t>
      </w:r>
      <m:oMath>
        <m:r>
          <m:t>I</m:t>
        </m:r>
      </m:oMath>
      <w:r>
        <w:t xml:space="preserve">; silhouette</w:t>
      </w:r>
      <w:r>
        <w:t xml:space="preserve"> </w:t>
      </w:r>
      <w:r>
        <w:t xml:space="preserve">scores for clustering; weighting and threshold sensitivity for the composite;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covering normalization, MES construction, and the</w:t>
      </w:r>
      <w:r>
        <w:t xml:space="preserve"> </w:t>
      </w:r>
      <w:r>
        <w:t xml:space="preserve">correlation statistics. The full pipeline (Python 3.11; pandas, geopandas,</w:t>
      </w:r>
      <w:r>
        <w:t xml:space="preserve"> </w:t>
      </w:r>
      <w:r>
        <w:t xml:space="preserve">scikit-learn, PySAL) is modular, cached, and released open-source so results are</w:t>
      </w:r>
      <w:r>
        <w:t xml:space="preserve"> </w:t>
      </w:r>
      <w:r>
        <w:t xml:space="preserve">independently reproducible.</w:t>
      </w:r>
    </w:p>
    <w:bookmarkEnd w:id="33"/>
    <w:bookmarkEnd w:id="34"/>
    <w:bookmarkStart w:id="79" w:name="results"/>
    <w:p>
      <w:pPr>
        <w:pStyle w:val="Heading1"/>
      </w:pPr>
      <w:r>
        <w:t xml:space="preserve">Results</w:t>
      </w:r>
    </w:p>
    <w:bookmarkStart w:id="46" w:name="mes-distribution-and-sub-index-profiles"/>
    <w:p>
      <w:pPr>
        <w:pStyle w:val="Heading2"/>
      </w:pPr>
      <w:r>
        <w:t xml:space="preserve">MES Distribution and Sub-Index Profiles</w:t>
      </w:r>
    </w:p>
    <w:p>
      <w:pPr>
        <w:pStyle w:val="FirstParagraph"/>
      </w:pPr>
      <w:r>
        <w:t xml:space="preserve">Table </w:t>
      </w:r>
      <w:hyperlink w:anchor="tab:m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MES per city. Each city’s tracts span the full</w:t>
      </w:r>
      <w:r>
        <w:t xml:space="preserve"> </w:t>
      </w:r>
      <w:r>
        <w:t xml:space="preserve">0–100 range on each sub-index (a consequence of within-city normalization), so</w:t>
      </w:r>
      <w:r>
        <w:t xml:space="preserve"> </w:t>
      </w:r>
      <w:r>
        <w:t xml:space="preserve">the informative comparisons are distribution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and sub-index balance,</w:t>
      </w:r>
      <w:r>
        <w:t xml:space="preserve"> </w:t>
      </w:r>
      <w:r>
        <w:t xml:space="preserve">not raw cross-city means. Walkability is the strongest dimension everywhere</w:t>
      </w:r>
      <w:r>
        <w:t xml:space="preserve"> </w:t>
      </w:r>
      <w:r>
        <w:t xml:space="preserve">(means 51–68), bicycle infrastructure is uniformly scarce and highly</w:t>
      </w:r>
      <w:r>
        <w:t xml:space="preserve"> </w:t>
      </w:r>
      <w:r>
        <w:t xml:space="preserve">right-skewed (means roughly 5–7; most tracts near zero with a few high-provision</w:t>
      </w:r>
      <w:r>
        <w:t xml:space="preserve"> </w:t>
      </w:r>
      <w:r>
        <w:t xml:space="preserve">corridors), and transit and EV sit in between. Houston shows the lowest</w:t>
      </w:r>
      <w:r>
        <w:t xml:space="preserve"> </w:t>
      </w:r>
      <w:r>
        <w:t xml:space="preserve">walkability (51.0), consistent with its auto-oriented form.</w:t>
      </w:r>
    </w:p>
    <w:bookmarkStart w:id="35" w:name="tab:mes"/>
    <w:p>
      <w:pPr>
        <w:pStyle w:val="TableCaption"/>
      </w:pPr>
      <w:r>
        <w:t xml:space="preserve">MES summary statistics and mean sub-index scores (0–100) by city.</w:t>
      </w:r>
      <w:r>
        <w:t xml:space="preserve"> </w:t>
      </w:r>
      <w:r>
        <w:t xml:space="preserve">“Desert”</w:t>
      </w:r>
      <w:r>
        <w:t xml:space="preserve"> </w:t>
      </w:r>
      <w:r>
        <w:t xml:space="preserve">and</w:t>
      </w:r>
      <w:r>
        <w:t xml:space="preserve"> </w:t>
      </w:r>
      <w:r>
        <w:t xml:space="preserve">“compounded”</w:t>
      </w:r>
      <w:r>
        <w:t xml:space="preserve"> </w:t>
      </w:r>
      <w:r>
        <w:t xml:space="preserve">are the percent of tracts flagged.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S summary statistics and mean sub-index scores (0–100) by city. “Desert” and “compounded” are the percent of tracts flagged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Tracts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MES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Transit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Walk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Bike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</w:tr>
    </w:tbl>
    <w:bookmarkEnd w:id="35"/>
    <w:p>
      <w:pPr>
        <w:pStyle w:val="BodyText"/>
      </w:pPr>
      <w:r>
        <w:t xml:space="preserve">By construction,</w:t>
      </w:r>
      <w:r>
        <w:t xml:space="preserve"> </w:t>
      </w:r>
      <m:oMath>
        <m:r>
          <m:rPr>
            <m:sty m:val="p"/>
          </m:rPr>
          <m:t>≈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of tracts are mobility deserts in each city.</w:t>
      </w:r>
      <w:r>
        <w:t xml:space="preserve"> </w:t>
      </w:r>
      <w:r>
        <w:t xml:space="preserve">Compounded deserts (low in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dimensions) are more common in Seattle</w:t>
      </w:r>
      <w:r>
        <w:t xml:space="preserve"> </w:t>
      </w:r>
      <w:r>
        <w:t xml:space="preserve">(23.4%) and Chicago (15.6%) than Houston (12.7%), indicating that in Houston</w:t>
      </w:r>
      <w:r>
        <w:t xml:space="preserve"> </w:t>
      </w:r>
      <w:r>
        <w:t xml:space="preserve">under-provision is more often single-dimension. Figure </w:t>
      </w:r>
      <w:hyperlink w:anchor="fig:choroplet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maps the MES and its four sub-indices; the tract-level maps show the strong</w:t>
      </w:r>
      <w:r>
        <w:t xml:space="preserve"> </w:t>
      </w:r>
      <w:r>
        <w:t xml:space="preserve">center-to-periphery gradient quantified below.</w:t>
      </w:r>
    </w:p>
    <w:bookmarkStart w:id="45" w:name="fig:choroplet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5334000" cy="764254"/>
                  <wp:effectExtent b="0" l="0" r="0" t="0"/>
                  <wp:docPr descr="image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horopleth_chicago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64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5334000" cy="739455"/>
                  <wp:effectExtent b="0" l="0" r="0" t="0"/>
                  <wp:docPr descr="image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horopleth_housto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9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5334000" cy="723674"/>
                  <wp:effectExtent b="0" l="0" r="0" t="0"/>
                  <wp:docPr descr="image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horopleth_seattl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23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MES and sub-index choropleths (Chicago, Houston, Seattle). Green = better</w:t>
      </w:r>
      <w:r>
        <w:t xml:space="preserve"> </w:t>
      </w:r>
      <w:r>
        <w:t xml:space="preserve">served, red = worse. Walkability and transit concentrate centrally; dedicated</w:t>
      </w:r>
      <w:r>
        <w:t xml:space="preserve"> </w:t>
      </w:r>
      <w:r>
        <w:t xml:space="preserve">bicycle infrastructure is sparse citywide.</w:t>
      </w:r>
    </w:p>
    <w:bookmarkEnd w:id="45"/>
    <w:bookmarkEnd w:id="46"/>
    <w:bookmarkStart w:id="51" w:name="equity-correlation-analysis"/>
    <w:p>
      <w:pPr>
        <w:pStyle w:val="Heading2"/>
      </w:pPr>
      <w:r>
        <w:t xml:space="preserve">Equity Correlation Analysis</w:t>
      </w:r>
    </w:p>
    <w:p>
      <w:pPr>
        <w:pStyle w:val="FirstParagraph"/>
      </w:pPr>
      <w:r>
        <w:t xml:space="preserve">Table </w:t>
      </w:r>
      <w:hyperlink w:anchor="tab:corr">
        <w:r>
          <w:rPr>
            <w:rStyle w:val="Hyperlink"/>
          </w:rPr>
          <w:t xml:space="preserve">[tab:corr]</w:t>
        </w:r>
      </w:hyperlink>
      <w:r>
        <w:t xml:space="preserve"> </w:t>
      </w:r>
      <w:r>
        <w:t xml:space="preserve">reports the Pearson correlations. Three patterns hold across</w:t>
      </w:r>
      <w:r>
        <w:t xml:space="preserve"> </w:t>
      </w:r>
      <w:r>
        <w:t xml:space="preserve">all cities and are all statistically significant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95% CIs excluding</w:t>
      </w:r>
      <w:r>
        <w:t xml:space="preserve"> </w:t>
      </w:r>
      <w:r>
        <w:t xml:space="preserve">zero): the MES is (i)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associated with median income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), (ii)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and strongly associated with the</w:t>
      </w:r>
      <w:r>
        <w:t xml:space="preserve"> </w:t>
      </w:r>
      <w:r>
        <w:t xml:space="preserve">share of zero-vehicle households (</w:t>
      </w:r>
      <m:oMath>
        <m:r>
          <m:t>r</m:t>
        </m:r>
        <m:r>
          <m:rPr>
            <m:sty m:val="p"/>
          </m:rPr>
          <m:t>=</m:t>
        </m:r>
        <m:r>
          <m:t>0.41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0.69</m:t>
        </m:r>
      </m:oMath>
      <w:r>
        <w:t xml:space="preserve">), and (iii) positively</w:t>
      </w:r>
      <w:r>
        <w:t xml:space="preserve"> </w:t>
      </w:r>
      <w:r>
        <w:t xml:space="preserve">associated with renter share (</w:t>
      </w:r>
      <m:oMath>
        <m:r>
          <m:t>r</m:t>
        </m:r>
        <m:r>
          <m:rPr>
            <m:sty m:val="p"/>
          </m:rPr>
          <m:t>=</m:t>
        </m:r>
        <m:r>
          <m:t>0.53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0.69</m:t>
        </m:r>
      </m:oMath>
      <w:r>
        <w:t xml:space="preserve">). The association with percent</w:t>
      </w:r>
      <w:r>
        <w:t xml:space="preserve"> </w:t>
      </w:r>
      <w:r>
        <w:t xml:space="preserve">non-white is positive but weak (</w:t>
      </w:r>
      <m:oMath>
        <m:r>
          <m:t>r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0.14</m:t>
        </m:r>
      </m:oMath>
      <w:r>
        <w:t xml:space="preserve">). Descriptively, the MES</w:t>
      </w:r>
      <w:r>
        <w:t xml:space="preserve"> </w:t>
      </w:r>
      <w:r>
        <w:t xml:space="preserve">co-occurs with higher shares of car-free and renter households — the dense</w:t>
      </w:r>
      <w:r>
        <w:t xml:space="preserve"> </w:t>
      </w:r>
      <w:r>
        <w:t xml:space="preserve">urban core; the raw negative income association is probed for confounding in</w:t>
      </w:r>
      <w:r>
        <w:t xml:space="preserve"> </w:t>
      </w:r>
      <w:r>
        <w:t xml:space="preserve">Sec. 4.7, where it largely disappears once urban form is controlled. All coefficients</w:t>
      </w:r>
      <w:r>
        <w:t xml:space="preserve"> </w:t>
      </w:r>
      <w:r>
        <w:t xml:space="preserve">are associational, not causal, and (as Sec. 4.7 shows) their significance is</w:t>
      </w:r>
      <w:r>
        <w:t xml:space="preserve"> </w:t>
      </w:r>
      <w:r>
        <w:t xml:space="preserve">overstated by spatial dependence. Figure </w:t>
      </w:r>
      <w:hyperlink w:anchor="fig:cor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visualizes the full</w:t>
      </w:r>
      <w:r>
        <w:t xml:space="preserve"> </w:t>
      </w:r>
      <w:r>
        <w:t xml:space="preserve">correlation structure for Chicago. A Spearman rank check agrees in sign with every Pearson</w:t>
      </w:r>
      <w:r>
        <w:t xml:space="preserve"> </w:t>
      </w:r>
      <w:r>
        <w:t xml:space="preserve">coefficient in all three cities; the strong zero-vehicle and renter associations</w:t>
      </w:r>
      <w:r>
        <w:t xml:space="preserve"> </w:t>
      </w:r>
      <w:r>
        <w:t xml:space="preserve">remain strong under ranks, while the weaker income and non-white associations</w:t>
      </w:r>
      <w:r>
        <w:t xml:space="preserve"> </w:t>
      </w:r>
      <w:r>
        <w:t xml:space="preserve">attenuate — indicating the latter are more sensitive to distributional outliers</w:t>
      </w:r>
      <w:r>
        <w:t xml:space="preserve"> </w:t>
      </w:r>
      <w:r>
        <w:t xml:space="preserve">and should be read cautiously. The four sub-indices show coherent but</w:t>
      </w:r>
      <w:r>
        <w:t xml:space="preserve"> </w:t>
      </w:r>
      <w:r>
        <w:t xml:space="preserve">non-redundant internal structure (mean inter-sub-index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0.45</m:t>
        </m:r>
      </m:oMath>
      <w:r>
        <w:t xml:space="preserve">–</w:t>
      </w:r>
      <m:oMath>
        <m:r>
          <m:t>0.62</m:t>
        </m:r>
      </m:oMath>
      <w:r>
        <w:t xml:space="preserve">, pairwise range</w:t>
      </w:r>
      <w:r>
        <w:t xml:space="preserve"> </w:t>
      </w:r>
      <m:oMath>
        <m:r>
          <m:t>0.26</m:t>
        </m:r>
      </m:oMath>
      <w:r>
        <w:t xml:space="preserve">–</w:t>
      </w:r>
      <m:oMath>
        <m:r>
          <m:t>0.81</m:t>
        </m:r>
      </m:oMath>
      <w:r>
        <w:t xml:space="preserve">), i.e. related enough to form</w:t>
      </w:r>
      <w:r>
        <w:t xml:space="preserve"> </w:t>
      </w:r>
      <w:r>
        <w:t xml:space="preserve">a coherent composite yet distinct enough that each contributes non-redundant</w:t>
      </w:r>
      <w:r>
        <w:t xml:space="preserve"> </w:t>
      </w:r>
      <w:r>
        <w:t xml:space="preserve">information — the appropriate validity evidence for a</w:t>
      </w:r>
      <w:r>
        <w:t xml:space="preserve"> </w:t>
      </w:r>
      <w:r>
        <w:rPr>
          <w:i/>
          <w:iCs/>
        </w:rPr>
        <w:t xml:space="preserve">formative</w:t>
      </w:r>
      <w:r>
        <w:t xml:space="preserve"> </w:t>
      </w:r>
      <w:r>
        <w:t xml:space="preserve">index,</w:t>
      </w:r>
      <w:r>
        <w:t xml:space="preserve"> </w:t>
      </w:r>
      <w:r>
        <w:t xml:space="preserve">rather than a reflective-scale reliability statistic (RQ1).</w:t>
      </w:r>
    </w:p>
    <w:p>
      <w:pPr>
        <w:pStyle w:val="BodyText"/>
      </w:pPr>
      <w:r>
        <w:t xml:space="preserve">l Y Y Y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Chicago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Houston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Seattle</w:t>
      </w:r>
      <w:r>
        <w:br/>
      </w:r>
      <w:r>
        <w:t xml:space="preserve">Median income &amp;</w:t>
      </w:r>
      <w:r>
        <w:t xml:space="preserve"> </w:t>
      </w:r>
      <m:oMath>
        <m:r>
          <m:rPr>
            <m:sty m:val="p"/>
          </m:rPr>
          <m:t>−</m:t>
        </m:r>
        <m:r>
          <m:t>0.085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0.03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0.144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0.09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  <m:r>
          <m:t>0.272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0.35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0.19</m:t>
        </m:r>
        <m:r>
          <m:rPr>
            <m:sty m:val="p"/>
          </m:rPr>
          <m:t>]</m:t>
        </m:r>
      </m:oMath>
      <w:r>
        <w:br/>
      </w:r>
      <w:r>
        <w:t xml:space="preserve">% non-white &amp;</w:t>
      </w:r>
      <w:r>
        <w:t xml:space="preserve"> </w:t>
      </w:r>
      <m:oMath>
        <m:r>
          <m:rPr>
            <m:sty m:val="p"/>
          </m:rPr>
          <m:t>+</m:t>
        </m:r>
        <m:r>
          <m:t>0.140</m:t>
        </m:r>
      </m:oMath>
      <w:r>
        <w:t xml:space="preserve"> </w:t>
      </w:r>
      <m:oMath>
        <m:r>
          <m:rPr>
            <m:sty m:val="p"/>
          </m:rPr>
          <m:t>[</m:t>
        </m:r>
        <m:r>
          <m:t>0.09</m:t>
        </m:r>
        <m:r>
          <m:rPr>
            <m:sty m:val="p"/>
          </m:rPr>
          <m:t>,</m:t>
        </m:r>
        <m:r>
          <m:t>0.19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0.097</m:t>
        </m:r>
      </m:oMath>
      <w:r>
        <w:t xml:space="preserve"> </w:t>
      </w:r>
      <m:oMath>
        <m:r>
          <m:rPr>
            <m:sty m:val="p"/>
          </m:rPr>
          <m:t>[</m:t>
        </m:r>
        <m:r>
          <m:t>0.04</m:t>
        </m:r>
        <m:r>
          <m:rPr>
            <m:sty m:val="p"/>
          </m:rPr>
          <m:t>,</m:t>
        </m:r>
        <m:r>
          <m:t>0.16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0.102</m:t>
        </m:r>
      </m:oMath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0.19</m:t>
        </m:r>
        <m:r>
          <m:rPr>
            <m:sty m:val="p"/>
          </m:rPr>
          <m:t>]</m:t>
        </m:r>
      </m:oMath>
      <w:r>
        <w:br/>
      </w:r>
      <w:r>
        <w:t xml:space="preserve">% zero-vehicle &amp;</w:t>
      </w:r>
      <w:r>
        <w:t xml:space="preserve"> </w:t>
      </w:r>
      <m:oMath>
        <m:r>
          <m:rPr>
            <m:sty m:val="p"/>
          </m:rPr>
          <m:t>+</m:t>
        </m:r>
        <m:r>
          <m:t>0.562</m:t>
        </m:r>
      </m:oMath>
      <w:r>
        <w:t xml:space="preserve"> </w:t>
      </w:r>
      <m:oMath>
        <m:r>
          <m:rPr>
            <m:sty m:val="p"/>
          </m:rPr>
          <m:t>[</m:t>
        </m:r>
        <m:r>
          <m:t>0.52</m:t>
        </m:r>
        <m:r>
          <m:rPr>
            <m:sty m:val="p"/>
          </m:rPr>
          <m:t>,</m:t>
        </m:r>
        <m:r>
          <m:t>0.60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0.408</m:t>
        </m:r>
      </m:oMath>
      <w:r>
        <w:t xml:space="preserve"> </w:t>
      </w:r>
      <m:oMath>
        <m:r>
          <m:rPr>
            <m:sty m:val="p"/>
          </m:rPr>
          <m:t>[</m:t>
        </m:r>
        <m:r>
          <m:t>0.36</m:t>
        </m:r>
        <m:r>
          <m:rPr>
            <m:sty m:val="p"/>
          </m:rPr>
          <m:t>,</m:t>
        </m:r>
        <m:r>
          <m:t>0.46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0.691</m:t>
        </m:r>
      </m:oMath>
      <w:r>
        <w:t xml:space="preserve"> </w:t>
      </w:r>
      <m:oMath>
        <m:r>
          <m:rPr>
            <m:sty m:val="p"/>
          </m:rPr>
          <m:t>[</m:t>
        </m:r>
        <m:r>
          <m:t>0.64</m:t>
        </m:r>
        <m:r>
          <m:rPr>
            <m:sty m:val="p"/>
          </m:rPr>
          <m:t>,</m:t>
        </m:r>
        <m:r>
          <m:t>0.73</m:t>
        </m:r>
        <m:r>
          <m:rPr>
            <m:sty m:val="p"/>
          </m:rPr>
          <m:t>]</m:t>
        </m:r>
      </m:oMath>
      <w:r>
        <w:br/>
      </w:r>
      <w:r>
        <w:t xml:space="preserve">% renter &amp;</w:t>
      </w:r>
      <w:r>
        <w:t xml:space="preserve"> </w:t>
      </w:r>
      <m:oMath>
        <m:r>
          <m:rPr>
            <m:sty m:val="p"/>
          </m:rPr>
          <m:t>+</m:t>
        </m:r>
        <m:r>
          <m:t>0.576</m:t>
        </m:r>
      </m:oMath>
      <w:r>
        <w:t xml:space="preserve"> </w:t>
      </w:r>
      <m:oMath>
        <m:r>
          <m:rPr>
            <m:sty m:val="p"/>
          </m:rPr>
          <m:t>[</m:t>
        </m:r>
        <m:r>
          <m:t>0.54</m:t>
        </m:r>
        <m:r>
          <m:rPr>
            <m:sty m:val="p"/>
          </m:rPr>
          <m:t>,</m:t>
        </m:r>
        <m:r>
          <m:t>0.61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0.535</m:t>
        </m:r>
      </m:oMath>
      <w:r>
        <w:t xml:space="preserve"> </w:t>
      </w:r>
      <m:oMath>
        <m:r>
          <m:rPr>
            <m:sty m:val="p"/>
          </m:rPr>
          <m:t>[</m:t>
        </m:r>
        <m:r>
          <m:t>0.49</m:t>
        </m:r>
        <m:r>
          <m:rPr>
            <m:sty m:val="p"/>
          </m:rPr>
          <m:t>,</m:t>
        </m:r>
        <m:r>
          <m:t>0.58</m:t>
        </m:r>
        <m:r>
          <m:rPr>
            <m:sty m:val="p"/>
          </m:rPr>
          <m:t>]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  <m:r>
          <m:t>0.686</m:t>
        </m:r>
      </m:oMath>
      <w:r>
        <w:t xml:space="preserve"> </w:t>
      </w:r>
      <m:oMath>
        <m:r>
          <m:rPr>
            <m:sty m:val="p"/>
          </m:rPr>
          <m:t>[</m:t>
        </m:r>
        <m:r>
          <m:t>0.64</m:t>
        </m:r>
        <m:r>
          <m:rPr>
            <m:sty m:val="p"/>
          </m:rPr>
          <m:t>,</m:t>
        </m:r>
        <m:r>
          <m:t>0.73</m:t>
        </m:r>
        <m:r>
          <m:rPr>
            <m:sty m:val="p"/>
          </m:rPr>
          <m:t>]</m:t>
        </m:r>
      </m:oMath>
      <w:r>
        <w:br/>
      </w:r>
    </w:p>
    <w:bookmarkStart w:id="50" w:name="fig:corr"/>
    <w:p>
      <w:pPr>
        <w:pStyle w:val="CaptionedFigure"/>
      </w:pPr>
      <w:r>
        <w:drawing>
          <wp:inline>
            <wp:extent cx="3840480" cy="298703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orr_heatmap_chicago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8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Chicago correlation matrix among the MES, its sub-indices, and</w:t>
      </w:r>
      <w:r>
        <w:t xml:space="preserve"> </w:t>
      </w:r>
      <w:r>
        <w:t xml:space="preserve">demographic variables.</w:t>
      </w:r>
    </w:p>
    <w:bookmarkEnd w:id="50"/>
    <w:bookmarkEnd w:id="51"/>
    <w:bookmarkStart w:id="62" w:name="spatial-autocorrelation"/>
    <w:p>
      <w:pPr>
        <w:pStyle w:val="Heading2"/>
      </w:pPr>
      <w:r>
        <w:t xml:space="preserve">Spatial Autocorrelation</w:t>
      </w:r>
    </w:p>
    <w:p>
      <w:pPr>
        <w:pStyle w:val="FirstParagraph"/>
      </w:pPr>
      <w:r>
        <w:t xml:space="preserve">The MES is strongly spatially clustered in every city (Table </w:t>
      </w:r>
      <w:hyperlink w:anchor="tab:moran">
        <w:r>
          <w:rPr>
            <w:rStyle w:val="Hyperlink"/>
          </w:rPr>
          <w:t xml:space="preserve">[tab:moran]</w:t>
        </w:r>
      </w:hyperlink>
      <w:r>
        <w:t xml:space="preserve">):</w:t>
      </w:r>
      <w:r>
        <w:t xml:space="preserve"> </w:t>
      </w:r>
      <w:r>
        <w:t xml:space="preserve">global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ranges from 0.82 (Seattle) to 0.92 (Chicago), all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and large</w:t>
      </w:r>
      <w:r>
        <w:t xml:space="preserve"> </w:t>
      </w:r>
      <m:oMath>
        <m:r>
          <m:t>z</m:t>
        </m:r>
      </m:oMath>
      <w:r>
        <w:t xml:space="preserve">-scores. Well-served and under-served tracts thus form</w:t>
      </w:r>
      <w:r>
        <w:t xml:space="preserve"> </w:t>
      </w:r>
      <w:r>
        <w:t xml:space="preserve">contiguous patches, not a random scatter — confirming systematic, place-based</w:t>
      </w:r>
      <w:r>
        <w:t xml:space="preserve"> </w:t>
      </w:r>
      <w:r>
        <w:t xml:space="preserve">inequity. Local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(Figure </w:t>
      </w:r>
      <w:hyperlink w:anchor="fig:lisa">
        <w:r>
          <w:rPr>
            <w:rStyle w:val="Hyperlink"/>
          </w:rPr>
          <w:t xml:space="preserve">3</w:t>
        </w:r>
      </w:hyperlink>
      <w:r>
        <w:t xml:space="preserve">) locates the significant</w:t>
      </w:r>
      <w:r>
        <w:t xml:space="preserve"> </w:t>
      </w:r>
      <w:r>
        <w:t xml:space="preserve">low-low cold spots (peripheral, lower-supply clusters) that are the natural</w:t>
      </w:r>
      <w:r>
        <w:t xml:space="preserve"> </w:t>
      </w:r>
      <w:r>
        <w:t xml:space="preserve">targets for investment.</w:t>
      </w:r>
    </w:p>
    <w:p>
      <w:pPr>
        <w:pStyle w:val="BodyText"/>
      </w:pPr>
      <w:r>
        <w:t xml:space="preserve">l Y Y Y Y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Moran’s</w:t>
      </w:r>
      <w:r>
        <w:rPr>
          <w:b/>
          <w:bCs/>
        </w:rPr>
        <w:t xml:space="preserve"> </w:t>
      </w:r>
      <m:oMath>
        <m:r>
          <m:t>I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z</m:t>
        </m:r>
      </m:oMath>
      <w:r>
        <w:rPr>
          <w:b/>
          <w:bCs/>
        </w:rPr>
        <w:t xml:space="preserve">-score</w:t>
      </w:r>
      <w:r>
        <w:t xml:space="preserve"> </w:t>
      </w:r>
      <w:r>
        <w:t xml:space="preserve">&amp;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-value</w:t>
      </w:r>
      <w:r>
        <w:t xml:space="preserve"> </w:t>
      </w:r>
      <w:r>
        <w:t xml:space="preserve">&amp;</w:t>
      </w:r>
      <w:r>
        <w:t xml:space="preserve"> </w:t>
      </w:r>
      <m:oMath>
        <m:r>
          <m:t>n</m:t>
        </m:r>
      </m:oMath>
      <w:r>
        <w:br/>
      </w:r>
      <w:r>
        <w:t xml:space="preserve">Chicago &amp; 0.916 &amp; 60.9 &amp; 0.001 &amp; 1</w:t>
      </w:r>
      <w:r>
        <w:t xml:space="preserve">,</w:t>
      </w:r>
      <w:r>
        <w:t xml:space="preserve">332</w:t>
      </w:r>
      <w:r>
        <w:br/>
      </w:r>
      <w:r>
        <w:t xml:space="preserve">Houston &amp; 0.834 &amp; 48.2 &amp; 0.001 &amp; 1</w:t>
      </w:r>
      <w:r>
        <w:t xml:space="preserve">,</w:t>
      </w:r>
      <w:r>
        <w:t xml:space="preserve">115</w:t>
      </w:r>
      <w:r>
        <w:br/>
      </w:r>
      <w:r>
        <w:t xml:space="preserve">Seattle &amp; 0.820 &amp; 31.0 &amp; 0.001 &amp; 495</w:t>
      </w:r>
      <w:r>
        <w:br/>
      </w:r>
    </w:p>
    <w:bookmarkStart w:id="61" w:name="fig:lis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1706880" cy="1706880"/>
                  <wp:effectExtent b="0" l="0" r="0" t="0"/>
                  <wp:docPr descr="image" title="" id="53" name="Picture"/>
                  <a:graphic>
                    <a:graphicData uri="http://schemas.openxmlformats.org/drawingml/2006/picture">
                      <pic:pic>
                        <pic:nvPicPr>
                          <pic:cNvPr descr="lisa_chicago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1706880" cy="1706880"/>
                  <wp:effectExtent b="0" l="0" r="0" t="0"/>
                  <wp:docPr descr="image" title="" id="56" name="Picture"/>
                  <a:graphic>
                    <a:graphicData uri="http://schemas.openxmlformats.org/drawingml/2006/picture">
                      <pic:pic>
                        <pic:nvPicPr>
                          <pic:cNvPr descr="lisa_houston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1706880" cy="1706880"/>
                  <wp:effectExtent b="0" l="0" r="0" t="0"/>
                  <wp:docPr descr="image" title="" id="59" name="Picture"/>
                  <a:graphic>
                    <a:graphicData uri="http://schemas.openxmlformats.org/drawingml/2006/picture">
                      <pic:pic>
                        <pic:nvPicPr>
                          <pic:cNvPr descr="lisa_seattl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Local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(LISA) clusters. Red = high-high (well-served cores),</w:t>
      </w:r>
      <w:r>
        <w:t xml:space="preserve"> </w:t>
      </w:r>
      <w:r>
        <w:t xml:space="preserve">blue = low-low (under-served cold spots).</w:t>
      </w:r>
    </w:p>
    <w:bookmarkEnd w:id="61"/>
    <w:bookmarkEnd w:id="62"/>
    <w:bookmarkStart w:id="63" w:name="X92a0d665615f9ec8038c571575db77cbf9a8b26"/>
    <w:p>
      <w:pPr>
        <w:pStyle w:val="Heading2"/>
      </w:pPr>
      <w:r>
        <w:t xml:space="preserve">Mobility-Desert Classification and Threshold Robustness</w:t>
      </w:r>
    </w:p>
    <w:p>
      <w:pPr>
        <w:pStyle w:val="FirstParagraph"/>
      </w:pPr>
      <w:r>
        <w:t xml:space="preserve">Table </w:t>
      </w:r>
      <w:hyperlink w:anchor="tab:sensitivity">
        <w:r>
          <w:rPr>
            <w:rStyle w:val="Hyperlink"/>
          </w:rPr>
          <w:t xml:space="preserve">[tab:sensitivity]</w:t>
        </w:r>
      </w:hyperlink>
      <w:r>
        <w:t xml:space="preserve"> </w:t>
      </w:r>
      <w:r>
        <w:t xml:space="preserve">shows the desert classification is robust to the</w:t>
      </w:r>
      <w:r>
        <w:t xml:space="preserve"> </w:t>
      </w:r>
      <w:r>
        <w:t xml:space="preserve">percentile threshold: moving from the 25th to the 20th or 30th percentile yields</w:t>
      </w:r>
      <w:r>
        <w:t xml:space="preserve"> </w:t>
      </w:r>
      <w:r>
        <w:t xml:space="preserve">Jaccard overlaps of</w:t>
      </w:r>
      <w:r>
        <w:t xml:space="preserve"> </w:t>
      </w:r>
      <m:oMath>
        <m:r>
          <m:t>0.80</m:t>
        </m:r>
      </m:oMath>
      <w:r>
        <w:t xml:space="preserve">–</w:t>
      </w:r>
      <m:oMath>
        <m:r>
          <m:t>0.83</m:t>
        </m:r>
      </m:oMath>
      <w:r>
        <w:t xml:space="preserve"> </w:t>
      </w:r>
      <w:r>
        <w:t xml:space="preserve">with the baseline set (well above the</w:t>
      </w:r>
      <w:r>
        <w:t xml:space="preserve"> </w:t>
      </w:r>
      <w:r>
        <w:t xml:space="preserve">0.75 criterion), and the demographic profile of flagged tracts is stable. Notably,</w:t>
      </w:r>
      <w:r>
        <w:t xml:space="preserve"> </w:t>
      </w:r>
      <w:r>
        <w:t xml:space="preserve">the mean median income of desert tracts is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in every city (Chicago</w:t>
      </w:r>
      <w:r>
        <w:t xml:space="preserve"> </w:t>
      </w:r>
      <w:r>
        <w:t xml:space="preserve">$96.8k, Houston $94.1k, Seattle $157.4k), and their mean non-white share is</w:t>
      </w:r>
      <w:r>
        <w:t xml:space="preserve"> </w:t>
      </w:r>
      <w:r>
        <w:t xml:space="preserve">substantial (Chicago 52%, Houston 64%, Seattle 39%) — the deserts are</w:t>
      </w:r>
      <w:r>
        <w:t xml:space="preserve"> </w:t>
      </w:r>
      <w:r>
        <w:t xml:space="preserve">higher-income peripheries that nonetheless include large minority populations.</w:t>
      </w:r>
    </w:p>
    <w:p>
      <w:pPr>
        <w:pStyle w:val="BodyText"/>
      </w:pPr>
      <w:r>
        <w:t xml:space="preserve">l c Y Y Y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Jaccard vs. 25th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Mean income ($)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Mean % non-white</w:t>
      </w:r>
      <w:r>
        <w:br/>
      </w:r>
      <w:r>
        <w:t xml:space="preserve">Chicago &amp; 20th / 30th &amp; 0.80 / 0.83 &amp; 97.1k / 98.2k &amp; 51.4 / 51.2</w:t>
      </w:r>
      <w:r>
        <w:br/>
      </w:r>
      <w:r>
        <w:t xml:space="preserve">Houston &amp; 20th / 30th &amp; 0.80 / 0.83 &amp; 95.6k / 94.2k &amp; 63.0 / 64.9</w:t>
      </w:r>
      <w:r>
        <w:br/>
      </w:r>
      <w:r>
        <w:t xml:space="preserve">Seattle &amp; 20th / 30th &amp; 0.80 / 0.83 &amp; 158.4k / 153.9k &amp; 38.7 / 40.9</w:t>
      </w:r>
      <w:r>
        <w:br/>
      </w:r>
    </w:p>
    <w:bookmarkEnd w:id="63"/>
    <w:bookmarkStart w:id="68" w:name="cluster-typology"/>
    <w:p>
      <w:pPr>
        <w:pStyle w:val="Heading2"/>
      </w:pPr>
      <w:r>
        <w:t xml:space="preserve">Cluster Typology</w:t>
      </w:r>
    </w:p>
    <w:p>
      <w:pPr>
        <w:pStyle w:val="FirstParagraph"/>
      </w:pPr>
      <w:r>
        <w:t xml:space="preserve">Silhouette-selected K-means (Figure </w:t>
      </w:r>
      <w:hyperlink w:anchor="fig:cluster">
        <w:r>
          <w:rPr>
            <w:rStyle w:val="Hyperlink"/>
          </w:rPr>
          <w:t xml:space="preserve">4</w:t>
        </w:r>
      </w:hyperlink>
      <w:r>
        <w:t xml:space="preserve">) yields interpretable</w:t>
      </w:r>
      <w:r>
        <w:t xml:space="preserve"> </w:t>
      </w:r>
      <w:r>
        <w:t xml:space="preserve">profiles (Table </w:t>
      </w:r>
      <w:hyperlink w:anchor="tab:typology">
        <w:r>
          <w:rPr>
            <w:rStyle w:val="Hyperlink"/>
          </w:rPr>
          <w:t xml:space="preserve">[tab:typology]</w:t>
        </w:r>
      </w:hyperlink>
      <w:r>
        <w:t xml:space="preserve">). Chicago and Seattle resolve into two groups</w:t>
      </w:r>
      <w:r>
        <w:t xml:space="preserve"> </w:t>
      </w:r>
      <w:r>
        <w:t xml:space="preserve">— a well-served multimodal core and a uniformly under-served periphery —</w:t>
      </w:r>
      <w:r>
        <w:t xml:space="preserve"> </w:t>
      </w:r>
      <w:r>
        <w:t xml:space="preserve">while Houston resolves into three, adding a distinctive</w:t>
      </w:r>
      <w:r>
        <w:t xml:space="preserve"> </w:t>
      </w:r>
      <w:r>
        <w:t xml:space="preserve">“walk-rich, bike-poor”</w:t>
      </w:r>
      <w:r>
        <w:t xml:space="preserve"> </w:t>
      </w:r>
      <w:r>
        <w:t xml:space="preserve">class (537 tracts) that has moderate walkability and transit but almost no</w:t>
      </w:r>
      <w:r>
        <w:t xml:space="preserve"> </w:t>
      </w:r>
      <w:r>
        <w:t xml:space="preserve">cycling infrastructure. Across all cities the near-zero bicycle centroid confirms</w:t>
      </w:r>
      <w:r>
        <w:t xml:space="preserve"> </w:t>
      </w:r>
      <w:r>
        <w:t xml:space="preserve">that cycling is the systematically weakest dimension. The silhouette for the</w:t>
      </w:r>
      <w:r>
        <w:t xml:space="preserve"> </w:t>
      </w:r>
      <w:r>
        <w:t xml:space="preserve">selected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0.48 (Chicago,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0.48 (Houston,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), and 0.41</w:t>
      </w:r>
      <w:r>
        <w:t xml:space="preserve"> </w:t>
      </w:r>
      <w:r>
        <w:t xml:space="preserve">(Seattle,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and the partitions are perfectly reproducible across random</w:t>
      </w:r>
      <w:r>
        <w:t xml:space="preserve"> </w:t>
      </w:r>
      <w:r>
        <w:t xml:space="preserve">initializations (Sec. 4.7).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differs across cities, similarly named</w:t>
      </w:r>
      <w:r>
        <w:t xml:space="preserve"> </w:t>
      </w:r>
      <w:r>
        <w:t xml:space="preserve">profiles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assumed to represent identical neighborhood structures;</w:t>
      </w:r>
      <w:r>
        <w:t xml:space="preserve"> </w:t>
      </w:r>
      <w:r>
        <w:t xml:space="preserve">cross-city comparison is by centroid shape, not by label.</w:t>
      </w:r>
    </w:p>
    <w:p>
      <w:pPr>
        <w:pStyle w:val="BodyText"/>
      </w:pPr>
      <w:r>
        <w:t xml:space="preserve">l Y r r r r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Transit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Bike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EV</w:t>
      </w:r>
      <w:r>
        <w:br/>
      </w:r>
      <w:r>
        <w:t xml:space="preserve">Chicago &amp; Well-served / multimodal (868) &amp; 53.3 &amp; 73.5 &amp; 8.2 &amp; 49.7</w:t>
      </w:r>
      <w:r>
        <w:br/>
      </w:r>
      <w:r>
        <w:t xml:space="preserve">Chicago &amp; Uniformly under-served (464) &amp; 0.5 &amp; 58.9 &amp; 0.1 &amp; 25.8</w:t>
      </w:r>
      <w:r>
        <w:br/>
      </w:r>
      <w:r>
        <w:t xml:space="preserve">Houston &amp; Walk-rich, bike-poor (537) &amp; 53.1 &amp; 67.0 &amp; 2.5 &amp; 44.6</w:t>
      </w:r>
      <w:r>
        <w:br/>
      </w:r>
      <w:r>
        <w:t xml:space="preserve">Houston &amp; Uniformly under-served (484) &amp; 1.1 &amp; 29.2 &amp; 0.7 &amp; 34.5</w:t>
      </w:r>
      <w:r>
        <w:br/>
      </w:r>
      <w:r>
        <w:t xml:space="preserve">Houston &amp; Well-served / multimodal (94) &amp; 55.0 &amp; 71.5 &amp; 38.5 &amp; 46.7</w:t>
      </w:r>
      <w:r>
        <w:br/>
      </w:r>
      <w:r>
        <w:t xml:space="preserve">Seattle &amp; Well-served / multimodal (170) &amp; 52.4 &amp; 82.4 &amp; 20.6 &amp; 50.4</w:t>
      </w:r>
      <w:r>
        <w:br/>
      </w:r>
      <w:r>
        <w:t xml:space="preserve">Seattle &amp; Uniformly under-served (325) &amp; 23.6 &amp; 54.0 &amp; 0.3 &amp; 34.9</w:t>
      </w:r>
      <w:r>
        <w:br/>
      </w:r>
    </w:p>
    <w:bookmarkStart w:id="67" w:name="fig:cluster"/>
    <w:p>
      <w:pPr>
        <w:pStyle w:val="CaptionedFigure"/>
      </w:pPr>
      <w:r>
        <w:drawing>
          <wp:inline>
            <wp:extent cx="4267200" cy="155170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lustering_chicago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Elbow (inertia) and silhouette curves for Chicago; silhouette is</w:t>
      </w:r>
      <w:r>
        <w:t xml:space="preserve"> </w:t>
      </w:r>
      <w:r>
        <w:t xml:space="preserve">maximized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7"/>
    <w:bookmarkEnd w:id="68"/>
    <w:bookmarkStart w:id="69" w:name="weighting-sensitivity"/>
    <w:p>
      <w:pPr>
        <w:pStyle w:val="Heading2"/>
      </w:pPr>
      <w:r>
        <w:t xml:space="preserve">Weighting Sensitivity</w:t>
      </w:r>
    </w:p>
    <w:p>
      <w:pPr>
        <w:pStyle w:val="FirstParagraph"/>
      </w:pPr>
      <w:r>
        <w:t xml:space="preserve">The equal-weight baseline is treated as one scenario among several; entropy and</w:t>
      </w:r>
      <w:r>
        <w:t xml:space="preserve"> </w:t>
      </w:r>
      <w:r>
        <w:t xml:space="preserve">PCA weights are objective sensitivity scenarios, and the policy-priority</w:t>
      </w:r>
      <w:r>
        <w:t xml:space="preserve"> </w:t>
      </w:r>
      <w:r>
        <w:t xml:space="preserve">(expert-inspired) weights represent a plausible planner preference. The headline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stability</w:t>
      </w:r>
      <w:r>
        <w:t xml:space="preserve">: re-computing the MES under all four schemes leaves the</w:t>
      </w:r>
      <w:r>
        <w:t xml:space="preserve"> </w:t>
      </w:r>
      <w:r>
        <w:t xml:space="preserve">equity associations unchanged in sign and significance (Chicago shown —</w:t>
      </w:r>
      <w:r>
        <w:t xml:space="preserve"> </w:t>
      </w:r>
      <w:r>
        <w:t xml:space="preserve">MES–renter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0.57</m:t>
        </m:r>
      </m:oMath>
      <w:r>
        <w:t xml:space="preserve">–</w:t>
      </w:r>
      <m:oMath>
        <m:r>
          <m:t>0.59</m:t>
        </m:r>
      </m:oMath>
      <w:r>
        <w:t xml:space="preserve">; MES–income negative and weak throughout).</w:t>
      </w:r>
      <w:r>
        <w:t xml:space="preserve"> </w:t>
      </w:r>
      <w:r>
        <w:t xml:space="preserve">The entropy scheme up-weights bicycle (0.68) because that sub-index has the</w:t>
      </w:r>
      <w:r>
        <w:t xml:space="preserve"> </w:t>
      </w:r>
      <w:r>
        <w:t xml:space="preserve">highest dispersion, yet even this extreme reweighting does not flip any sign</w:t>
      </w:r>
      <w:r>
        <w:t xml:space="preserve"> </w:t>
      </w:r>
      <w:r>
        <w:t xml:space="preserve">(RQ1).</w:t>
      </w:r>
    </w:p>
    <w:bookmarkEnd w:id="69"/>
    <w:bookmarkStart w:id="70" w:name="X07f1c95dc8159ba2a5900d84979c575737a0a71"/>
    <w:p>
      <w:pPr>
        <w:pStyle w:val="Heading2"/>
      </w:pPr>
      <w:r>
        <w:t xml:space="preserve">Robustness: Confounding, Spatial Dependence, and EV Data</w:t>
      </w:r>
    </w:p>
    <w:p>
      <w:pPr>
        <w:pStyle w:val="FirstParagraph"/>
      </w:pPr>
      <w:r>
        <w:t xml:space="preserve">Because the bivariate correlations (Sec. 4.2) neither control for confounders nor</w:t>
      </w:r>
      <w:r>
        <w:t xml:space="preserve"> </w:t>
      </w:r>
      <w:r>
        <w:t xml:space="preserve">account for the strong spatial dependence (Sec. 4.3), four robustness checks were</w:t>
      </w:r>
      <w:r>
        <w:t xml:space="preserve"> </w:t>
      </w:r>
      <w:r>
        <w:t xml:space="preserve">run (Table </w:t>
      </w:r>
      <w:hyperlink w:anchor="tab:robust">
        <w:r>
          <w:rPr>
            <w:rStyle w:val="Hyperlink"/>
          </w:rPr>
          <w:t xml:space="preserve">[tab:robust]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Urban-form confounding.</w:t>
      </w:r>
      <w:r>
        <w:t xml:space="preserve"> </w:t>
      </w:r>
      <w:r>
        <w:t xml:space="preserve">Adding population density and distance to the CBD</w:t>
      </w:r>
      <w:r>
        <w:t xml:space="preserve"> </w:t>
      </w:r>
      <w:r>
        <w:t xml:space="preserve">to an OLS of the MES on income sharply changes the income coefficient: it is</w:t>
      </w:r>
      <w:r>
        <w:t xml:space="preserve"> </w:t>
      </w:r>
      <w:r>
        <w:t xml:space="preserve">negative and significant bivariately in all three cities, but after controls it</w:t>
      </w:r>
      <w:r>
        <w:t xml:space="preserve"> </w:t>
      </w:r>
      <w:r>
        <w:t xml:space="preserve">becomes non-significant in Houston (</w:t>
      </w:r>
      <m:oMath>
        <m:r>
          <m:t>p</m:t>
        </m:r>
        <m:r>
          <m:rPr>
            <m:sty m:val="p"/>
          </m:rPr>
          <m:t>=</m:t>
        </m:r>
        <m:r>
          <m:t>0.64</m:t>
        </m:r>
      </m:oMath>
      <w:r>
        <w:t xml:space="preserve">), reverses to weakly positive in</w:t>
      </w:r>
      <w:r>
        <w:t xml:space="preserve"> </w:t>
      </w:r>
      <w:r>
        <w:t xml:space="preserve">Chicago, and remains negative and significant only in Seattle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).</w:t>
      </w:r>
      <w:r>
        <w:t xml:space="preserve"> </w:t>
      </w:r>
      <w:r>
        <w:t xml:space="preserve">The apparent</w:t>
      </w:r>
      <w:r>
        <w:t xml:space="preserve"> </w:t>
      </w:r>
      <w:r>
        <w:t xml:space="preserve">“low-income cores are better served”</w:t>
      </w:r>
      <w:r>
        <w:t xml:space="preserve"> </w:t>
      </w:r>
      <w:r>
        <w:t xml:space="preserve">pattern is thus largely an</w:t>
      </w:r>
      <w:r>
        <w:t xml:space="preserve"> </w:t>
      </w:r>
      <w:r>
        <w:rPr>
          <w:i/>
          <w:iCs/>
        </w:rPr>
        <w:t xml:space="preserve">urban-form artifact</w:t>
      </w:r>
      <w:r>
        <w:t xml:space="preserve"> </w:t>
      </w:r>
      <w:r>
        <w:t xml:space="preserve">(density and centrality), not an income effect per se</w:t>
      </w:r>
      <w:r>
        <w:t xml:space="preserve"> </w:t>
      </w:r>
      <w:r>
        <w:t xml:space="preserve">— except in Seattle, where it persists.</w:t>
      </w:r>
    </w:p>
    <w:p>
      <w:pPr>
        <w:pStyle w:val="BodyText"/>
      </w:pPr>
      <w:r>
        <w:rPr>
          <w:i/>
          <w:iCs/>
        </w:rPr>
        <w:t xml:space="preserve">Spatial regression.</w:t>
      </w:r>
      <w:r>
        <w:t xml:space="preserve"> </w:t>
      </w:r>
      <w:r>
        <w:t xml:space="preserve">Fitting spatial-lag and spatial-error models (queen</w:t>
      </w:r>
      <w:r>
        <w:t xml:space="preserve"> </w:t>
      </w:r>
      <w:r>
        <w:t xml:space="preserve">contiguity) of the MES on income, renter share, zero-vehicle share, density, and</w:t>
      </w:r>
      <w:r>
        <w:t xml:space="preserve"> </w:t>
      </w:r>
      <w:r>
        <w:t xml:space="preserve">CBD distance, the error model is preferred for Chicago and the lag model for</w:t>
      </w:r>
      <w:r>
        <w:t xml:space="preserve"> </w:t>
      </w:r>
      <w:r>
        <w:t xml:space="preserve">Houston and Seattle (by AIC). Once spatial dependence is modelled, the income</w:t>
      </w:r>
      <w:r>
        <w:t xml:space="preserve"> </w:t>
      </w:r>
      <w:r>
        <w:t xml:space="preserve">association is negligible in Chicago/Houston and modest-negative in Seattle,</w:t>
      </w:r>
      <w:r>
        <w:t xml:space="preserve"> </w:t>
      </w:r>
      <w:r>
        <w:t xml:space="preserve">corroborating the OLS result and confirming that ordinary significance was</w:t>
      </w:r>
      <w:r>
        <w:t xml:space="preserve"> </w:t>
      </w:r>
      <w:r>
        <w:t xml:space="preserve">overstated.</w:t>
      </w:r>
    </w:p>
    <w:p>
      <w:pPr>
        <w:pStyle w:val="BodyText"/>
      </w:pPr>
      <w:r>
        <w:rPr>
          <w:i/>
          <w:iCs/>
        </w:rPr>
        <w:t xml:space="preserve">Clustering stability.</w:t>
      </w:r>
      <w:r>
        <w:t xml:space="preserve"> </w:t>
      </w:r>
      <w:r>
        <w:t xml:space="preserve">Across five random initializations the K-means</w:t>
      </w:r>
      <w:r>
        <w:t xml:space="preserve"> </w:t>
      </w:r>
      <w:r>
        <w:t xml:space="preserve">partition is perfectly reproducible in every city (mean Adjusted Rand</w:t>
      </w:r>
      <w:r>
        <w:t xml:space="preserve"> </w:t>
      </w:r>
      <w:r>
        <w:t xml:space="preserve">Index</w:t>
      </w:r>
      <w:r>
        <w:t xml:space="preserve"> </w:t>
      </w:r>
      <m:oMath>
        <m:r>
          <m:rPr>
            <m:sty m:val="p"/>
          </m:rPr>
          <m:t>=</m:t>
        </m:r>
        <m:r>
          <m:t>1.00</m:t>
        </m:r>
      </m:oMath>
      <w:r>
        <w:t xml:space="preserve">; silhouette</w:t>
      </w:r>
      <w:r>
        <w:t xml:space="preserve"> </w:t>
      </w:r>
      <m:oMath>
        <m:r>
          <m:t>0.41</m:t>
        </m:r>
      </m:oMath>
      <w:r>
        <w:t xml:space="preserve">–</w:t>
      </w:r>
      <m:oMath>
        <m:r>
          <m:t>0.48</m:t>
        </m:r>
      </m:oMath>
      <w:r>
        <w:t xml:space="preserve">), so the typologies are not seed</w:t>
      </w:r>
      <w:r>
        <w:t xml:space="preserve"> </w:t>
      </w:r>
      <w:r>
        <w:t xml:space="preserve">artefacts.</w:t>
      </w:r>
    </w:p>
    <w:p>
      <w:pPr>
        <w:pStyle w:val="BodyText"/>
      </w:pPr>
      <w:r>
        <w:rPr>
          <w:i/>
          <w:iCs/>
        </w:rPr>
        <w:t xml:space="preserve">EV data.</w:t>
      </w:r>
      <w:r>
        <w:t xml:space="preserve"> </w:t>
      </w:r>
      <w:r>
        <w:t xml:space="preserve">Recomputing a three-dimension MES without the (OSM-sourced) EV</w:t>
      </w:r>
      <w:r>
        <w:t xml:space="preserve"> </w:t>
      </w:r>
      <w:r>
        <w:t xml:space="preserve">layer leaves the principal findings intact on every axis: the correlations with</w:t>
      </w:r>
      <w:r>
        <w:t xml:space="preserve"> </w:t>
      </w:r>
      <w:r>
        <w:t xml:space="preserve">income, renter share, and zero-vehicle share all move by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t xml:space="preserve">;</w:t>
      </w:r>
      <w:r>
        <w:t xml:space="preserve"> </w:t>
      </w:r>
      <w:r>
        <w:t xml:space="preserve">the mobility-desert set overlaps the four-dimension set by a Jaccard of</w:t>
      </w:r>
      <w:r>
        <w:t xml:space="preserve"> </w:t>
      </w:r>
      <m:oMath>
        <m:r>
          <m:t>0.71</m:t>
        </m:r>
      </m:oMath>
      <w:r>
        <w:t xml:space="preserve">–</w:t>
      </w:r>
      <m:oMath>
        <m:r>
          <m:t>0.92</m:t>
        </m:r>
      </m:oMath>
      <w:r>
        <w:t xml:space="preserve">; and the spatial clustering is essentially unchanged (Moran’s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0.77</m:t>
        </m:r>
      </m:oMath>
      <w:r>
        <w:t xml:space="preserve">–</w:t>
      </w:r>
      <m:oMath>
        <m:r>
          <m:t>0.87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0.82</m:t>
        </m:r>
      </m:oMath>
      <w:r>
        <w:t xml:space="preserve">–</w:t>
      </w:r>
      <m:oMath>
        <m:r>
          <m:t>0.92</m:t>
        </m:r>
      </m:oMath>
      <w:r>
        <w:t xml:space="preserve">). The conclusions therefore do not depend</w:t>
      </w:r>
      <w:r>
        <w:t xml:space="preserve"> </w:t>
      </w:r>
      <w:r>
        <w:t xml:space="preserve">on the least-certain dimension.</w:t>
      </w:r>
    </w:p>
    <w:p>
      <w:pPr>
        <w:pStyle w:val="BodyText"/>
      </w:pPr>
      <w:r>
        <w:t xml:space="preserve">l Y Y l c c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MES–income, bivariate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+ urban-form controls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Spatial (AIC)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Cluster ARI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EV max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r</m:t>
        </m:r>
        <m:r>
          <m:rPr>
            <m:sty m:val="p"/>
          </m:rPr>
          <m:t>|</m:t>
        </m:r>
      </m:oMath>
      <w:r>
        <w:br/>
      </w:r>
      <w:r>
        <w:t xml:space="preserve">Chicago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.002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weak &amp; error &amp; 1.00 &amp; 0.025</w:t>
      </w:r>
      <w:r>
        <w:br/>
      </w:r>
      <w:r>
        <w:t xml:space="preserve">Houston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 </w:t>
      </w:r>
      <w:r>
        <w:t xml:space="preserve">&amp; n.s. (</w:t>
      </w:r>
      <m:oMath>
        <m:r>
          <m:t>p</m:t>
        </m:r>
        <m:r>
          <m:rPr>
            <m:sty m:val="p"/>
          </m:rPr>
          <m:t>=</m:t>
        </m:r>
        <m:r>
          <m:t>.64</m:t>
        </m:r>
      </m:oMath>
      <w:r>
        <w:t xml:space="preserve">) &amp; lag &amp; 1.00 &amp; 0.009</w:t>
      </w:r>
      <w:r>
        <w:br/>
      </w:r>
      <w:r>
        <w:t xml:space="preserve">Seattle 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 </w:t>
      </w:r>
      <w:r>
        <w:t xml:space="preserve">&amp; lag &amp; 1.00 &amp; 0.053</w:t>
      </w:r>
      <w:r>
        <w:br/>
      </w:r>
    </w:p>
    <w:bookmarkEnd w:id="70"/>
    <w:bookmarkStart w:id="78" w:name="dashboard-demonstration"/>
    <w:p>
      <w:pPr>
        <w:pStyle w:val="Heading2"/>
      </w:pPr>
      <w:r>
        <w:t xml:space="preserve">Dashboard Demonstration</w:t>
      </w:r>
    </w:p>
    <w:p>
      <w:pPr>
        <w:pStyle w:val="FirstParagraph"/>
      </w:pPr>
      <w:r>
        <w:t xml:space="preserve">The interactive dashboard (Figure </w:t>
      </w:r>
      <w:hyperlink w:anchor="fig:dash">
        <w:r>
          <w:rPr>
            <w:rStyle w:val="Hyperlink"/>
          </w:rPr>
          <w:t xml:space="preserve">5</w:t>
        </w:r>
      </w:hyperlink>
      <w:r>
        <w:t xml:space="preserve">) renders the tract-level MES and</w:t>
      </w:r>
      <w:r>
        <w:t xml:space="preserve"> </w:t>
      </w:r>
      <w:r>
        <w:t xml:space="preserve">any sub-index, supports click-through inspection (score, city percentile,</w:t>
      </w:r>
      <w:r>
        <w:t xml:space="preserve"> </w:t>
      </w:r>
      <w:r>
        <w:t xml:space="preserve">sub-index bars versus the city median, and demographics), and compares the</w:t>
      </w:r>
      <w:r>
        <w:t xml:space="preserve"> </w:t>
      </w:r>
      <w:r>
        <w:t xml:space="preserve">equity gap across cities. It is the dissemination layer for the results above,</w:t>
      </w:r>
      <w:r>
        <w:t xml:space="preserve"> </w:t>
      </w:r>
      <w:r>
        <w:t xml:space="preserve">not a separate analysis.</w:t>
      </w:r>
    </w:p>
    <w:bookmarkStart w:id="77" w:name="fig:dash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3307080" cy="2284891"/>
                  <wp:effectExtent b="0" l="0" r="0" t="0"/>
                  <wp:docPr descr="image" title="" id="72" name="Picture"/>
                  <a:graphic>
                    <a:graphicData uri="http://schemas.openxmlformats.org/drawingml/2006/picture">
                      <pic:pic>
                        <pic:nvPicPr>
                          <pic:cNvPr descr="dashboard_map_chicago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2284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3840480" cy="1792224"/>
                  <wp:effectExtent b="0" l="0" r="0" t="0"/>
                  <wp:docPr descr="image" title="" id="75" name="Picture"/>
                  <a:graphic>
                    <a:graphicData uri="http://schemas.openxmlformats.org/drawingml/2006/picture">
                      <pic:pic>
                        <pic:nvPicPr>
                          <pic:cNvPr descr="dashboard_equity_ga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1792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Dashboard: Chicago MES choropleth (top) and the city equity-gap panel</w:t>
      </w:r>
      <w:r>
        <w:t xml:space="preserve"> </w:t>
      </w:r>
      <w:r>
        <w:t xml:space="preserve">(median MES of the poorest versus richest income quintile, bottom).</w:t>
      </w:r>
    </w:p>
    <w:bookmarkEnd w:id="77"/>
    <w:bookmarkEnd w:id="78"/>
    <w:bookmarkEnd w:id="79"/>
    <w:bookmarkStart w:id="87" w:name="discussion-and-conclusions"/>
    <w:p>
      <w:pPr>
        <w:pStyle w:val="Heading1"/>
      </w:pPr>
      <w:r>
        <w:t xml:space="preserve">Discussion and Conclusions</w:t>
      </w:r>
    </w:p>
    <w:bookmarkStart w:id="80" w:name="what-the-data-demonstrate"/>
    <w:p>
      <w:pPr>
        <w:pStyle w:val="Heading2"/>
      </w:pPr>
      <w:r>
        <w:t xml:space="preserve">What the Data Demonstrate</w:t>
      </w:r>
    </w:p>
    <w:p>
      <w:pPr>
        <w:pStyle w:val="FirstParagraph"/>
      </w:pPr>
      <w:r>
        <w:t xml:space="preserve">This chapter deliberately separates what the analysis</w:t>
      </w:r>
      <w:r>
        <w:t xml:space="preserve"> </w:t>
      </w:r>
      <w:r>
        <w:rPr>
          <w:i/>
          <w:iCs/>
        </w:rPr>
        <w:t xml:space="preserve">demonstrates</w:t>
      </w:r>
      <w:r>
        <w:t xml:space="preserve"> </w:t>
      </w:r>
      <w:r>
        <w:t xml:space="preserve">from</w:t>
      </w:r>
      <w:r>
        <w:t xml:space="preserve"> </w:t>
      </w:r>
      <w:r>
        <w:t xml:space="preserve">what it</w:t>
      </w:r>
      <w:r>
        <w:t xml:space="preserve"> </w:t>
      </w:r>
      <w:r>
        <w:rPr>
          <w:i/>
          <w:iCs/>
        </w:rPr>
        <w:t xml:space="preserve">infers</w:t>
      </w:r>
      <w:r>
        <w:t xml:space="preserve">. Four results are demonstrated and robust across all three</w:t>
      </w:r>
      <w:r>
        <w:t xml:space="preserve"> </w:t>
      </w:r>
      <w:r>
        <w:t xml:space="preserve">cities. (1) The MES is strongly spatially clustered (Moran’s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0.82</m:t>
        </m:r>
      </m:oMath>
      <w:r>
        <w:t xml:space="preserve">–</w:t>
      </w:r>
      <m:oMath>
        <m:r>
          <m:t>0.92</m:t>
        </m:r>
      </m:oMath>
      <w:r>
        <w:t xml:space="preserve">):</w:t>
      </w:r>
      <w:r>
        <w:t xml:space="preserve"> </w:t>
      </w:r>
      <w:r>
        <w:t xml:space="preserve">supply inequity is structural and place-based, not scattered. (2) The MES is</w:t>
      </w:r>
      <w:r>
        <w:t xml:space="preserve"> </w:t>
      </w:r>
      <w:r>
        <w:t xml:space="preserve">positively associated with car-free and renter shares (associational; the</w:t>
      </w:r>
      <w:r>
        <w:t xml:space="preserve"> </w:t>
      </w:r>
      <w:r>
        <w:t xml:space="preserve">ordinary significance is corrected via spatial regression, Sec. 4.7). (3) The</w:t>
      </w:r>
      <w:r>
        <w:t xml:space="preserve"> </w:t>
      </w:r>
      <w:r>
        <w:t xml:space="preserve">bivariate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MES–income association is largely explained by urban</w:t>
      </w:r>
      <w:r>
        <w:t xml:space="preserve"> </w:t>
      </w:r>
      <w:r>
        <w:t xml:space="preserve">form — it does not survive density/centrality controls or spatial regression</w:t>
      </w:r>
      <w:r>
        <w:t xml:space="preserve"> </w:t>
      </w:r>
      <w:r>
        <w:t xml:space="preserve">except in Seattle — so it must not be read as an income effect per se. (4) The</w:t>
      </w:r>
      <w:r>
        <w:t xml:space="preserve"> </w:t>
      </w:r>
      <w:r>
        <w:t xml:space="preserve">composite is well-behaved: its four sub-indices are related but non-redundant,</w:t>
      </w:r>
      <w:r>
        <w:t xml:space="preserve"> </w:t>
      </w:r>
      <w:r>
        <w:t xml:space="preserve">results are stable across weighting schemes, the clusters are perfectly</w:t>
      </w:r>
      <w:r>
        <w:t xml:space="preserve"> </w:t>
      </w:r>
      <w:r>
        <w:t xml:space="preserve">reproducible (ARI</w:t>
      </w:r>
      <w:r>
        <w:t xml:space="preserve"> </w:t>
      </w:r>
      <m:oMath>
        <m:r>
          <m:rPr>
            <m:sty m:val="p"/>
          </m:rPr>
          <m:t>=</m:t>
        </m:r>
        <m:r>
          <m:t>1.0</m:t>
        </m:r>
      </m:oMath>
      <w:r>
        <w:t xml:space="preserve">), and the findings are insensitive to the EV layer.</w:t>
      </w:r>
      <w:r>
        <w:t xml:space="preserve"> </w:t>
      </w:r>
      <w:r>
        <w:t xml:space="preserve">Bicycle infrastructure is the weakest dimension everywhere, defining a recurring</w:t>
      </w:r>
      <w:r>
        <w:t xml:space="preserve"> </w:t>
      </w:r>
      <w:r>
        <w:t xml:space="preserve">“walk-rich, bike-poor”</w:t>
      </w:r>
      <w:r>
        <w:t xml:space="preserve"> </w:t>
      </w:r>
      <w:r>
        <w:t xml:space="preserve">neighborhood type.</w:t>
      </w:r>
    </w:p>
    <w:bookmarkEnd w:id="80"/>
    <w:bookmarkStart w:id="81" w:name="what-we-infer-a-supplyneed-reframing"/>
    <w:p>
      <w:pPr>
        <w:pStyle w:val="Heading2"/>
      </w:pPr>
      <w:r>
        <w:t xml:space="preserve">What We Infer: A Supply–Need Reframing</w:t>
      </w:r>
    </w:p>
    <w:p>
      <w:pPr>
        <w:pStyle w:val="FirstParagraph"/>
      </w:pPr>
      <w:r>
        <w:t xml:space="preserve">The following is interpretation, not demonstration. Because supply-side</w:t>
      </w:r>
      <w:r>
        <w:t xml:space="preserve"> </w:t>
      </w:r>
      <w:r>
        <w:t xml:space="preserve">infrastructure co-occurs with density — and therefore with car-free and renter</w:t>
      </w:r>
      <w:r>
        <w:t xml:space="preserve"> </w:t>
      </w:r>
      <w:r>
        <w:t xml:space="preserve">populations — the equity question is best framed, associationally, as a</w:t>
      </w:r>
      <w:r>
        <w:t xml:space="preserve"> </w:t>
      </w:r>
      <w:r>
        <w:t xml:space="preserve">supply–</w:t>
      </w:r>
      <w:r>
        <w:rPr>
          <w:i/>
          <w:iCs/>
        </w:rPr>
        <w:t xml:space="preserve">need</w:t>
      </w:r>
      <w:r>
        <w:t xml:space="preserve"> </w:t>
      </w:r>
      <w:r>
        <w:t xml:space="preserve">mismatch: the MES measures supply, while car-free and renter</w:t>
      </w:r>
      <w:r>
        <w:t xml:space="preserve"> </w:t>
      </w:r>
      <w:r>
        <w:t xml:space="preserve">shares proxy need; travel demand itself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modelled here. Where dense</w:t>
      </w:r>
      <w:r>
        <w:t xml:space="preserve"> </w:t>
      </w:r>
      <w:r>
        <w:t xml:space="preserve">cores are well supplied, the residual concern is plausibly service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affordability</w:t>
      </w:r>
      <w:r>
        <w:t xml:space="preserve">, which supply counts do not capture; where higher-income</w:t>
      </w:r>
      <w:r>
        <w:t xml:space="preserve"> </w:t>
      </w:r>
      <w:r>
        <w:t xml:space="preserve">peripheries score low, their residents are typically car-owning, so low supply is</w:t>
      </w:r>
      <w:r>
        <w:t xml:space="preserve"> </w:t>
      </w:r>
      <w:r>
        <w:t xml:space="preserve">likely less acute —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for the car-free and minority households</w:t>
      </w:r>
      <w:r>
        <w:t xml:space="preserve"> </w:t>
      </w:r>
      <w:r>
        <w:t xml:space="preserve">embedded in those peripheries (the Chicago/Houston desert tracts are 52–64%</w:t>
      </w:r>
      <w:r>
        <w:t xml:space="preserve"> </w:t>
      </w:r>
      <w:r>
        <w:t xml:space="preserve">non-white), who plausibly face the widest supply–need gap. Compounded deserts and</w:t>
      </w:r>
      <w:r>
        <w:t xml:space="preserve"> </w:t>
      </w:r>
      <w:r>
        <w:t xml:space="preserve">LISA cold spots locate those tracts and are where the framework most plausibly</w:t>
      </w:r>
      <w:r>
        <w:t xml:space="preserve"> </w:t>
      </w:r>
      <w:r>
        <w:t xml:space="preserve">adds policy value. Seattle, where a negative income gradient persists under</w:t>
      </w:r>
      <w:r>
        <w:t xml:space="preserve"> </w:t>
      </w:r>
      <w:r>
        <w:t xml:space="preserve">controls, is the one city that may warrant a closer income-specific look.</w:t>
      </w:r>
    </w:p>
    <w:bookmarkEnd w:id="81"/>
    <w:bookmarkStart w:id="82" w:name="implications"/>
    <w:p>
      <w:pPr>
        <w:pStyle w:val="Heading2"/>
      </w:pPr>
      <w:r>
        <w:t xml:space="preserve">Implications</w:t>
      </w:r>
    </w:p>
    <w:p>
      <w:pPr>
        <w:pStyle w:val="FirstParagraph"/>
      </w:pPr>
      <w:r>
        <w:t xml:space="preserve">For practitioners, the MES operationalizes the Justice40 mandate </w:t>
      </w:r>
      <w:r>
        <w:t xml:space="preserve"> </w:t>
      </w:r>
      <w:r>
        <w:t xml:space="preserve">at neighborhood resolution: it ranks tracts, distinguishes single- from</w:t>
      </w:r>
      <w:r>
        <w:t xml:space="preserve"> </w:t>
      </w:r>
      <w:r>
        <w:t xml:space="preserve">multi-dimension deficits, and — via the typology — prescribes</w:t>
      </w:r>
      <w:r>
        <w:t xml:space="preserve"> </w:t>
      </w:r>
      <w:r>
        <w:rPr>
          <w:i/>
          <w:iCs/>
        </w:rPr>
        <w:t xml:space="preserve">differentiated</w:t>
      </w:r>
      <w:r>
        <w:t xml:space="preserve"> </w:t>
      </w:r>
      <w:r>
        <w:t xml:space="preserve">interventions (e.g., cycling investment for the</w:t>
      </w:r>
      <w:r>
        <w:t xml:space="preserve"> </w:t>
      </w:r>
      <w:r>
        <w:t xml:space="preserve">“walk-rich, bike-poor”</w:t>
      </w:r>
      <w:r>
        <w:t xml:space="preserve"> </w:t>
      </w:r>
      <w:r>
        <w:t xml:space="preserve">class; first/last-mile transit for uniformly</w:t>
      </w:r>
      <w:r>
        <w:t xml:space="preserve"> </w:t>
      </w:r>
      <w:r>
        <w:t xml:space="preserve">under-served peripheries). Because the pipeline is open and reproducible, any city</w:t>
      </w:r>
      <w:r>
        <w:t xml:space="preserve"> </w:t>
      </w:r>
      <w:r>
        <w:t xml:space="preserve">with GTFS and open data can generate the same diagnostics.</w:t>
      </w:r>
    </w:p>
    <w:bookmarkEnd w:id="82"/>
    <w:bookmarkStart w:id="83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Five limitations bound the conclusions. (1)</w:t>
      </w:r>
      <w:r>
        <w:t xml:space="preserve"> </w:t>
      </w:r>
      <w:r>
        <w:rPr>
          <w:i/>
          <w:iCs/>
        </w:rPr>
        <w:t xml:space="preserve">Supply-side only</w:t>
      </w:r>
      <w:r>
        <w:t xml:space="preserve">: the MES</w:t>
      </w:r>
      <w:r>
        <w:t xml:space="preserve"> </w:t>
      </w:r>
      <w:r>
        <w:t xml:space="preserve">measures infrastructure present, not realized accessibility, service quality,</w:t>
      </w:r>
      <w:r>
        <w:t xml:space="preserve"> </w:t>
      </w:r>
      <w:r>
        <w:t xml:space="preserve">affordability, or travel behavior. (2)</w:t>
      </w:r>
      <w:r>
        <w:t xml:space="preserve"> </w:t>
      </w:r>
      <w:r>
        <w:rPr>
          <w:i/>
          <w:iCs/>
        </w:rPr>
        <w:t xml:space="preserve">EV data</w:t>
      </w:r>
      <w:r>
        <w:t xml:space="preserve">: the EV sub-index uses</w:t>
      </w:r>
      <w:r>
        <w:t xml:space="preserve"> </w:t>
      </w:r>
      <w:r>
        <w:t xml:space="preserve">community-maintained OpenStreetMap charging points — a reachable but</w:t>
      </w:r>
      <w:r>
        <w:t xml:space="preserve"> </w:t>
      </w:r>
      <w:r>
        <w:rPr>
          <w:i/>
          <w:iCs/>
        </w:rPr>
        <w:t xml:space="preserve">lower-bound</w:t>
      </w:r>
      <w:r>
        <w:t xml:space="preserve"> </w:t>
      </w:r>
      <w:r>
        <w:t xml:space="preserve">proxy for the authoritative DOE/NREL AFDC inventory, which was</w:t>
      </w:r>
      <w:r>
        <w:t xml:space="preserve"> </w:t>
      </w:r>
      <w:r>
        <w:t xml:space="preserve">unavailable on the development network; EV results should be read as</w:t>
      </w:r>
      <w:r>
        <w:t xml:space="preserve"> </w:t>
      </w:r>
      <w:r>
        <w:t xml:space="preserve">conservative and are the least certain of the four dimensions. (3)</w:t>
      </w:r>
      <w:r>
        <w:t xml:space="preserve"> </w:t>
      </w:r>
      <w:r>
        <w:rPr>
          <w:i/>
          <w:iCs/>
        </w:rPr>
        <w:t xml:space="preserve">Within-city normalization</w:t>
      </w:r>
      <w:r>
        <w:t xml:space="preserve">: the MES is relative to each city, so cross-city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are not directly comparable (within-city patterns and correlations</w:t>
      </w:r>
      <w:r>
        <w:t xml:space="preserve"> </w:t>
      </w:r>
      <w:r>
        <w:t xml:space="preserve">are valid). (4)</w:t>
      </w:r>
      <w:r>
        <w:t xml:space="preserve"> </w:t>
      </w:r>
      <w:r>
        <w:rPr>
          <w:i/>
          <w:iCs/>
        </w:rPr>
        <w:t xml:space="preserve">Cross-sectional, three cities</w:t>
      </w:r>
      <w:r>
        <w:t xml:space="preserve">: the analysis is a single</w:t>
      </w:r>
      <w:r>
        <w:t xml:space="preserve"> </w:t>
      </w:r>
      <w:r>
        <w:t xml:space="preserve">snapshot for three metros and is not yet generalizable nationally. (5)</w:t>
      </w:r>
      <w:r>
        <w:t xml:space="preserve"> </w:t>
      </w:r>
      <w:r>
        <w:rPr>
          <w:i/>
          <w:iCs/>
        </w:rPr>
        <w:t xml:space="preserve">Inferential</w:t>
      </w:r>
      <w:r>
        <w:t xml:space="preserve">: because the MES is strongly spatially autocorrelated</w:t>
      </w:r>
      <w:r>
        <w:t xml:space="preserve"> </w:t>
      </w:r>
      <w:r>
        <w:t xml:space="preserve">(Moran’s</w:t>
      </w:r>
      <w:r>
        <w:t xml:space="preserve"> </w:t>
      </w:r>
      <m:oMath>
        <m:r>
          <m:t>I</m:t>
        </m:r>
        <m:r>
          <m:rPr>
            <m:sty m:val="p"/>
          </m:rPr>
          <m:t>≈</m:t>
        </m:r>
        <m:r>
          <m:t>0.9</m:t>
        </m:r>
      </m:oMath>
      <w:r>
        <w:t xml:space="preserve">), ordinary correlation</w:t>
      </w:r>
      <w:r>
        <w:t xml:space="preserve"> </w:t>
      </w:r>
      <m:oMath>
        <m:r>
          <m:t>p</m:t>
        </m:r>
      </m:oMath>
      <w:r>
        <w:t xml:space="preserve">-values are optimistic; we</w:t>
      </w:r>
      <w:r>
        <w:t xml:space="preserve"> </w:t>
      </w:r>
      <w:r>
        <w:t xml:space="preserve">therefore report spatial-lag/error models and urban-form controls (Sec. 4.7), which</w:t>
      </w:r>
      <w:r>
        <w:t xml:space="preserve"> </w:t>
      </w:r>
      <w:r>
        <w:t xml:space="preserve">substantially attenuate the income association. Residual caveats are that the</w:t>
      </w:r>
      <w:r>
        <w:t xml:space="preserve"> </w:t>
      </w:r>
      <w:r>
        <w:t xml:space="preserve">associations are ecological (tract-level, not individual-level) and that</w:t>
      </w:r>
      <w:r>
        <w:t xml:space="preserve"> </w:t>
      </w:r>
      <w:r>
        <w:t xml:space="preserve">confounders beyond density and centrality are not modelled.</w:t>
      </w:r>
    </w:p>
    <w:bookmarkEnd w:id="83"/>
    <w:bookmarkStart w:id="84" w:name="future-research"/>
    <w:p>
      <w:pPr>
        <w:pStyle w:val="Heading2"/>
      </w:pPr>
      <w:r>
        <w:t xml:space="preserve">Future Research</w:t>
      </w:r>
    </w:p>
    <w:p>
      <w:pPr>
        <w:pStyle w:val="FirstParagraph"/>
      </w:pPr>
      <w:r>
        <w:t xml:space="preserve">Priorities are: extending to the Phase-2 cities (Phoenix, Atlanta, Detroit) and</w:t>
      </w:r>
      <w:r>
        <w:t xml:space="preserve"> </w:t>
      </w:r>
      <w:r>
        <w:t xml:space="preserve">beyond for national generalizability; substituting authoritative AFDC EV data and</w:t>
      </w:r>
      <w:r>
        <w:t xml:space="preserve"> </w:t>
      </w:r>
      <w:r>
        <w:t xml:space="preserve">adding transit</w:t>
      </w:r>
      <w:r>
        <w:t xml:space="preserve"> </w:t>
      </w:r>
      <w:r>
        <w:rPr>
          <w:i/>
          <w:iCs/>
        </w:rPr>
        <w:t xml:space="preserve">service quality</w:t>
      </w:r>
      <w:r>
        <w:t xml:space="preserve"> </w:t>
      </w:r>
      <w:r>
        <w:t xml:space="preserve">(headway reliability, e.g. from the FTA</w:t>
      </w:r>
      <w:r>
        <w:t xml:space="preserve"> </w:t>
      </w:r>
      <w:r>
        <w:t xml:space="preserve">National Transit Database); layering EPA EJScreen environmental-justice indicators</w:t>
      </w:r>
      <w:r>
        <w:t xml:space="preserve"> </w:t>
      </w:r>
      <w:r>
        <w:t xml:space="preserve">alongside the demographic cross-tabs; and, most directly, developing a</w:t>
      </w:r>
      <w:r>
        <w:t xml:space="preserve"> </w:t>
      </w:r>
      <w:r>
        <w:rPr>
          <w:i/>
          <w:iCs/>
        </w:rPr>
        <w:t xml:space="preserve">demand-adjusted MES</w:t>
      </w:r>
      <w:r>
        <w:t xml:space="preserve"> </w:t>
      </w:r>
      <w:r>
        <w:t xml:space="preserve">that combines infrastructure supply with transportation</w:t>
      </w:r>
      <w:r>
        <w:t xml:space="preserve"> </w:t>
      </w:r>
      <w:r>
        <w:t xml:space="preserve">need (e.g., zero-vehicle households and jobs reachable within a travel-time budget)</w:t>
      </w:r>
      <w:r>
        <w:t xml:space="preserve"> </w:t>
      </w:r>
      <w:r>
        <w:t xml:space="preserve">so that the supply–need relationship can be modelled rather than inferred.</w:t>
      </w:r>
      <w:r>
        <w:t xml:space="preserve"> </w:t>
      </w:r>
      <w:r>
        <w:t xml:space="preserve">A longitudinal extension would then measure whether targeted investment narrows</w:t>
      </w:r>
      <w:r>
        <w:t xml:space="preserve"> </w:t>
      </w:r>
      <w:r>
        <w:t xml:space="preserve">the gaps the MES identifies.</w:t>
      </w:r>
    </w:p>
    <w:bookmarkEnd w:id="84"/>
    <w:bookmarkStart w:id="85" w:name="answering-the-research-questions"/>
    <w:p>
      <w:pPr>
        <w:pStyle w:val="Heading2"/>
      </w:pPr>
      <w:r>
        <w:t xml:space="preserve">Answering the Research Questions</w:t>
      </w:r>
    </w:p>
    <w:p>
      <w:pPr>
        <w:pStyle w:val="FirstParagraph"/>
      </w:pPr>
      <w:r>
        <w:t xml:space="preserve">The four research questions of Sec. 1.3 are answered directly by the results: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RQ1 (measurement).</w:t>
      </w:r>
      <w:r>
        <w:t xml:space="preserve"> </w:t>
      </w:r>
      <w:r>
        <w:t xml:space="preserve">Yes — the four open datasets integrate into a</w:t>
      </w:r>
      <w:r>
        <w:t xml:space="preserve"> </w:t>
      </w:r>
      <w:r>
        <w:t xml:space="preserve">coherent, non-redundant composite (inter-sub-index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0.45</m:t>
        </m:r>
      </m:oMath>
      <w:r>
        <w:t xml:space="preserve">–</w:t>
      </w:r>
      <m:oMath>
        <m:r>
          <m:t>0.62</m:t>
        </m:r>
      </m:oMath>
      <w:r>
        <w:t xml:space="preserve">) whose equity</w:t>
      </w:r>
      <w:r>
        <w:t xml:space="preserve"> </w:t>
      </w:r>
      <w:r>
        <w:t xml:space="preserve">associations are stable in sign and significance across equal, entropy, PCA, and</w:t>
      </w:r>
      <w:r>
        <w:t xml:space="preserve"> </w:t>
      </w:r>
      <w:r>
        <w:t xml:space="preserve">policy-priority weights (Sec. 4.2, Sec. 4.6).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RQ2 (distribution).</w:t>
      </w:r>
      <w:r>
        <w:t xml:space="preserve"> </w:t>
      </w:r>
      <w:r>
        <w:t xml:space="preserve">About a quarter of tracts are deserts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, but the informative results are that the classification is stable</w:t>
      </w:r>
      <w:r>
        <w:t xml:space="preserve"> </w:t>
      </w:r>
      <w:r>
        <w:t xml:space="preserve">(Jaccard</w:t>
      </w:r>
      <w:r>
        <w:t xml:space="preserve"> </w:t>
      </w:r>
      <m:oMath>
        <m:r>
          <m:t>0.80</m:t>
        </m:r>
      </m:oMath>
      <w:r>
        <w:t xml:space="preserve">–</w:t>
      </w:r>
      <m:oMath>
        <m:r>
          <m:t>0.83</m:t>
        </m:r>
      </m:oMath>
      <w:r>
        <w:t xml:space="preserve"> </w:t>
      </w:r>
      <w:r>
        <w:t xml:space="preserve">across thresholds), spatially concentrated in peripheral</w:t>
      </w:r>
      <w:r>
        <w:t xml:space="preserve"> </w:t>
      </w:r>
      <w:r>
        <w:t xml:space="preserve">cold spots, and compounded (low on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dimensions) in 13–23% of tracts</w:t>
      </w:r>
      <w:r>
        <w:t xml:space="preserve"> </w:t>
      </w:r>
      <w:r>
        <w:t xml:space="preserve">(Sec. 4.4, Sec. 4.5).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RQ3 (equity).</w:t>
      </w:r>
      <w:r>
        <w:t xml:space="preserve"> </w:t>
      </w:r>
      <w:r>
        <w:t xml:space="preserve">The MES is positively associated with car-free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0.41</m:t>
        </m:r>
      </m:oMath>
      <w:r>
        <w:t xml:space="preserve">–</w:t>
      </w:r>
      <m:oMath>
        <m:r>
          <m:t>0.69</m:t>
        </m:r>
      </m:oMath>
      <w:r>
        <w:t xml:space="preserve">) and renter (</w:t>
      </w:r>
      <m:oMath>
        <m:r>
          <m:t>r</m:t>
        </m:r>
        <m:r>
          <m:rPr>
            <m:sty m:val="p"/>
          </m:rPr>
          <m:t>=</m:t>
        </m:r>
        <m:r>
          <m:t>0.53</m:t>
        </m:r>
      </m:oMath>
      <w:r>
        <w:t xml:space="preserve">–</w:t>
      </w:r>
      <m:oMath>
        <m:r>
          <m:t>0.69</m:t>
        </m:r>
      </m:oMath>
      <w:r>
        <w:t xml:space="preserve">) shares and negatively with income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); the income association is largely urban-form-driven and</w:t>
      </w:r>
      <w:r>
        <w:t xml:space="preserve"> </w:t>
      </w:r>
      <w:r>
        <w:t xml:space="preserve">survives density/centrality controls and spatial regression only in Seattle</w:t>
      </w:r>
      <w:r>
        <w:t xml:space="preserve"> </w:t>
      </w:r>
      <w:r>
        <w:t xml:space="preserve">(Sec. 4.2, Sec. 4.7).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RQ4 (spatial structure and typology).</w:t>
      </w:r>
      <w:r>
        <w:t xml:space="preserve"> </w:t>
      </w:r>
      <w:r>
        <w:t xml:space="preserve">The MES is strongly spatially</w:t>
      </w:r>
      <w:r>
        <w:t xml:space="preserve"> </w:t>
      </w:r>
      <w:r>
        <w:t xml:space="preserve">clustered (Moran’s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0.82</m:t>
        </m:r>
      </m:oMath>
      <w:r>
        <w:t xml:space="preserve">–</w:t>
      </w:r>
      <m:oMath>
        <m:r>
          <m:t>0.92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 with mapped low-low cold spots,</w:t>
      </w:r>
      <w:r>
        <w:t xml:space="preserve"> </w:t>
      </w:r>
      <w:r>
        <w:t xml:space="preserve">and silhouette-selected K-means recovers two-to-three reproducible neighborhood</w:t>
      </w:r>
      <w:r>
        <w:t xml:space="preserve"> </w:t>
      </w:r>
      <w:r>
        <w:t xml:space="preserve">profiles per city (ARI</w:t>
      </w:r>
      <w:r>
        <w:t xml:space="preserve"> </w:t>
      </w:r>
      <m:oMath>
        <m:r>
          <m:rPr>
            <m:sty m:val="p"/>
          </m:rPr>
          <m:t>=</m:t>
        </m:r>
        <m:r>
          <m:t>1.00</m:t>
        </m:r>
      </m:oMath>
      <w:r>
        <w:t xml:space="preserve">) (Sec. 4.3, Sec. 4.5).</w:t>
      </w:r>
    </w:p>
    <w:bookmarkEnd w:id="85"/>
    <w:bookmarkStart w:id="8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delivers an integrated, transparent, and reproducible measure of</w:t>
      </w:r>
      <w:r>
        <w:t xml:space="preserve"> </w:t>
      </w:r>
      <w:r>
        <w:t xml:space="preserve">multi-modal mobility supply at the neighborhood scale, and uses it to show that</w:t>
      </w:r>
      <w:r>
        <w:t xml:space="preserve"> </w:t>
      </w:r>
      <w:r>
        <w:t xml:space="preserve">mobility infrastructure in three major U.S. cities is spatially concentrated in</w:t>
      </w:r>
      <w:r>
        <w:t xml:space="preserve"> </w:t>
      </w:r>
      <w:r>
        <w:t xml:space="preserve">dense, central tracts — with the apparent income gradient largely attributable</w:t>
      </w:r>
      <w:r>
        <w:t xml:space="preserve"> </w:t>
      </w:r>
      <w:r>
        <w:t xml:space="preserve">to urban form once controls and spatial regression are applied. The equity</w:t>
      </w:r>
      <w:r>
        <w:t xml:space="preserve"> </w:t>
      </w:r>
      <w:r>
        <w:t xml:space="preserve">question is therefore reframed, associationally, as a supply–</w:t>
      </w:r>
      <w:r>
        <w:rPr>
          <w:i/>
          <w:iCs/>
        </w:rPr>
        <w:t xml:space="preserve">need</w:t>
      </w:r>
      <w:r>
        <w:t xml:space="preserve"> </w:t>
      </w:r>
      <w:r>
        <w:t xml:space="preserve">mismatch best examined through compounded deserts and cold spots. The open</w:t>
      </w:r>
      <w:r>
        <w:t xml:space="preserve"> </w:t>
      </w:r>
      <w:r>
        <w:t xml:space="preserve">pipeline and dashboard make the method immediately transferable to other cities.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J. J. Aman and J. Smith-Colin,</w:t>
      </w:r>
      <w:r>
        <w:t xml:space="preserve"> </w:t>
      </w:r>
      <w:r>
        <w:t xml:space="preserve">“Transit deserts: Equity analysis of public transit accessibility,”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, vol. 89, p. 102869, 2020.</w:t>
      </w:r>
      <w:r>
        <w:t xml:space="preserve"> </w:t>
      </w:r>
      <w:r>
        <w:t xml:space="preserve">Urban Institute,</w:t>
      </w:r>
      <w:r>
        <w:t xml:space="preserve"> </w:t>
      </w:r>
      <w:r>
        <w:t xml:space="preserve">“Redefining Walkability: A Neighborhood-Level Analysis,”</w:t>
      </w:r>
      <w:r>
        <w:t xml:space="preserve"> </w:t>
      </w:r>
      <w:r>
        <w:t xml:space="preserve">Urban Institute, Washington, DC, 2022.</w:t>
      </w:r>
      <w:r>
        <w:t xml:space="preserve"> </w:t>
      </w:r>
      <w:r>
        <w:t xml:space="preserve">J. Lou, A. Chandra, and M. Gordon,</w:t>
      </w:r>
      <w:r>
        <w:t xml:space="preserve"> </w:t>
      </w:r>
      <w:r>
        <w:t xml:space="preserve">“Equity and reliability of public electric vehicle charging stations in the United States,”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vol. 16, p. 4201, 2025.</w:t>
      </w:r>
      <w:r>
        <w:t xml:space="preserve"> </w:t>
      </w:r>
      <w:r>
        <w:t xml:space="preserve">S. Ahmed, Z. Sultana, and M. Rahman,</w:t>
      </w:r>
      <w:r>
        <w:t xml:space="preserve"> </w:t>
      </w:r>
      <w:r>
        <w:t xml:space="preserve">“A systematic review of bicycle infrastructure design principles within urban bikeability indices,”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vol. 17, no. 14, p. 6409, 2024.</w:t>
      </w:r>
      <w:r>
        <w:t xml:space="preserve"> </w:t>
      </w:r>
      <w:r>
        <w:t xml:space="preserve">A. Ermagun and N. Tilahun,</w:t>
      </w:r>
      <w:r>
        <w:t xml:space="preserve"> </w:t>
      </w:r>
      <w:r>
        <w:t xml:space="preserve">“Transit equity and job accessibility,”</w:t>
      </w:r>
      <w:r>
        <w:t xml:space="preserve"> </w:t>
      </w:r>
      <w:r>
        <w:rPr>
          <w:i/>
          <w:iCs/>
        </w:rPr>
        <w:t xml:space="preserve">Transportation Research Part A</w:t>
      </w:r>
      <w:r>
        <w:t xml:space="preserve">, vol. 134, pp. 191–204, 2020.</w:t>
      </w:r>
      <w:r>
        <w:t xml:space="preserve"> </w:t>
      </w:r>
      <w:r>
        <w:t xml:space="preserve">S. Maharjan, F. Janatabadi, and A. Ermagun,</w:t>
      </w:r>
      <w:r>
        <w:t xml:space="preserve"> </w:t>
      </w:r>
      <w:r>
        <w:t xml:space="preserve">“Spatial inequity of transit and automobile access gap across America for underserved populations,”</w:t>
      </w:r>
      <w:r>
        <w:t xml:space="preserve"> </w:t>
      </w:r>
      <w:r>
        <w:rPr>
          <w:i/>
          <w:iCs/>
        </w:rPr>
        <w:t xml:space="preserve">Transportation Research Record</w:t>
      </w:r>
      <w:r>
        <w:t xml:space="preserve">, vol. 2678, no. 1, pp. 674–690, 2024.</w:t>
      </w:r>
      <w:r>
        <w:t xml:space="preserve"> </w:t>
      </w:r>
      <w:r>
        <w:t xml:space="preserve">Argonne National Laboratory,</w:t>
      </w:r>
      <w:r>
        <w:t xml:space="preserve"> </w:t>
      </w:r>
      <w:r>
        <w:t xml:space="preserve">“Electric Vehicle Charging Equity Considerations,”</w:t>
      </w:r>
      <w:r>
        <w:t xml:space="preserve"> </w:t>
      </w:r>
      <w:r>
        <w:t xml:space="preserve">U.S. Department of Energy, 2022.</w:t>
      </w:r>
      <w:r>
        <w:t xml:space="preserve"> </w:t>
      </w:r>
      <w:r>
        <w:t xml:space="preserve">U.S. EPA,</w:t>
      </w:r>
      <w:r>
        <w:t xml:space="preserve"> </w:t>
      </w:r>
      <w:r>
        <w:t xml:space="preserve">“Smart Location Mapping and National Walkability Index,”</w:t>
      </w:r>
      <w:r>
        <w:t xml:space="preserve"> </w:t>
      </w:r>
      <w:r>
        <w:t xml:space="preserve">EPA, 2024.</w:t>
      </w:r>
      <w:r>
        <w:t xml:space="preserve"> </w:t>
      </w:r>
      <w:r>
        <w:t xml:space="preserve">Sustrans,</w:t>
      </w:r>
      <w:r>
        <w:t xml:space="preserve"> </w:t>
      </w:r>
      <w:r>
        <w:t xml:space="preserve">“Cycling and Walking Investment Strategy: Equity in Active Travel Infrastructure,”</w:t>
      </w:r>
      <w:r>
        <w:t xml:space="preserve"> </w:t>
      </w:r>
      <w:r>
        <w:t xml:space="preserve">Sustrans, Bristol, UK, 2023.</w:t>
      </w:r>
      <w:r>
        <w:t xml:space="preserve"> </w:t>
      </w:r>
      <w:r>
        <w:t xml:space="preserve">A. Albashir et al.,</w:t>
      </w:r>
      <w:r>
        <w:t xml:space="preserve"> </w:t>
      </w:r>
      <w:r>
        <w:t xml:space="preserve">“15min City Score Toolkit: Urban Walkability Analytics,”</w:t>
      </w:r>
      <w:r>
        <w:t xml:space="preserve"> </w:t>
      </w:r>
      <w:r>
        <w:t xml:space="preserve">Transform Transport Working Papers, Zenodo, 2024.</w:t>
      </w:r>
      <w:r>
        <w:t xml:space="preserve"> </w:t>
      </w:r>
      <w:r>
        <w:t xml:space="preserve">X. Chen and Y. Li,</w:t>
      </w:r>
      <w:r>
        <w:t xml:space="preserve"> </w:t>
      </w:r>
      <w:r>
        <w:t xml:space="preserve">“Electric vehicle charging equity and accessibility: A U.S. policy analysis,”</w:t>
      </w:r>
      <w:r>
        <w:t xml:space="preserve"> </w:t>
      </w:r>
      <w:r>
        <w:rPr>
          <w:i/>
          <w:iCs/>
        </w:rPr>
        <w:t xml:space="preserve">Transportation Research Part D</w:t>
      </w:r>
      <w:r>
        <w:t xml:space="preserve">, vol. 118, p. 103748, 2024.</w:t>
      </w:r>
      <w:r>
        <w:t xml:space="preserve"> </w:t>
      </w:r>
      <w:r>
        <w:t xml:space="preserve">Urban Institute,</w:t>
      </w:r>
      <w:r>
        <w:t xml:space="preserve"> </w:t>
      </w:r>
      <w:r>
        <w:t xml:space="preserve">“Spending on Infrastructure toward Equity (SITE) Tool,”</w:t>
      </w:r>
      <w:r>
        <w:t xml:space="preserve"> </w:t>
      </w:r>
      <w:r>
        <w:t xml:space="preserve">2025.</w:t>
      </w:r>
      <w:r>
        <w:t xml:space="preserve"> </w:t>
      </w:r>
      <w:r>
        <w:t xml:space="preserve">Oliver Wyman Forum,</w:t>
      </w:r>
      <w:r>
        <w:t xml:space="preserve"> </w:t>
      </w:r>
      <w:r>
        <w:t xml:space="preserve">“2024 Urban Mobility Readiness Index,”</w:t>
      </w:r>
      <w:r>
        <w:t xml:space="preserve"> </w:t>
      </w:r>
      <w:r>
        <w:t xml:space="preserve">2024.</w:t>
      </w:r>
      <w:r>
        <w:t xml:space="preserve"> </w:t>
      </w:r>
      <w:r>
        <w:t xml:space="preserve">B. Pandey, C. Brelsford, and K. C. Seto,</w:t>
      </w:r>
      <w:r>
        <w:t xml:space="preserve"> </w:t>
      </w:r>
      <w:r>
        <w:t xml:space="preserve">“Rising infrastructure inequalities accompany urbanization and economic development,”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vol. 16, p. 1082, 2025.</w:t>
      </w:r>
      <w:r>
        <w:t xml:space="preserve"> </w:t>
      </w:r>
      <w:r>
        <w:t xml:space="preserve">G. Boeing,</w:t>
      </w:r>
      <w:r>
        <w:t xml:space="preserve"> </w:t>
      </w:r>
      <w:r>
        <w:t xml:space="preserve">“OSMnx: New methods for acquiring, constructing, analyzing, and visualizing complex street networks,”</w:t>
      </w:r>
      <w:r>
        <w:t xml:space="preserve"> </w:t>
      </w:r>
      <w:r>
        <w:rPr>
          <w:i/>
          <w:iCs/>
        </w:rPr>
        <w:t xml:space="preserve">Computers, Environment and Urban Systems</w:t>
      </w:r>
      <w:r>
        <w:t xml:space="preserve">, vol. 65, pp. 126–139, 2017.</w:t>
      </w:r>
      <w:r>
        <w:t xml:space="preserve"> </w:t>
      </w:r>
      <w:r>
        <w:t xml:space="preserve">M. Nardo, M. Saisana, A. Saltelli, et al.,</w:t>
      </w:r>
      <w:r>
        <w:t xml:space="preserve"> </w:t>
      </w:r>
      <w:r>
        <w:rPr>
          <w:i/>
          <w:iCs/>
        </w:rPr>
        <w:t xml:space="preserve">Handbook on Constructing Composite Indicators: Methodology and User Guide</w:t>
      </w:r>
      <w:r>
        <w:t xml:space="preserve">. OECD/JRC, 2008.</w:t>
      </w:r>
      <w:r>
        <w:t xml:space="preserve"> </w:t>
      </w:r>
      <w:r>
        <w:t xml:space="preserve">L. Anselin,</w:t>
      </w:r>
      <w:r>
        <w:t xml:space="preserve"> </w:t>
      </w:r>
      <w:r>
        <w:t xml:space="preserve">“Local Indicators of Spatial Association—LISA,”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, vol. 27, no. 2, pp. 93–115, 1995.</w:t>
      </w:r>
      <w:r>
        <w:t xml:space="preserve"> </w:t>
      </w:r>
      <w:r>
        <w:t xml:space="preserve">P. J. Rousseeuw,</w:t>
      </w:r>
      <w:r>
        <w:t xml:space="preserve"> </w:t>
      </w:r>
      <w:r>
        <w:t xml:space="preserve">“Silhouettes: A graphical aid to the interpretation and validation of cluster analysis,”</w:t>
      </w:r>
      <w:r>
        <w:t xml:space="preserve"> </w:t>
      </w:r>
      <w:r>
        <w:rPr>
          <w:i/>
          <w:iCs/>
        </w:rPr>
        <w:t xml:space="preserve">Journal of Computational and Applied Mathematics</w:t>
      </w:r>
      <w:r>
        <w:t xml:space="preserve">, vol. 20, pp. 53–65, 1987.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64" Target="media/rId64.png" /><Relationship Type="http://schemas.openxmlformats.org/officeDocument/2006/relationships/image" Id="rId47" Target="media/rId47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2026-08-16T03:09:24Z</dcterms:created>
  <dcterms:modified xsi:type="dcterms:W3CDTF">2026-08-16T03:09:24Z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