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Reproducible Mobility Equity Score: Integrating Transit, Walkability,</w:t>
      </w:r>
      <w:r>
        <w:t xml:space="preserve"> </w:t>
      </w:r>
      <w:r>
        <w:t xml:space="preserve">Bicycle, and EV-Charging Supply at the Census-Tract Level</w:t>
      </w:r>
    </w:p>
    <w:p>
      <w:pPr>
        <w:pStyle w:val="Author"/>
      </w:pP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Urban mobility infrastructure—public transit, walkable streets, bicycle</w:t>
      </w:r>
      <w:r>
        <w:t xml:space="preserve"> </w:t>
      </w:r>
      <w:r>
        <w:t xml:space="preserve">facilities, and electric-vehicle (EV) charging—is unevenly distributed, yet</w:t>
      </w:r>
      <w:r>
        <w:t xml:space="preserve"> </w:t>
      </w:r>
      <w:r>
        <w:t xml:space="preserve">existing tools measure each dimension in isolation. We construct a</w:t>
      </w:r>
      <w:r>
        <w:t xml:space="preserve"> </w:t>
      </w:r>
      <w:r>
        <w:rPr>
          <w:i/>
          <w:iCs/>
        </w:rPr>
        <w:t xml:space="preserve">Mobility Equity Score</w:t>
      </w:r>
      <w:r>
        <w:t xml:space="preserve"> </w:t>
      </w:r>
      <w:r>
        <w:t xml:space="preserve">(MES): a transparent, reproducible composite index</w:t>
      </w:r>
      <w:r>
        <w:t xml:space="preserve"> </w:t>
      </w:r>
      <w:r>
        <w:t xml:space="preserve">that integrates all four dimensions at the U.S. Census-tract level, and apply</w:t>
      </w:r>
      <w:r>
        <w:t xml:space="preserve"> </w:t>
      </w:r>
      <w:r>
        <w:t xml:space="preserve">it to three structurally distinct cities (Chicago, Houston, Seattle) using only</w:t>
      </w:r>
      <w:r>
        <w:t xml:space="preserve"> </w:t>
      </w:r>
      <w:r>
        <w:t xml:space="preserve">open data. The MES is strongly spatially clustered in every city (global</w:t>
      </w:r>
      <w:r>
        <w:t xml:space="preserve"> </w:t>
      </w:r>
      <w:r>
        <w:t xml:space="preserve">Moran’s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0.82</m:t>
        </m:r>
      </m:oMath>
      <w:r>
        <w:t xml:space="preserve">–</w:t>
      </w:r>
      <m:oMath>
        <m:r>
          <m:t>0.92</m:t>
        </m:r>
      </m:oMath>
      <w:r>
        <w:t xml:space="preserve">) and is positively associated with the share of</w:t>
      </w:r>
      <w:r>
        <w:t xml:space="preserve"> </w:t>
      </w:r>
      <w:r>
        <w:t xml:space="preserve">car-free and renter households. A bivariate negative association with median</w:t>
      </w:r>
      <w:r>
        <w:t xml:space="preserve"> </w:t>
      </w:r>
      <w:r>
        <w:t xml:space="preserve">income is shown to be largely a function of urban form: after controlling for</w:t>
      </w:r>
      <w:r>
        <w:t xml:space="preserve"> </w:t>
      </w:r>
      <w:r>
        <w:t xml:space="preserve">population density and distance to the central business district, and after</w:t>
      </w:r>
      <w:r>
        <w:t xml:space="preserve"> </w:t>
      </w:r>
      <w:r>
        <w:t xml:space="preserve">spatial-regression correction, it attenuates to non-significance in Houston,</w:t>
      </w:r>
      <w:r>
        <w:t xml:space="preserve"> </w:t>
      </w:r>
      <w:r>
        <w:t xml:space="preserve">reverses in Chicago, and persists only in Seattle. Findings are therefore</w:t>
      </w:r>
      <w:r>
        <w:t xml:space="preserve"> </w:t>
      </w:r>
      <w:r>
        <w:t xml:space="preserve">interpreted as associational and consistent with a supply–need mismatch. The</w:t>
      </w:r>
      <w:r>
        <w:t xml:space="preserve"> </w:t>
      </w:r>
      <w:r>
        <w:t xml:space="preserve">pipeline and an interactive dashboard are released open-source.</w:t>
      </w:r>
    </w:p>
    <w:p>
      <w:pPr>
        <w:pStyle w:val="FirstParagraph"/>
      </w:pPr>
      <w:r>
        <w:t xml:space="preserve">transportation equity, composite index, spatial analysis, GIS, open data,</w:t>
      </w:r>
      <w:r>
        <w:t xml:space="preserve"> </w:t>
      </w:r>
      <w:r>
        <w:t xml:space="preserve">mobility deserts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Access to jobs, health care, and education depends on a layered ecosystem of</w:t>
      </w:r>
      <w:r>
        <w:t xml:space="preserve"> </w:t>
      </w:r>
      <w:r>
        <w:t xml:space="preserve">transit, pedestrian, cycling, and—increasingly—EV-charging infrastructure,</w:t>
      </w:r>
      <w:r>
        <w:t xml:space="preserve"> </w:t>
      </w:r>
      <w:r>
        <w:t xml:space="preserve">each with documented equity gaps </w:t>
      </w:r>
      <w:r>
        <w:t xml:space="preserve">.</w:t>
      </w:r>
      <w:r>
        <w:t xml:space="preserve"> </w:t>
      </w:r>
      <w:r>
        <w:t xml:space="preserve">Yet measurement remains siloed: the EPA walkability index, the DOE charger</w:t>
      </w:r>
      <w:r>
        <w:t xml:space="preserve"> </w:t>
      </w:r>
      <w:r>
        <w:t xml:space="preserve">locator, transit GTFS feeds, and OpenStreetMap bicycle data each capture one</w:t>
      </w:r>
      <w:r>
        <w:t xml:space="preserve"> </w:t>
      </w:r>
      <w:r>
        <w:t xml:space="preserve">dimension. No open, reproducible tool integrates all four into a single</w:t>
      </w:r>
      <w:r>
        <w:t xml:space="preserve"> </w:t>
      </w:r>
      <w:r>
        <w:t xml:space="preserve">neighborhood-level equity measure.</w:t>
      </w:r>
    </w:p>
    <w:p>
      <w:pPr>
        <w:pStyle w:val="BodyText"/>
      </w:pPr>
      <w:r>
        <w:t xml:space="preserve">This paper contributes: (i) an open, reproducible integration of four mobility</w:t>
      </w:r>
      <w:r>
        <w:t xml:space="preserve"> </w:t>
      </w:r>
      <w:r>
        <w:t xml:space="preserve">dimensions into a tract-level composite; (ii) a transparent methodology whose</w:t>
      </w:r>
      <w:r>
        <w:t xml:space="preserve"> </w:t>
      </w:r>
      <w:r>
        <w:t xml:space="preserve">normalization, weighting, and thresholds are stress-tested; and (iii) an</w:t>
      </w:r>
      <w:r>
        <w:t xml:space="preserve"> </w:t>
      </w:r>
      <w:r>
        <w:t xml:space="preserve">empirical result—that the apparent income gradient in mobility supply is</w:t>
      </w:r>
      <w:r>
        <w:t xml:space="preserve"> </w:t>
      </w:r>
      <w:r>
        <w:t xml:space="preserve">largely an urban-form artifact—obtained through confounder controls and</w:t>
      </w:r>
      <w:r>
        <w:t xml:space="preserve"> </w:t>
      </w:r>
      <w:r>
        <w:t xml:space="preserve">spatial regression. The dashboard is a dissemination layer, not the</w:t>
      </w:r>
      <w:r>
        <w:t xml:space="preserve"> </w:t>
      </w:r>
      <w:r>
        <w:t xml:space="preserve">contribution.</w:t>
      </w:r>
    </w:p>
    <w:bookmarkStart w:id="12" w:name="fig:map"/>
    <w:p>
      <w:pPr>
        <w:pStyle w:val="CaptionedFigure"/>
      </w:pPr>
      <w:r>
        <w:drawing>
          <wp:inline>
            <wp:extent cx="5334000" cy="76425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horopleth_chica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Chicago MES and its four sub-indices (green = better served, red =</w:t>
      </w:r>
      <w:r>
        <w:t xml:space="preserve"> </w:t>
      </w:r>
      <w:r>
        <w:t xml:space="preserve">worse). Walkability and transit concentrate centrally; dedicated bicycle</w:t>
      </w:r>
      <w:r>
        <w:t xml:space="preserve"> </w:t>
      </w:r>
      <w:r>
        <w:t xml:space="preserve">infrastructure is sparse citywide.</w:t>
      </w:r>
    </w:p>
    <w:bookmarkEnd w:id="12"/>
    <w:bookmarkEnd w:id="13"/>
    <w:bookmarkStart w:id="14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Single-dimension equity evidence is strong but isolated: transit</w:t>
      </w:r>
      <w:r>
        <w:t xml:space="preserve"> </w:t>
      </w:r>
      <w:r>
        <w:t xml:space="preserve">deserts </w:t>
      </w:r>
      <w:r>
        <w:t xml:space="preserve">, racialized walkability </w:t>
      </w:r>
      <w:r>
        <w:t xml:space="preserve">,</w:t>
      </w:r>
      <w:r>
        <w:t xml:space="preserve"> </w:t>
      </w:r>
      <w:r>
        <w:t xml:space="preserve">and severe EV-charging gaps for disadvantaged and renter</w:t>
      </w:r>
      <w:r>
        <w:t xml:space="preserve"> </w:t>
      </w:r>
      <w:r>
        <w:t xml:space="preserve">households </w:t>
      </w:r>
      <w:r>
        <w:t xml:space="preserve">. Composite-indicator methodology warns that</w:t>
      </w:r>
      <w:r>
        <w:t xml:space="preserve"> </w:t>
      </w:r>
      <w:r>
        <w:t xml:space="preserve">normalization and weighting are value-laden and require sensitivity</w:t>
      </w:r>
      <w:r>
        <w:t xml:space="preserve"> </w:t>
      </w:r>
      <w:r>
        <w:t xml:space="preserve">analysis </w:t>
      </w:r>
      <w:r>
        <w:t xml:space="preserve">. Integrated tools exist but trade away tract-level,</w:t>
      </w:r>
      <w:r>
        <w:t xml:space="preserve"> </w:t>
      </w:r>
      <w:r>
        <w:t xml:space="preserve">multi-modal, or open-data properties (e.g., city-scale readiness indices, or</w:t>
      </w:r>
      <w:r>
        <w:t xml:space="preserve"> </w:t>
      </w:r>
      <w:r>
        <w:t xml:space="preserve">spending-based equity tools). The MES fills this gap and, unlike prior work,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rather than assumes the direction of the supply–demographic</w:t>
      </w:r>
      <w:r>
        <w:t xml:space="preserve"> </w:t>
      </w:r>
      <w:r>
        <w:t xml:space="preserve">relationship.</w:t>
      </w:r>
    </w:p>
    <w:bookmarkEnd w:id="14"/>
    <w:bookmarkStart w:id="19" w:name="methodology"/>
    <w:p>
      <w:pPr>
        <w:pStyle w:val="Heading1"/>
      </w:pPr>
      <w:r>
        <w:t xml:space="preserve">Methodology</w:t>
      </w:r>
    </w:p>
    <w:bookmarkStart w:id="15" w:name="study-area-and-data"/>
    <w:p>
      <w:pPr>
        <w:pStyle w:val="Heading2"/>
      </w:pPr>
      <w:r>
        <w:t xml:space="preserve">Study Area and Data</w:t>
      </w:r>
    </w:p>
    <w:p>
      <w:pPr>
        <w:pStyle w:val="FirstParagraph"/>
      </w:pPr>
      <w:r>
        <w:t xml:space="preserve">The unit of analysis is the 2023 Census tract for Cook County (Chicago; 1,332</w:t>
      </w:r>
      <w:r>
        <w:t xml:space="preserve"> </w:t>
      </w:r>
      <w:r>
        <w:t xml:space="preserve">tracts), Harris County (Houston; 1,115), and King County (Seattle; 495). All</w:t>
      </w:r>
      <w:r>
        <w:t xml:space="preserve"> </w:t>
      </w:r>
      <w:r>
        <w:t xml:space="preserve">inputs are open: GTFS (transit), the EPA Smart Location Database (walkability),</w:t>
      </w:r>
      <w:r>
        <w:t xml:space="preserve"> </w:t>
      </w:r>
      <w:r>
        <w:t xml:space="preserve">OpenStreetMap via OSMnx </w:t>
      </w:r>
      <w:r>
        <w:t xml:space="preserve"> </w:t>
      </w:r>
      <w:r>
        <w:t xml:space="preserve">(bicycle and EV charging points), the</w:t>
      </w:r>
      <w:r>
        <w:t xml:space="preserve"> </w:t>
      </w:r>
      <w:r>
        <w:t xml:space="preserve">Census ACS 5-year 2019–2023 (demographics), and TIGER/Line boundaries.</w:t>
      </w:r>
    </w:p>
    <w:bookmarkEnd w:id="15"/>
    <w:bookmarkStart w:id="17" w:name="mobility-equity-score"/>
    <w:p>
      <w:pPr>
        <w:pStyle w:val="Heading2"/>
      </w:pPr>
      <w:r>
        <w:t xml:space="preserve">Mobility Equity Score</w:t>
      </w:r>
    </w:p>
    <w:p>
      <w:pPr>
        <w:pStyle w:val="FirstParagraph"/>
      </w:pPr>
      <w:r>
        <w:t xml:space="preserve">Each of four sub-indices (Table </w:t>
      </w:r>
      <w:hyperlink w:anchor="tab:sub">
        <w:r>
          <w:rPr>
            <w:rStyle w:val="Hyperlink"/>
          </w:rPr>
          <w:t xml:space="preserve">1</w:t>
        </w:r>
      </w:hyperlink>
      <w:r>
        <w:t xml:space="preserve">) is min–max normalized to</w:t>
      </w:r>
      <w:r>
        <w:t xml:space="preserve"> </w:t>
      </w:r>
      <w:r>
        <w:t xml:space="preserve">0–100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city, then combined as an equally weighted mean,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t> </m:t>
        </m:r>
        <m:sSubSup>
          <m:e>
            <m:r>
              <m:t>s</m:t>
            </m:r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norm</m:t>
            </m:r>
          </m:sup>
        </m:sSubSup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 Because</w:t>
      </w:r>
      <w:r>
        <w:t xml:space="preserve"> </w:t>
      </w:r>
      <w:r>
        <w:t xml:space="preserve">normalization is within-city, cross-city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are not compared; only</w:t>
      </w:r>
      <w:r>
        <w:t xml:space="preserve"> </w:t>
      </w:r>
      <w:r>
        <w:t xml:space="preserve">patterns are. Tracts below the 25th MES percentile are mobility deserts; those</w:t>
      </w:r>
      <w:r>
        <w:t xml:space="preserve"> </w:t>
      </w:r>
      <w:r>
        <w:t xml:space="preserve">below the 25th percentile in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sub-indices are compounded deserts.</w:t>
      </w:r>
    </w:p>
    <w:bookmarkStart w:id="16" w:name="tab:sub"/>
    <w:p>
      <w:pPr>
        <w:pStyle w:val="TableCaption"/>
      </w:pPr>
      <w:r>
        <w:t xml:space="preserve">The four MES sub-indices.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our MES sub-indic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density; AM-peak freq.; 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Nat. Walkability Index (areal)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SLD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Bike-lane km/km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Charger count; dist. to DC-fast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OSM/AFDC</w:t>
            </w:r>
          </w:p>
        </w:tc>
      </w:tr>
    </w:tbl>
    <w:bookmarkEnd w:id="16"/>
    <w:bookmarkEnd w:id="17"/>
    <w:bookmarkStart w:id="18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Pearson correlations (with Fisher-</w:t>
      </w:r>
      <m:oMath>
        <m:r>
          <m:t>z</m:t>
        </m:r>
      </m:oMath>
      <w:r>
        <w:t xml:space="preserve"> </w:t>
      </w:r>
      <w:r>
        <w:t xml:space="preserve">confidence intervals and a Spearman</w:t>
      </w:r>
      <w:r>
        <w:t xml:space="preserve"> </w:t>
      </w:r>
      <w:r>
        <w:t xml:space="preserve">robustness check) relate the MES to income, percent non-white, percent</w:t>
      </w:r>
      <w:r>
        <w:t xml:space="preserve"> </w:t>
      </w:r>
      <w:r>
        <w:t xml:space="preserve">zero-vehicle, and percent renter. Global and local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(queen</w:t>
      </w:r>
      <w:r>
        <w:t xml:space="preserve"> </w:t>
      </w:r>
      <w:r>
        <w:t xml:space="preserve">contiguity, 999 permutations) test spatial clustering. K-means with</w:t>
      </w:r>
      <w:r>
        <w:t xml:space="preserve"> </w:t>
      </w:r>
      <w:r>
        <w:t xml:space="preserve">silhouette-selected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multi-seed Adjusted Rand Index (ARI) yields a stable</w:t>
      </w:r>
      <w:r>
        <w:t xml:space="preserve"> </w:t>
      </w:r>
      <w:r>
        <w:t xml:space="preserve">typology. Because the MES is spatially autocorrelated, we additionally fit</w:t>
      </w:r>
      <w:r>
        <w:t xml:space="preserve"> </w:t>
      </w:r>
      <w:r>
        <w:t xml:space="preserve">multivariable OLS with urban-form controls (population density, distance to the</w:t>
      </w:r>
      <w:r>
        <w:t xml:space="preserve"> </w:t>
      </w:r>
      <w:r>
        <w:t xml:space="preserve">central business district) and spatial-lag/error models, and we recompute the</w:t>
      </w:r>
      <w:r>
        <w:t xml:space="preserve"> </w:t>
      </w:r>
      <w:r>
        <w:t xml:space="preserve">MES without the EV layer as a robustness check.</w:t>
      </w:r>
    </w:p>
    <w:bookmarkEnd w:id="18"/>
    <w:bookmarkEnd w:id="19"/>
    <w:bookmarkStart w:id="33" w:name="results"/>
    <w:p>
      <w:pPr>
        <w:pStyle w:val="Heading1"/>
      </w:pPr>
      <w:r>
        <w:t xml:space="preserve">Results</w:t>
      </w:r>
    </w:p>
    <w:bookmarkStart w:id="20" w:name="distribution-and-equity-associations"/>
    <w:p>
      <w:pPr>
        <w:pStyle w:val="Heading2"/>
      </w:pPr>
      <w:r>
        <w:t xml:space="preserve">Distribution and Equity Associations</w:t>
      </w:r>
    </w:p>
    <w:p>
      <w:pPr>
        <w:pStyle w:val="FirstParagraph"/>
      </w:pPr>
      <w:r>
        <w:t xml:space="preserve">Walkability is the strongest dimension and dedicated cycling the weakest in all</w:t>
      </w:r>
      <w:r>
        <w:t xml:space="preserve"> </w:t>
      </w:r>
      <w:r>
        <w:t xml:space="preserve">cities. The MES is strongly spatially clustered (Table </w:t>
      </w:r>
      <w:hyperlink w:anchor="tab:res">
        <w:r>
          <w:rPr>
            <w:rStyle w:val="Hyperlink"/>
          </w:rPr>
          <w:t xml:space="preserve">[tab:res]</w:t>
        </w:r>
      </w:hyperlink>
      <w:r>
        <w:t xml:space="preserve">: Moran’s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0.82</m:t>
        </m:r>
      </m:oMath>
      <w:r>
        <w:t xml:space="preserve">–</w:t>
      </w:r>
      <m:oMath>
        <m:r>
          <m:t>0.92</m:t>
        </m:r>
      </m:oMath>
      <w:r>
        <w:t xml:space="preserve">, all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so supply inequity is contiguous and</w:t>
      </w:r>
      <w:r>
        <w:t xml:space="preserve"> </w:t>
      </w:r>
      <w:r>
        <w:t xml:space="preserve">place-based. The MES is positively associated with car-free (</w:t>
      </w:r>
      <m:oMath>
        <m:r>
          <m:t>r</m:t>
        </m:r>
        <m:r>
          <m:rPr>
            <m:sty m:val="p"/>
          </m:rPr>
          <m:t>=</m:t>
        </m:r>
        <m:r>
          <m:t>0.41</m:t>
        </m:r>
      </m:oMath>
      <w:r>
        <w:t xml:space="preserve">–</w:t>
      </w:r>
      <m:oMath>
        <m:r>
          <m:t>0.69</m:t>
        </m:r>
      </m:oMath>
      <w:r>
        <w:t xml:space="preserve">)</w:t>
      </w:r>
      <w:r>
        <w:t xml:space="preserve"> </w:t>
      </w:r>
      <w:r>
        <w:t xml:space="preserve">and renter (</w:t>
      </w:r>
      <m:oMath>
        <m:r>
          <m:t>r</m:t>
        </m:r>
        <m:r>
          <m:rPr>
            <m:sty m:val="p"/>
          </m:rPr>
          <m:t>=</m:t>
        </m:r>
        <m:r>
          <m:t>0.53</m:t>
        </m:r>
      </m:oMath>
      <w:r>
        <w:t xml:space="preserve">–</w:t>
      </w:r>
      <m:oMath>
        <m:r>
          <m:t>0.69</m:t>
        </m:r>
      </m:oMath>
      <w:r>
        <w:t xml:space="preserve">) shares, and bivariately negatively with income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0.27</m:t>
        </m:r>
      </m:oMath>
      <w:r>
        <w:t xml:space="preserve">). Fig. </w:t>
      </w:r>
      <w:hyperlink w:anchor="fig:map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maps the MES and its sub-indices.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Tracts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 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Moran’s</w:t>
            </w:r>
            <w:r>
              <w:rPr>
                <w:b/>
                <w:bCs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MES–income (bivariate)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+ urban-form controls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Cluster 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.002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, weak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,</w:t>
            </w: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n.s. 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.64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p</m:t>
              </m:r>
              <m:r>
                <m:rPr>
                  <m:sty m:val="p"/>
                </m:rPr>
                <m:t>&lt;</m:t>
              </m:r>
              <m:r>
                <m:t>.001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End w:id="20"/>
    <w:bookmarkStart w:id="31" w:name="spatial-cold-spots-deserts-and-typology"/>
    <w:p>
      <w:pPr>
        <w:pStyle w:val="Heading2"/>
      </w:pPr>
      <w:r>
        <w:t xml:space="preserve">Spatial Cold Spots, Deserts, and Typology</w:t>
      </w:r>
    </w:p>
    <w:p>
      <w:pPr>
        <w:pStyle w:val="FirstParagraph"/>
      </w:pPr>
      <w:r>
        <w:t xml:space="preserve">Local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(Fig. </w:t>
      </w:r>
      <w:hyperlink w:anchor="fig:lisa">
        <w:r>
          <w:rPr>
            <w:rStyle w:val="Hyperlink"/>
          </w:rPr>
          <w:t xml:space="preserve">2</w:t>
        </w:r>
      </w:hyperlink>
      <w:r>
        <w:t xml:space="preserve">) resolves the clustering into large,</w:t>
      </w:r>
      <w:r>
        <w:t xml:space="preserve"> </w:t>
      </w:r>
      <w:r>
        <w:t xml:space="preserve">statistically significant low-low</w:t>
      </w:r>
      <w:r>
        <w:t xml:space="preserve"> </w:t>
      </w:r>
      <w:r>
        <w:t xml:space="preserve">“cold spots”</w:t>
      </w:r>
      <w:r>
        <w:t xml:space="preserve"> </w:t>
      </w:r>
      <w:r>
        <w:t xml:space="preserve">on each city’s periphery and</w:t>
      </w:r>
      <w:r>
        <w:t xml:space="preserve"> </w:t>
      </w:r>
      <w:r>
        <w:t xml:space="preserve">high-high cores, identifying contiguous under-served areas rather than isolated</w:t>
      </w:r>
      <w:r>
        <w:t xml:space="preserve"> </w:t>
      </w:r>
      <w:r>
        <w:t xml:space="preserve">tracts. Because a mobility desert is defined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each city (bottom MES</w:t>
      </w:r>
      <w:r>
        <w:t xml:space="preserve"> </w:t>
      </w:r>
      <w:r>
        <w:t xml:space="preserve">quartile), the</w:t>
      </w:r>
      <w:r>
        <w:t xml:space="preserve"> </w:t>
      </w:r>
      <m:oMath>
        <m:r>
          <m:rPr>
            <m:sty m:val="p"/>
          </m:rPr>
          <m:t>≈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share is definitional; the substantive results are</w:t>
      </w:r>
      <w:r>
        <w:t xml:space="preserve"> </w:t>
      </w:r>
      <w:r>
        <w:t xml:space="preserve">that desert tracts are higher-income peripheries that nonetheless contain large</w:t>
      </w:r>
      <w:r>
        <w:t xml:space="preserve"> </w:t>
      </w:r>
      <w:r>
        <w:t xml:space="preserve">minority populations (52–64% non-white in Chicago/Houston), that the</w:t>
      </w:r>
      <w:r>
        <w:t xml:space="preserve"> </w:t>
      </w:r>
      <w:r>
        <w:t xml:space="preserve">classification is stable under threshold changes (Jaccard</w:t>
      </w:r>
      <w:r>
        <w:t xml:space="preserve"> </w:t>
      </w:r>
      <m:oMath>
        <m:r>
          <m:t>0.80</m:t>
        </m:r>
      </m:oMath>
      <w:r>
        <w:t xml:space="preserve">–</w:t>
      </w:r>
      <m:oMath>
        <m:r>
          <m:t>0.83</m:t>
        </m:r>
      </m:oMath>
      <w:r>
        <w:t xml:space="preserve"> </w:t>
      </w:r>
      <w:r>
        <w:t xml:space="preserve">across</w:t>
      </w:r>
      <w:r>
        <w:t xml:space="preserve"> </w:t>
      </w:r>
      <w:r>
        <w:t xml:space="preserve">the 20th/25th/30th percentiles), and that compounded deserts (low on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dimensions) concentrate the disadvantage. K-means recovers interpretable</w:t>
      </w:r>
      <w:r>
        <w:t xml:space="preserve"> </w:t>
      </w:r>
      <w:r>
        <w:t xml:space="preserve">profiles—a well-served multimodal core, a uniformly under-served periphery,</w:t>
      </w:r>
      <w:r>
        <w:t xml:space="preserve"> </w:t>
      </w:r>
      <w:r>
        <w:t xml:space="preserve">and, in Houston, a distinctive</w:t>
      </w:r>
      <w:r>
        <w:t xml:space="preserve"> </w:t>
      </w:r>
      <w:r>
        <w:t xml:space="preserve">“walk-rich, bike-poor”</w:t>
      </w:r>
      <w:r>
        <w:t xml:space="preserve"> </w:t>
      </w:r>
      <w:r>
        <w:t xml:space="preserve">class (537 tracts);</w:t>
      </w:r>
      <w:r>
        <w:t xml:space="preserve"> </w:t>
      </w:r>
      <w:r>
        <w:t xml:space="preserve">silhouettes for the selected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0.41</m:t>
        </m:r>
      </m:oMath>
      <w:r>
        <w:t xml:space="preserve">–</w:t>
      </w:r>
      <m:oMath>
        <m:r>
          <m:t>0.48</m:t>
        </m:r>
      </m:oMath>
      <w:r>
        <w:t xml:space="preserve"> </w:t>
      </w:r>
      <w:r>
        <w:t xml:space="preserve">and the partitions are</w:t>
      </w:r>
      <w:r>
        <w:t xml:space="preserve"> </w:t>
      </w:r>
      <w:r>
        <w:t xml:space="preserve">reproducible across initializations (mean ARI</w:t>
      </w:r>
      <w:r>
        <w:t xml:space="preserve"> </w:t>
      </w:r>
      <m:oMath>
        <m:r>
          <m:rPr>
            <m:sty m:val="p"/>
          </m:rPr>
          <m:t>=</m:t>
        </m:r>
        <m:r>
          <m:t>1.00</m:t>
        </m:r>
      </m:oMath>
      <w:r>
        <w:t xml:space="preserve">). Because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differs by</w:t>
      </w:r>
      <w:r>
        <w:t xml:space="preserve"> </w:t>
      </w:r>
      <w:r>
        <w:t xml:space="preserve">city, similarly named profiles are compared by centroid shape, not label.</w:t>
      </w:r>
    </w:p>
    <w:bookmarkStart w:id="30" w:name="fig:lisa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1706880" cy="1706880"/>
                  <wp:effectExtent b="0" l="0" r="0" t="0"/>
                  <wp:docPr descr="image" title="" id="22" name="Picture"/>
                  <a:graphic>
                    <a:graphicData uri="http://schemas.openxmlformats.org/drawingml/2006/picture">
                      <pic:pic>
                        <pic:nvPicPr>
                          <pic:cNvPr descr="lisa_chicago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1706880" cy="1706880"/>
                  <wp:effectExtent b="0" l="0" r="0" t="0"/>
                  <wp:docPr descr="image" title="" id="25" name="Picture"/>
                  <a:graphic>
                    <a:graphicData uri="http://schemas.openxmlformats.org/drawingml/2006/picture">
                      <pic:pic>
                        <pic:nvPicPr>
                          <pic:cNvPr descr="lisa_houston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1706880" cy="1706880"/>
                  <wp:effectExtent b="0" l="0" r="0" t="0"/>
                  <wp:docPr descr="image" title="" id="28" name="Picture"/>
                  <a:graphic>
                    <a:graphicData uri="http://schemas.openxmlformats.org/drawingml/2006/picture">
                      <pic:pic>
                        <pic:nvPicPr>
                          <pic:cNvPr descr="lisa_seattl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6880" cy="1706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Local Moran’s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(LISA) clusters of the MES (Chicago, Houston,</w:t>
      </w:r>
      <w:r>
        <w:t xml:space="preserve"> </w:t>
      </w:r>
      <w:r>
        <w:t xml:space="preserve">Seattle). Red = high-high (well-served cores); blue = low-low (under-served</w:t>
      </w:r>
      <w:r>
        <w:t xml:space="preserve"> </w:t>
      </w:r>
      <w:r>
        <w:t xml:space="preserve">cold spots).</w:t>
      </w:r>
    </w:p>
    <w:bookmarkEnd w:id="30"/>
    <w:bookmarkEnd w:id="31"/>
    <w:bookmarkStart w:id="32" w:name="Xd108e31c46dc6f427c4b0cf7f7c77b1d122b949"/>
    <w:p>
      <w:pPr>
        <w:pStyle w:val="Heading2"/>
      </w:pPr>
      <w:r>
        <w:t xml:space="preserve">Confounding, Spatial Dependence, Robustness</w:t>
      </w:r>
    </w:p>
    <w:p>
      <w:pPr>
        <w:pStyle w:val="FirstParagraph"/>
      </w:pPr>
      <w:r>
        <w:t xml:space="preserve">Adding density and CBD distance to an OLS of the MES on income changes the</w:t>
      </w:r>
      <w:r>
        <w:t xml:space="preserve"> </w:t>
      </w:r>
      <w:r>
        <w:t xml:space="preserve">income coefficient sharply: it becomes non-significant in Houston, reverses to</w:t>
      </w:r>
      <w:r>
        <w:t xml:space="preserve"> </w:t>
      </w:r>
      <w:r>
        <w:t xml:space="preserve">weakly positive in Chicago, and remains negative and significant only in</w:t>
      </w:r>
      <w:r>
        <w:t xml:space="preserve"> </w:t>
      </w:r>
      <w:r>
        <w:t xml:space="preserve">Seattle. Spatial-lag/error models (error preferred for Chicago, lag for Houston</w:t>
      </w:r>
      <w:r>
        <w:t xml:space="preserve"> </w:t>
      </w:r>
      <w:r>
        <w:t xml:space="preserve">and Seattle by AIC) corroborate this: once spatial dependence is modeled, the</w:t>
      </w:r>
      <w:r>
        <w:t xml:space="preserve"> </w:t>
      </w:r>
      <w:r>
        <w:t xml:space="preserve">income association is negligible except in Seattle, confirming that ordinary</w:t>
      </w:r>
      <w:r>
        <w:t xml:space="preserve"> </w:t>
      </w:r>
      <w:r>
        <w:t xml:space="preserve">significance was overstated. Dropping the OSM-sourced EV layer leaves the</w:t>
      </w:r>
      <w:r>
        <w:t xml:space="preserve"> </w:t>
      </w:r>
      <w:r>
        <w:t xml:space="preserve">findings intact on every axis—the income, renter, and zero-vehicle</w:t>
      </w:r>
      <w:r>
        <w:t xml:space="preserve"> </w:t>
      </w:r>
      <w:r>
        <w:t xml:space="preserve">correlations move by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Δ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0.05</m:t>
        </m:r>
      </m:oMath>
      <w:r>
        <w:t xml:space="preserve">, the desert set overlaps by a Jaccard</w:t>
      </w:r>
      <w:r>
        <w:t xml:space="preserve"> </w:t>
      </w:r>
      <w:r>
        <w:t xml:space="preserve">of</w:t>
      </w:r>
      <w:r>
        <w:t xml:space="preserve"> </w:t>
      </w:r>
      <m:oMath>
        <m:r>
          <m:t>0.71</m:t>
        </m:r>
      </m:oMath>
      <w:r>
        <w:t xml:space="preserve">–</w:t>
      </w:r>
      <m:oMath>
        <m:r>
          <m:t>0.92</m:t>
        </m:r>
      </m:oMath>
      <w:r>
        <w:t xml:space="preserve">, and spatial clustering is essentially unchanged—so the</w:t>
      </w:r>
      <w:r>
        <w:t xml:space="preserve"> </w:t>
      </w:r>
      <w:r>
        <w:t xml:space="preserve">conclusions do not depend on the least-certain dimension.</w:t>
      </w:r>
    </w:p>
    <w:bookmarkEnd w:id="32"/>
    <w:bookmarkEnd w:id="33"/>
    <w:bookmarkStart w:id="34" w:name="discussion-and-conclusion"/>
    <w:p>
      <w:pPr>
        <w:pStyle w:val="Heading1"/>
      </w:pPr>
      <w:r>
        <w:t xml:space="preserve">Discussion and Conclusion</w:t>
      </w:r>
    </w:p>
    <w:p>
      <w:pPr>
        <w:pStyle w:val="FirstParagraph"/>
      </w:pPr>
      <w:r>
        <w:rPr>
          <w:i/>
          <w:iCs/>
        </w:rPr>
        <w:t xml:space="preserve">What the data demonstrate:</w:t>
      </w:r>
      <w:r>
        <w:t xml:space="preserve"> </w:t>
      </w:r>
      <w:r>
        <w:t xml:space="preserve">mobility supply is strongly spatially</w:t>
      </w:r>
      <w:r>
        <w:t xml:space="preserve"> </w:t>
      </w:r>
      <w:r>
        <w:t xml:space="preserve">clustered, positively associated with car-free and renter shares, and its</w:t>
      </w:r>
      <w:r>
        <w:t xml:space="preserve"> </w:t>
      </w:r>
      <w:r>
        <w:t xml:space="preserve">apparent negative income gradient is largely an urban-form artifact that does</w:t>
      </w:r>
      <w:r>
        <w:t xml:space="preserve"> </w:t>
      </w:r>
      <w:r>
        <w:t xml:space="preserve">not survive density/centrality controls or spatial regression except in Seattle.</w:t>
      </w:r>
      <w:r>
        <w:t xml:space="preserve"> </w:t>
      </w:r>
      <w:r>
        <w:t xml:space="preserve">The composite is well-behaved—related-but-non-redundant sub-indices, stable</w:t>
      </w:r>
      <w:r>
        <w:t xml:space="preserve"> </w:t>
      </w:r>
      <w:r>
        <w:t xml:space="preserve">weighting, reproducible clusters, EV-insensitive conclusions.</w:t>
      </w:r>
    </w:p>
    <w:p>
      <w:pPr>
        <w:pStyle w:val="BodyText"/>
      </w:pPr>
      <w:r>
        <w:rPr>
          <w:i/>
          <w:iCs/>
        </w:rPr>
        <w:t xml:space="preserve">What we infer:</w:t>
      </w:r>
      <w:r>
        <w:t xml:space="preserve"> </w:t>
      </w:r>
      <w:r>
        <w:t xml:space="preserve">because supply co-occurs with density (and thus with</w:t>
      </w:r>
      <w:r>
        <w:t xml:space="preserve"> </w:t>
      </w:r>
      <w:r>
        <w:t xml:space="preserve">car-free and renter populations), the equity question is best framed,</w:t>
      </w:r>
      <w:r>
        <w:t xml:space="preserve"> </w:t>
      </w:r>
      <w:r>
        <w:t xml:space="preserve">associationally, as a supply–</w:t>
      </w:r>
      <w:r>
        <w:rPr>
          <w:i/>
          <w:iCs/>
        </w:rPr>
        <w:t xml:space="preserve">need</w:t>
      </w:r>
      <w:r>
        <w:t xml:space="preserve"> </w:t>
      </w:r>
      <w:r>
        <w:t xml:space="preserve">mismatch; demand itself is not</w:t>
      </w:r>
      <w:r>
        <w:t xml:space="preserve"> </w:t>
      </w:r>
      <w:r>
        <w:t xml:space="preserve">modeled. Compounded deserts and low-low LISA cold spots locate the tracts where</w:t>
      </w:r>
      <w:r>
        <w:t xml:space="preserve"> </w:t>
      </w:r>
      <w:r>
        <w:t xml:space="preserve">car-free and minority households (52–64% non-white in the Chicago/Houston</w:t>
      </w:r>
      <w:r>
        <w:t xml:space="preserve"> </w:t>
      </w:r>
      <w:r>
        <w:t xml:space="preserve">deserts) plausibly face the widest gap, and are where the framework adds most</w:t>
      </w:r>
      <w:r>
        <w:t xml:space="preserve"> </w:t>
      </w:r>
      <w:r>
        <w:t xml:space="preserve">policy value. In practice this supports neighborhood-level targeting: ranking</w:t>
      </w:r>
      <w:r>
        <w:t xml:space="preserve"> </w:t>
      </w:r>
      <w:r>
        <w:t xml:space="preserve">tracts, separating single- from multi-dimension deficits, and suggesting</w:t>
      </w:r>
      <w:r>
        <w:t xml:space="preserve"> </w:t>
      </w:r>
      <w:r>
        <w:t xml:space="preserve">differentiated interventions such as cycling investment for walk-rich/bike-poor</w:t>
      </w:r>
      <w:r>
        <w:t xml:space="preserve"> </w:t>
      </w:r>
      <w:r>
        <w:t xml:space="preserve">areas and first/last-mile transit for under-served peripheries.</w:t>
      </w:r>
    </w:p>
    <w:p>
      <w:pPr>
        <w:pStyle w:val="BodyText"/>
      </w:pPr>
      <w:r>
        <w:rPr>
          <w:i/>
          <w:iCs/>
        </w:rPr>
        <w:t xml:space="preserve">Cross-city reading:</w:t>
      </w:r>
      <w:r>
        <w:t xml:space="preserve"> </w:t>
      </w:r>
      <w:r>
        <w:t xml:space="preserve">because normalization is performed within each city,</w:t>
      </w:r>
      <w:r>
        <w:t xml:space="preserve"> </w:t>
      </w:r>
      <w:r>
        <w:t xml:space="preserve">absolute MES levels are not comparable across cities—a score of 70 in Houston</w:t>
      </w:r>
      <w:r>
        <w:t xml:space="preserve"> </w:t>
      </w:r>
      <w:r>
        <w:t xml:space="preserve">is not equivalent to 70 in Chicago. The robust comparative result is instead</w:t>
      </w:r>
      <w:r>
        <w:t xml:space="preserve"> </w:t>
      </w:r>
      <w:r>
        <w:t xml:space="preserve">that the same qualitative pattern (strong spatial clustering, positive</w:t>
      </w:r>
      <w:r>
        <w:t xml:space="preserve"> </w:t>
      </w:r>
      <w:r>
        <w:t xml:space="preserve">car-free/renter associations, and an income gradient largely explained by urban</w:t>
      </w:r>
      <w:r>
        <w:t xml:space="preserve"> </w:t>
      </w:r>
      <w:r>
        <w:t xml:space="preserve">form) recurs in all three metros, with Seattle the one case where a negative</w:t>
      </w:r>
      <w:r>
        <w:t xml:space="preserve"> </w:t>
      </w:r>
      <w:r>
        <w:t xml:space="preserve">income association survives controls and therefore merits city-specific study.</w:t>
      </w:r>
    </w:p>
    <w:p>
      <w:pPr>
        <w:pStyle w:val="BodyText"/>
      </w:pPr>
      <w:r>
        <w:rPr>
          <w:i/>
          <w:iCs/>
        </w:rPr>
        <w:t xml:space="preserve">Limitations</w:t>
      </w:r>
      <w:r>
        <w:t xml:space="preserve"> </w:t>
      </w:r>
      <w:r>
        <w:t xml:space="preserve">are the supply-side scope, the OSM EV proxy, within-city</w:t>
      </w:r>
      <w:r>
        <w:t xml:space="preserve"> </w:t>
      </w:r>
      <w:r>
        <w:t xml:space="preserve">normalization (no cross-city levels), and a three-city cross-section. Future</w:t>
      </w:r>
      <w:r>
        <w:t xml:space="preserve"> </w:t>
      </w:r>
      <w:r>
        <w:t xml:space="preserve">work extends to more cities, substitutes authoritative AFDC EV and FTA transit</w:t>
      </w:r>
      <w:r>
        <w:t xml:space="preserve"> </w:t>
      </w:r>
      <w:r>
        <w:t xml:space="preserve">service-quality data, and—most directly—develops a</w:t>
      </w:r>
      <w:r>
        <w:t xml:space="preserve"> </w:t>
      </w:r>
      <w:r>
        <w:rPr>
          <w:i/>
          <w:iCs/>
        </w:rPr>
        <w:t xml:space="preserve">demand-adjusted MES</w:t>
      </w:r>
      <w:r>
        <w:t xml:space="preserve"> </w:t>
      </w:r>
      <w:r>
        <w:t xml:space="preserve">that combines infrastructure supply with transportation need so the supply–need</w:t>
      </w:r>
      <w:r>
        <w:t xml:space="preserve"> </w:t>
      </w:r>
      <w:r>
        <w:t xml:space="preserve">relationship can be modeled rather than inferred. The full pipeline and dashboard</w:t>
      </w:r>
      <w:r>
        <w:t xml:space="preserve"> </w:t>
      </w:r>
      <w:r>
        <w:t xml:space="preserve">are open-source, making the method transferable to any city with open data.</w:t>
      </w:r>
    </w:p>
    <w:p>
      <w:pPr>
        <w:pStyle w:val="BodyText"/>
      </w:pPr>
      <w:r>
        <w:t xml:space="preserve">00</w:t>
      </w:r>
      <w:r>
        <w:t xml:space="preserve"> </w:t>
      </w:r>
      <w:r>
        <w:t xml:space="preserve">J. J. Aman and J. Smith-Colin,</w:t>
      </w:r>
      <w:r>
        <w:t xml:space="preserve"> </w:t>
      </w:r>
      <w:r>
        <w:t xml:space="preserve">“Transit deserts: Equity analysis of public transit accessibility,”</w:t>
      </w:r>
      <w:r>
        <w:t xml:space="preserve"> </w:t>
      </w:r>
      <w:r>
        <w:rPr>
          <w:i/>
          <w:iCs/>
        </w:rPr>
        <w:t xml:space="preserve">J. Transp. Geogr.</w:t>
      </w:r>
      <w:r>
        <w:t xml:space="preserve">, vol. 89, p. 102869, 2020.</w:t>
      </w:r>
      <w:r>
        <w:t xml:space="preserve"> </w:t>
      </w:r>
      <w:r>
        <w:t xml:space="preserve">Urban Institute,</w:t>
      </w:r>
      <w:r>
        <w:t xml:space="preserve"> </w:t>
      </w:r>
      <w:r>
        <w:t xml:space="preserve">“Redefining Walkability: A Neighborhood-Level Analysis,”</w:t>
      </w:r>
      <w:r>
        <w:t xml:space="preserve"> </w:t>
      </w:r>
      <w:r>
        <w:t xml:space="preserve">Washington, DC, 2022.</w:t>
      </w:r>
      <w:r>
        <w:t xml:space="preserve"> </w:t>
      </w:r>
      <w:r>
        <w:t xml:space="preserve">J. Lou, A. Chandra, and M. Gordon,</w:t>
      </w:r>
      <w:r>
        <w:t xml:space="preserve"> </w:t>
      </w:r>
      <w:r>
        <w:t xml:space="preserve">“Equity and reliability of public EV charging stations in the United States,”</w:t>
      </w:r>
      <w:r>
        <w:t xml:space="preserve"> </w:t>
      </w:r>
      <w:r>
        <w:rPr>
          <w:i/>
          <w:iCs/>
        </w:rPr>
        <w:t xml:space="preserve">Nature Commun.</w:t>
      </w:r>
      <w:r>
        <w:t xml:space="preserve">, vol. 16, p. 4201, 2025.</w:t>
      </w:r>
      <w:r>
        <w:t xml:space="preserve"> </w:t>
      </w:r>
      <w:r>
        <w:t xml:space="preserve">S. Ahmed, Z. Sultana, and M. Rahman,</w:t>
      </w:r>
      <w:r>
        <w:t xml:space="preserve"> </w:t>
      </w:r>
      <w:r>
        <w:t xml:space="preserve">“A systematic review of bicycle infrastructure design principles within urban bikeability indices,”</w:t>
      </w:r>
      <w:r>
        <w:t xml:space="preserve"> </w:t>
      </w:r>
      <w:r>
        <w:rPr>
          <w:i/>
          <w:iCs/>
        </w:rPr>
        <w:t xml:space="preserve">Sustainability</w:t>
      </w:r>
      <w:r>
        <w:t xml:space="preserve">, vol. 17, no. 14, p. 6409, 2024.</w:t>
      </w:r>
      <w:r>
        <w:t xml:space="preserve"> </w:t>
      </w:r>
      <w:r>
        <w:t xml:space="preserve">S. Maharjan, F. Janatabadi, and A. Ermagun,</w:t>
      </w:r>
      <w:r>
        <w:t xml:space="preserve"> </w:t>
      </w:r>
      <w:r>
        <w:t xml:space="preserve">“Spatial inequity of transit and automobile access gap across America,”</w:t>
      </w:r>
      <w:r>
        <w:t xml:space="preserve"> </w:t>
      </w:r>
      <w:r>
        <w:rPr>
          <w:i/>
          <w:iCs/>
        </w:rPr>
        <w:t xml:space="preserve">Transp. Res. Rec.</w:t>
      </w:r>
      <w:r>
        <w:t xml:space="preserve">, vol. 2678, no. 1, pp. 674–690, 2024.</w:t>
      </w:r>
      <w:r>
        <w:t xml:space="preserve"> </w:t>
      </w:r>
      <w:r>
        <w:t xml:space="preserve">X. Chen and Y. Li,</w:t>
      </w:r>
      <w:r>
        <w:t xml:space="preserve"> </w:t>
      </w:r>
      <w:r>
        <w:t xml:space="preserve">“Electric vehicle charging equity and accessibility: A U.S. policy analysis,”</w:t>
      </w:r>
      <w:r>
        <w:t xml:space="preserve"> </w:t>
      </w:r>
      <w:r>
        <w:rPr>
          <w:i/>
          <w:iCs/>
        </w:rPr>
        <w:t xml:space="preserve">Transp. Res. Part D</w:t>
      </w:r>
      <w:r>
        <w:t xml:space="preserve">, vol. 118, p. 103748, 2024.</w:t>
      </w:r>
      <w:r>
        <w:t xml:space="preserve"> </w:t>
      </w:r>
      <w:r>
        <w:t xml:space="preserve">M. Nardo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Handbook on Constructing Composite Indicators</w:t>
      </w:r>
      <w:r>
        <w:t xml:space="preserve">. OECD/JRC, 2008.</w:t>
      </w:r>
      <w:r>
        <w:t xml:space="preserve"> </w:t>
      </w:r>
      <w:r>
        <w:t xml:space="preserve">G. Boeing,</w:t>
      </w:r>
      <w:r>
        <w:t xml:space="preserve"> </w:t>
      </w:r>
      <w:r>
        <w:t xml:space="preserve">“OSMnx: New methods for acquiring, constructing, analyzing, and visualizing complex street networks,”</w:t>
      </w:r>
      <w:r>
        <w:t xml:space="preserve"> </w:t>
      </w:r>
      <w:r>
        <w:rPr>
          <w:i/>
          <w:iCs/>
        </w:rPr>
        <w:t xml:space="preserve">Comput. Environ. Urban Syst.</w:t>
      </w:r>
      <w:r>
        <w:t xml:space="preserve">, vol. 65, pp. 126–139, 2017.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Reproducible Mobility Equity Score: Integrating Transit, Walkability, Bicycle, and EV-Charging Supply at the Census-Tract Level</dc:title>
  <dc:creator/>
  <cp:keywords/>
  <dcterms:created xsi:type="dcterms:W3CDTF">2026-08-16T03:09:24Z</dcterms:created>
  <dcterms:modified xsi:type="dcterms:W3CDTF">2026-08-16T03:09:24Z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Urban mobility infrastructure—public transit, walkable streets, bicycle facilities, and electric-vehicle (EV) charging—is unevenly distributed, yet existing tools measure each dimension in isolation. We construct a Mobility Equity Score (MES): a transparent, reproducible composite index that integrates all four dimensions at the U.S. Census-tract level, and apply it to three structurally distinct cities (Chicago, Houston, Seattle) using only open data. The MES is strongly spatially clustered in every city (global Moran’s I=0.82–0.92) and is positively associated with the share of car-free and renter households. A bivariate negative association with median income is shown to be largely a function of urban form: after controlling for population density and distance to the central business district, and after spatial-regression correction, it attenuates to non-significance in Houston, reverses in Chicago, and persists only in Seattle. Findings are therefore interpreted as associational and consistent with a supply–need mismatch. The pipeline and an interactive dashboard are released open-source.</vt:lpwstr>
  </property>
</Properties>
</file>