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1503e231-5d3f-4e1e-b453-b5dbba882835.c</w:t>
      </w:r>
      <w:r>
        <w:br/>
        <w:t>Language: C</w:t>
      </w:r>
      <w:r>
        <w:br/>
        <w:t>Job ID: 1503e231-5d3f-4e1e-b453-b5dbba882835</w:t>
      </w:r>
      <w:r>
        <w:br/>
        <w:t>Generated: 2026-03-04 19:56:18</w:t>
      </w:r>
    </w:p>
    <w:p/>
    <w:p>
      <w:pPr>
        <w:jc w:val="center"/>
      </w:pPr>
      <w:r>
        <w:rPr>
          <w:b/>
          <w:sz w:val="36"/>
        </w:rPr>
        <w:t>Risk Score: 100 / 100</w:t>
      </w:r>
    </w:p>
    <w:p>
      <w:pPr>
        <w:jc w:val="center"/>
      </w:pPr>
      <w:r>
        <w:rPr>
          <w:b/>
          <w:color w:val="10B981"/>
          <w:sz w:val="28"/>
        </w:rPr>
        <w:t>Secure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1503e231-5d3f-4e1e-b453-b5dbba882835.c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1503e231-5d3f-4e1e-b453-b5dbba882835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[(0 Ã— 15) + (0 Ã— 10) + (0 Ã— 5) + (0 Ã— 2)] = 100</w:t>
      </w:r>
    </w:p>
    <w:p>
      <w:r>
        <w:t>Critical: 0 | High: 0 | Medium: 0 | Low: 0</w:t>
      </w:r>
    </w:p>
    <w:p/>
    <w:p>
      <w:pPr>
        <w:pStyle w:val="Heading2"/>
      </w:pPr>
      <w:r>
        <w:t>OWASP Top 10 Summary</w:t>
      </w:r>
    </w:p>
    <w:p>
      <w:r>
        <w:t>No OWASP-mapped findings detected.</w:t>
      </w:r>
    </w:p>
    <w:p>
      <w:pPr>
        <w:pStyle w:val="Heading2"/>
      </w:pPr>
      <w:r>
        <w:t>Detailed Findings</w:t>
      </w:r>
    </w:p>
    <w:p>
      <w:r>
        <w:t>No findings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