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8c293f45-e38a-491f-8f58-0c2be53d45fe.c</w:t>
      </w:r>
      <w:r>
        <w:br/>
        <w:t>Language: C</w:t>
      </w:r>
      <w:r>
        <w:br/>
        <w:t>Job ID: 8c293f45-e38a-491f-8f58-0c2be53d45fe</w:t>
      </w:r>
      <w:r>
        <w:br/>
        <w:t>Generated: 2026-03-04 19:57:03</w:t>
      </w:r>
    </w:p>
    <w:p/>
    <w:p>
      <w:pPr>
        <w:jc w:val="center"/>
      </w:pPr>
      <w:r>
        <w:rPr>
          <w:b/>
          <w:sz w:val="36"/>
        </w:rPr>
        <w:t>Risk Score: 100 / 100</w:t>
      </w:r>
    </w:p>
    <w:p>
      <w:pPr>
        <w:jc w:val="center"/>
      </w:pPr>
      <w:r>
        <w:rPr>
          <w:b/>
          <w:color w:val="10B981"/>
          <w:sz w:val="28"/>
        </w:rPr>
        <w:t>Secure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8c293f45-e38a-491f-8f58-0c2be53d45fe.c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8c293f45-e38a-491f-8f58-0c2be53d45fe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[(0 Ã— 15) + (0 Ã— 10) + (0 Ã— 5) + (0 Ã— 2)] = 100</w:t>
      </w:r>
    </w:p>
    <w:p>
      <w:r>
        <w:t>Critical: 0 | High: 0 | Medium: 0 | Low: 0</w:t>
      </w:r>
    </w:p>
    <w:p/>
    <w:p>
      <w:pPr>
        <w:pStyle w:val="Heading2"/>
      </w:pPr>
      <w:r>
        <w:t>OWASP Top 10 Summary</w:t>
      </w:r>
    </w:p>
    <w:p>
      <w:r>
        <w:t>No OWASP-mapped findings detected.</w:t>
      </w:r>
    </w:p>
    <w:p>
      <w:pPr>
        <w:pStyle w:val="Heading2"/>
      </w:pPr>
      <w:r>
        <w:t>Detailed Findings</w:t>
      </w:r>
    </w:p>
    <w:p>
      <w:r>
        <w:t>No findings to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