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Electronics Report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Sub-domains: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0" w:firstLine="4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Battery and Battery Management System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0" w:firstLine="4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Hall sensor and State of Charge estimation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0" w:firstLine="4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Speed and distance calculation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I. Battery and Battery Management System:</w:t>
      </w:r>
    </w:p>
    <w:p w:rsidR="00000000" w:rsidDel="00000000" w:rsidP="00000000" w:rsidRDefault="00000000" w:rsidRPr="00000000" w14:paraId="0000000E">
      <w:pPr>
        <w:pageBreakBefore w:val="0"/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We have 3 lithium battery packs totalling to 84V. It has a capacity of 75Ah. It can supply a maximum continuous current of 450A. It has an in-built battery management system that monitors the cell voltages, current and temperature. It senses </w:t>
      </w:r>
      <w:r w:rsidDel="00000000" w:rsidR="00000000" w:rsidRPr="00000000">
        <w:rPr>
          <w:rtl w:val="0"/>
        </w:rPr>
        <w:t xml:space="preserve">data on real time and take precautionary measures in extreme cases.</w:t>
      </w:r>
    </w:p>
    <w:p w:rsidR="00000000" w:rsidDel="00000000" w:rsidP="00000000" w:rsidRDefault="00000000" w:rsidRPr="00000000" w14:paraId="0000000F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Simulation Results:</w:t>
      </w:r>
    </w:p>
    <w:p w:rsidR="00000000" w:rsidDel="00000000" w:rsidP="00000000" w:rsidRDefault="00000000" w:rsidRPr="00000000" w14:paraId="00000011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5445" cy="24526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445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5711" cy="23383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711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36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Charge profiles at room temperature</w:t>
        <w:tab/>
        <w:tab/>
        <w:t xml:space="preserve">      Temperature Characteristics</w:t>
      </w:r>
    </w:p>
    <w:p w:rsidR="00000000" w:rsidDel="00000000" w:rsidP="00000000" w:rsidRDefault="00000000" w:rsidRPr="00000000" w14:paraId="00000013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3213" cy="238382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383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36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Discharge profiles at room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Comparison of lithium ion polymer cells with lead acid batteries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Weight: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Lithium-ion batteries are one-third the weight of lead acid batteries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Efficiency: Lithium-ion batteries are nearly 100% efficient in both charge and discharge, allowing for the same amp hours both in and out. Lead acid batteries’ inefficiency leads to a loss of 15 amps while charging and rapid discharging drops voltage quickly and reduces the batteries’ capacity.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Discharge: Lithium-ion batteries are discharged 100% versus less than 80% for lead acid. Most lead acid batteries do not recommend more than 50% depth of discharge.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Cycle life: Rechargeable lithium ion batteries have a cycle life of 5000 or more compared to just 400-500 cycles in lead acid. Cycle life is greatly affected by higher levels of discharge in lead acid, versus only slightly affected in lithium-ion batteries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Voltage: Lithium-ion batteries maintain their voltage throughout the entire discharge cycle. This allows for greater and longer-lasting efficiency of electrical components. Lead acid voltage drops consistently throughout the discharge cycle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Cost: Despite the higher upfront cost of lithium-ion batteries, the true cost of ownership is far less than lead acid when considering life span and performance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Environmental Impact: Lithium-ion batteries are a much cleaner technology and are safer for the environment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Comparison of cylindrical cells with pouch cells:</w:t>
      </w:r>
    </w:p>
    <w:p w:rsidR="00000000" w:rsidDel="00000000" w:rsidP="00000000" w:rsidRDefault="00000000" w:rsidRPr="00000000" w14:paraId="00000027">
      <w:pPr>
        <w:pageBreakBefore w:val="0"/>
        <w:ind w:firstLine="45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Cylindrical cells have good mechanical stability and are easy to manufacture. When mounted, they have spaces between them to install thermal regulation solutions. </w:t>
      </w:r>
    </w:p>
    <w:p w:rsidR="00000000" w:rsidDel="00000000" w:rsidP="00000000" w:rsidRDefault="00000000" w:rsidRPr="00000000" w14:paraId="00000028">
      <w:pPr>
        <w:pageBreakBefore w:val="0"/>
        <w:ind w:firstLine="45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chose pouch cells as they are flexible, lightweight and compact. They can deliver high load currents. This significantly increases range and capacity while utilising less weight and volume.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pouch cell makes most efficient use of space and achieves 90–95 percent packaging efficiency, the highest among battery packs. </w:t>
      </w:r>
    </w:p>
    <w:p w:rsidR="00000000" w:rsidDel="00000000" w:rsidP="00000000" w:rsidRDefault="00000000" w:rsidRPr="00000000" w14:paraId="00000029">
      <w:pPr>
        <w:pageBreakBefore w:val="0"/>
        <w:ind w:firstLine="45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Pouch cells tend to swell after 5000 cycles( for our cell model). Hence, we spaced the cells at a safe distance to overcome this problem.</w:t>
      </w:r>
    </w:p>
    <w:p w:rsidR="00000000" w:rsidDel="00000000" w:rsidP="00000000" w:rsidRDefault="00000000" w:rsidRPr="00000000" w14:paraId="0000002A">
      <w:pPr>
        <w:pageBreakBefore w:val="0"/>
        <w:ind w:firstLine="45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Challenges with lithium ion batteries: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requires a BMS(battery management system) circuit for overvoltage and overcurrent protection.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Cell aging: Degradation upon storage is accelerated at SOC=100% (4.2V)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Lithium cells are very susceptible to changes in temperature.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Charger specifications: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Input: 230 VAC 50 Hz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Output: 84V and 20A, charging uses constant voltage and constant current</w:t>
      </w:r>
    </w:p>
    <w:p w:rsidR="00000000" w:rsidDel="00000000" w:rsidP="00000000" w:rsidRDefault="00000000" w:rsidRPr="00000000" w14:paraId="00000033">
      <w:pPr>
        <w:pageBreakBefore w:val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II. Hall sensor </w:t>
      </w:r>
      <w:r w:rsidDel="00000000" w:rsidR="00000000" w:rsidRPr="00000000">
        <w:rPr>
          <w:sz w:val="32"/>
          <w:szCs w:val="32"/>
          <w:rtl w:val="0"/>
        </w:rPr>
        <w:t xml:space="preserve">State of Charge estimation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Circuit Diagram:</w:t>
      </w:r>
    </w:p>
    <w:p w:rsidR="00000000" w:rsidDel="00000000" w:rsidP="00000000" w:rsidRDefault="00000000" w:rsidRPr="00000000" w14:paraId="00000037">
      <w:pPr>
        <w:pageBreakBefore w:val="0"/>
        <w:ind w:left="9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528888" cy="18759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87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 and output characteristics: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624138" cy="20012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00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Hall Sensor Specifications: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612046" cy="437673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2046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III. Speed and Distance Calculation: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Hall sensor Model Name: AH 180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67000" cy="14192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Omnipolar (north or south pole) operation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Micropower operation S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ingle open drain output • 2.5V to 5.5V operating voltage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Chopper stabilized design provides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Superior temperature stability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Minimal switch-point drift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Enhanced immunity to stress 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RF noise immunity • -40°C to 85°C operating temperature E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SD (HBM) ＞ 5KV for DFN2020-6, DFN2020-3 ＞ 6KV for SIP-3L and SC59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SIP-3L, SC59 (commonly known as SOT23 in Asia) DFN2020-6, DFN2020-3 packages • Green Molding Compound (No Br, Sb) (Note 1) </w:t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 Description: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Block Diagram: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http://www.relionbattery.com/blog/7-facts-and-figures-comparing-lithium-ion-vs.-lead-acid-batteries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http://batteryuniversity.com/learn/article/types_of_battery_cells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http://www.relionbattery.com/blog/lithium-cells-should-i-go-cylindrical-or-prismatic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http://www.electrohms.com/product/hk400t03/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https://www.diodes.com/assets/Datasheets/AH180.pdf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www.relionbattery.com/blog/7-facts-and-figures-comparing-lithium-ion-vs.-lead-acid-batteries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www.relionbattery.com/blog/lithium-cells-should-i-go-cylindrical-or-prismatic" TargetMode="External"/><Relationship Id="rId16" Type="http://schemas.openxmlformats.org/officeDocument/2006/relationships/hyperlink" Target="http://batteryuniversity.com/learn/article/types_of_battery_cell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iodes.com/assets/Datasheets/AH180.pdf" TargetMode="External"/><Relationship Id="rId6" Type="http://schemas.openxmlformats.org/officeDocument/2006/relationships/image" Target="media/image6.png"/><Relationship Id="rId18" Type="http://schemas.openxmlformats.org/officeDocument/2006/relationships/hyperlink" Target="http://www.electrohms.com/product/hk400t03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