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A9" w:rsidRDefault="00B1640E">
      <w:proofErr w:type="gramStart"/>
      <w:r>
        <w:t>Background work on immigration as a human right.</w:t>
      </w:r>
      <w:proofErr w:type="gramEnd"/>
    </w:p>
    <w:p w:rsidR="00B1640E" w:rsidRDefault="00B1640E"/>
    <w:p w:rsidR="00B1640E" w:rsidRDefault="00B1640E" w:rsidP="00B1640E">
      <w:pPr>
        <w:ind w:left="360" w:firstLine="360"/>
      </w:pPr>
      <w:r>
        <w:t xml:space="preserve">If foreign nurses cannot afford to pay the price upfront, they can still come into country </w:t>
      </w:r>
      <w:proofErr w:type="gramStart"/>
      <w:r>
        <w:t>A</w:t>
      </w:r>
      <w:proofErr w:type="gramEnd"/>
      <w:r>
        <w:t xml:space="preserve"> but are subject to a higher income tax schedule so as to repay the government the price of immigration right.</w:t>
      </w:r>
    </w:p>
    <w:p w:rsidR="00B1640E" w:rsidRPr="00FD657A" w:rsidRDefault="00B1640E" w:rsidP="00B1640E">
      <w:pPr>
        <w:ind w:left="360" w:firstLine="360"/>
      </w:pPr>
    </w:p>
    <w:p w:rsidR="00B1640E" w:rsidRPr="0043227E" w:rsidRDefault="00B1640E" w:rsidP="00B1640E">
      <w:pPr>
        <w:ind w:left="360" w:firstLine="360"/>
      </w:pPr>
      <w:r w:rsidRPr="0043227E">
        <w:t xml:space="preserve">The main objections to the radical and fair solution to immigration are based on the right to exclude argument, which gives rise to the closed-borders regimes. Here I present the rationale for such regimes based on </w:t>
      </w:r>
      <w:r w:rsidRPr="0043227E">
        <w:fldChar w:fldCharType="begin"/>
      </w:r>
      <w:r w:rsidRPr="0043227E">
        <w:instrText xml:space="preserve"> ADDIN EN.CITE &lt;EndNote&gt;&lt;Cite AuthorYear="1"&gt;&lt;Author&gt;Wellman&lt;/Author&gt;&lt;Year&gt;2008&lt;/Year&gt;&lt;RecNum&gt;42&lt;/RecNum&gt;&lt;DisplayText&gt;Wellman (2008)&lt;/DisplayText&gt;&lt;record&gt;&lt;rec-number&gt;42&lt;/rec-number&gt;&lt;foreign-keys&gt;&lt;key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EndNote&gt;</w:instrText>
      </w:r>
      <w:r w:rsidRPr="0043227E">
        <w:fldChar w:fldCharType="separate"/>
      </w:r>
      <w:r w:rsidRPr="00655FDD">
        <w:t>Wellman (2008)</w:t>
      </w:r>
      <w:r w:rsidRPr="0043227E">
        <w:fldChar w:fldCharType="end"/>
      </w:r>
      <w:r w:rsidRPr="0043227E">
        <w:t xml:space="preserve">, </w:t>
      </w:r>
      <w:r w:rsidRPr="0043227E">
        <w:fldChar w:fldCharType="begin"/>
      </w:r>
      <w:r w:rsidRPr="0043227E">
        <w:instrText xml:space="preserve"> ADDIN EN.CITE &lt;EndNote&gt;&lt;Cite AuthorYear="1"&gt;&lt;Author&gt;White&lt;/Author&gt;&lt;Year&gt;1997&lt;/Year&gt;&lt;RecNum&gt;55&lt;/RecNum&gt;&lt;DisplayText&gt;White (1997)&lt;/DisplayText&gt;&lt;record&gt;&lt;rec-number&gt;55&lt;/rec-number&gt;&lt;foreign-keys&gt;&lt;key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rsidRPr="0043227E">
        <w:fldChar w:fldCharType="separate"/>
      </w:r>
      <w:r w:rsidRPr="00655FDD">
        <w:t>White (1997)</w:t>
      </w:r>
      <w:r w:rsidRPr="0043227E">
        <w:fldChar w:fldCharType="end"/>
      </w:r>
      <w:r w:rsidRPr="0043227E">
        <w:t xml:space="preserve"> and </w:t>
      </w:r>
      <w:r w:rsidRPr="0043227E">
        <w:fldChar w:fldCharType="begin"/>
      </w:r>
      <w:r w:rsidRPr="0043227E">
        <w:instrText xml:space="preserve"> ADDIN EN.CITE &lt;EndNote&gt;&lt;Cite AuthorYear="1"&gt;&lt;Author&gt;Blake&lt;/Author&gt;&lt;Year&gt;2001&lt;/Year&gt;&lt;RecNum&gt;56&lt;/RecNum&gt;&lt;DisplayText&gt;Blake (2001)&lt;/DisplayText&gt;&lt;record&gt;&lt;rec-number&gt;56&lt;/rec-number&gt;&lt;foreign-keys&gt;&lt;key app="EN" db-id="29erx9dfkxa5pie5d2cxfa0nwdr5aa0paxs5" timestamp="1458746647"&gt;56&lt;/key&gt;&lt;/foreign-keys&gt;&lt;ref-type name="Journal Article"&gt;17&lt;/ref-type&gt;&lt;contributors&gt;&lt;authors&gt;&lt;author&gt;Blake, Michael&lt;/author&gt;&lt;/authors&gt;&lt;/contributors&gt;&lt;titles&gt;&lt;title&gt;Distributive justice, state coercion, and autonomy&lt;/title&gt;&lt;secondary-title&gt;Philosophy &amp;amp; Public Affairs&lt;/secondary-title&gt;&lt;/titles&gt;&lt;periodical&gt;&lt;full-title&gt;Philosophy &amp;amp; Public Affairs&lt;/full-title&gt;&lt;/periodical&gt;&lt;pages&gt;257-296&lt;/pages&gt;&lt;volume&gt;30&lt;/volume&gt;&lt;number&gt;3&lt;/number&gt;&lt;dates&gt;&lt;year&gt;2001&lt;/year&gt;&lt;/dates&gt;&lt;isbn&gt;1088-4963&lt;/isbn&gt;&lt;urls&gt;&lt;/urls&gt;&lt;/record&gt;&lt;/Cite&gt;&lt;/EndNote&gt;</w:instrText>
      </w:r>
      <w:r w:rsidRPr="0043227E">
        <w:fldChar w:fldCharType="separate"/>
      </w:r>
      <w:r w:rsidRPr="00655FDD">
        <w:t>Blake (2001)</w:t>
      </w:r>
      <w:r w:rsidRPr="0043227E">
        <w:fldChar w:fldCharType="end"/>
      </w:r>
      <w:r w:rsidRPr="0043227E">
        <w:t>.</w:t>
      </w:r>
    </w:p>
    <w:p w:rsidR="00B1640E" w:rsidRDefault="00B1640E" w:rsidP="00B1640E">
      <w:pPr>
        <w:ind w:left="360" w:firstLine="360"/>
      </w:pPr>
      <w:r w:rsidRPr="00BE69EB">
        <w:t xml:space="preserve">Higgins </w:t>
      </w:r>
      <w:r>
        <w:t xml:space="preserve">(2008) </w:t>
      </w:r>
      <w:r w:rsidRPr="00BE69EB">
        <w:t xml:space="preserve">brain drain </w:t>
      </w:r>
      <w:r>
        <w:t>–</w:t>
      </w:r>
      <w:r w:rsidRPr="00BE69EB">
        <w:t xml:space="preserve"> weak</w:t>
      </w:r>
      <w:r>
        <w:t xml:space="preserve">; Celia </w:t>
      </w:r>
      <w:proofErr w:type="spellStart"/>
      <w:r>
        <w:t>Dugger</w:t>
      </w:r>
      <w:proofErr w:type="spellEnd"/>
      <w:r>
        <w:t xml:space="preserve"> – weak;</w:t>
      </w:r>
    </w:p>
    <w:p w:rsidR="00B1640E" w:rsidRDefault="00B1640E">
      <w:bookmarkStart w:id="0" w:name="_GoBack"/>
      <w:bookmarkEnd w:id="0"/>
    </w:p>
    <w:p w:rsidR="00B1640E" w:rsidRPr="00B347CD" w:rsidRDefault="00B1640E" w:rsidP="00B1640E">
      <w:pPr>
        <w:pStyle w:val="Heading1"/>
        <w:numPr>
          <w:ilvl w:val="0"/>
          <w:numId w:val="1"/>
        </w:numPr>
        <w:rPr>
          <w:rFonts w:cs="Times New Roman"/>
          <w:szCs w:val="24"/>
        </w:rPr>
      </w:pPr>
      <w:bookmarkStart w:id="1" w:name="_Toc321322039"/>
      <w:r>
        <w:rPr>
          <w:rFonts w:cs="Times New Roman"/>
          <w:szCs w:val="24"/>
        </w:rPr>
        <w:t>O</w:t>
      </w:r>
      <w:r w:rsidRPr="00B347CD">
        <w:rPr>
          <w:rFonts w:cs="Times New Roman"/>
          <w:szCs w:val="24"/>
        </w:rPr>
        <w:t xml:space="preserve">bjections to </w:t>
      </w:r>
      <w:r>
        <w:rPr>
          <w:rFonts w:cs="Times New Roman"/>
          <w:szCs w:val="24"/>
        </w:rPr>
        <w:t>the radical and fair solution</w:t>
      </w:r>
      <w:bookmarkEnd w:id="1"/>
    </w:p>
    <w:p w:rsidR="00B1640E" w:rsidRPr="00B347CD" w:rsidRDefault="00B1640E" w:rsidP="00B1640E">
      <w:pPr>
        <w:ind w:firstLine="360"/>
        <w:rPr>
          <w:rFonts w:cs="Times New Roman"/>
        </w:rPr>
      </w:pPr>
      <w:r w:rsidRPr="00B347CD">
        <w:rPr>
          <w:rFonts w:cs="Times New Roman"/>
        </w:rPr>
        <w:t xml:space="preserve">In this section, I will argue that migration should be understood as a basic positive right. </w:t>
      </w:r>
      <w:r>
        <w:rPr>
          <w:rFonts w:cs="Times New Roman"/>
        </w:rPr>
        <w:t>The difference of negative and positive duties is particularly important for libertarians, so I will draw from their literature</w:t>
      </w:r>
      <w:r w:rsidRPr="00B347CD">
        <w:rPr>
          <w:rFonts w:cs="Times New Roman"/>
        </w:rPr>
        <w:t>.</w:t>
      </w:r>
      <w:r>
        <w:rPr>
          <w:rFonts w:cs="Times New Roman"/>
        </w:rPr>
        <w:t xml:space="preserve"> If I can prove that migration meets the criteria for positive rights according to libertarian principles</w:t>
      </w:r>
      <w:r w:rsidRPr="00B347CD">
        <w:rPr>
          <w:rFonts w:cs="Times New Roman"/>
        </w:rPr>
        <w:t xml:space="preserve">, then it is straightforward that </w:t>
      </w:r>
      <w:r>
        <w:rPr>
          <w:rFonts w:cs="Times New Roman"/>
        </w:rPr>
        <w:t>individuals hold a claim on governments to promote migration policy</w:t>
      </w:r>
      <w:r w:rsidRPr="00B347CD">
        <w:rPr>
          <w:rFonts w:cs="Times New Roman"/>
        </w:rPr>
        <w:t xml:space="preserve">. This viewpoint is consistent with </w:t>
      </w:r>
      <w:r>
        <w:rPr>
          <w:rFonts w:cs="Times New Roman"/>
        </w:rPr>
        <w:t>the open-borders theory</w:t>
      </w:r>
      <w:r w:rsidRPr="00B347CD">
        <w:rPr>
          <w:rFonts w:cs="Times New Roman"/>
        </w:rPr>
        <w:t>.</w:t>
      </w:r>
    </w:p>
    <w:p w:rsidR="00B1640E" w:rsidRPr="00B347CD" w:rsidRDefault="00B1640E" w:rsidP="00B1640E">
      <w:pPr>
        <w:pStyle w:val="Heading2"/>
        <w:numPr>
          <w:ilvl w:val="1"/>
          <w:numId w:val="1"/>
        </w:numPr>
        <w:rPr>
          <w:rFonts w:cs="Times New Roman"/>
          <w:szCs w:val="24"/>
        </w:rPr>
      </w:pPr>
      <w:bookmarkStart w:id="2" w:name="_Toc321322040"/>
      <w:r w:rsidRPr="00B347CD">
        <w:rPr>
          <w:rFonts w:cs="Times New Roman"/>
          <w:szCs w:val="24"/>
        </w:rPr>
        <w:t>What are positive rights?</w:t>
      </w:r>
      <w:bookmarkEnd w:id="2"/>
    </w:p>
    <w:p w:rsidR="00B1640E" w:rsidRPr="00B347CD" w:rsidRDefault="00B1640E" w:rsidP="00B1640E">
      <w:pPr>
        <w:ind w:left="360" w:firstLine="360"/>
        <w:rPr>
          <w:rFonts w:cs="Times New Roman"/>
        </w:rPr>
      </w:pPr>
      <w:r>
        <w:rPr>
          <w:rFonts w:cs="Times New Roman"/>
        </w:rPr>
        <w:t xml:space="preserve">According to </w:t>
      </w:r>
      <w:r>
        <w:rPr>
          <w:rFonts w:cs="Times New Roman"/>
        </w:rPr>
        <w:fldChar w:fldCharType="begin"/>
      </w:r>
      <w:r>
        <w:rPr>
          <w:rFonts w:cs="Times New Roman"/>
        </w:rPr>
        <w:instrText xml:space="preserve"> ADDIN EN.CITE &lt;EndNote&gt;&lt;Cite AuthorYear="1"&gt;&lt;Author&gt;Narveson&lt;/Author&gt;&lt;Year&gt;1988&lt;/Year&gt;&lt;RecNum&gt;11&lt;/RecNum&gt;&lt;DisplayText&gt;Narveson (1988)&lt;/DisplayText&gt;&lt;record&gt;&lt;rec-number&gt;11&lt;/rec-number&gt;&lt;foreign-keys&gt;&lt;key app="EN" db-id="29erx9dfkxa5pie5d2cxfa0nwdr5aa0paxs5" timestamp="1455997463"&gt;11&lt;/key&gt;&lt;/foreign-keys&gt;&lt;ref-type name="Book"&gt;6&lt;/ref-type&gt;&lt;contributors&gt;&lt;authors&gt;&lt;author&gt;Narveson, Jan&lt;/author&gt;&lt;/authors&gt;&lt;/contributors&gt;&lt;titles&gt;&lt;title&gt;The Libertarian Idea&lt;/title&gt;&lt;secondary-title&gt;Ethics and action&lt;/secondary-title&gt;&lt;/titles&gt;&lt;pages&gt;xiv, 367 p.&lt;/pages&gt;&lt;keywords&gt;&lt;keyword&gt;Libertarianism.&lt;/keyword&gt;&lt;/keywords&gt;&lt;dates&gt;&lt;year&gt;1988&lt;/year&gt;&lt;/dates&gt;&lt;pub-location&gt;Philadelphia&lt;/pub-location&gt;&lt;publisher&gt;Temple University Press&lt;/publisher&gt;&lt;isbn&gt;0877225699 (alk. paper)&lt;/isbn&gt;&lt;accession-num&gt;3382712&lt;/accession-num&gt;&lt;call-num&gt;JC571 .N28 1988&lt;/call-num&gt;&lt;urls&gt;&lt;/urls&gt;&lt;/record&gt;&lt;/Cite&gt;&lt;/EndNote&gt;</w:instrText>
      </w:r>
      <w:r>
        <w:rPr>
          <w:rFonts w:cs="Times New Roman"/>
        </w:rPr>
        <w:fldChar w:fldCharType="separate"/>
      </w:r>
      <w:r>
        <w:rPr>
          <w:rFonts w:cs="Times New Roman"/>
          <w:noProof/>
        </w:rPr>
        <w:t>Narveson (1988)</w:t>
      </w:r>
      <w:r>
        <w:rPr>
          <w:rFonts w:cs="Times New Roman"/>
        </w:rPr>
        <w:fldChar w:fldCharType="end"/>
      </w:r>
      <w:r>
        <w:rPr>
          <w:rFonts w:cs="Times New Roman"/>
        </w:rPr>
        <w:t xml:space="preserve">, positive rights correspond to duties to perform an action to guarantee existence of these rights. In the context of political organizations, it holds governments and States accountable for carrying out actions to promote these rights. </w:t>
      </w:r>
      <w:proofErr w:type="spellStart"/>
      <w:r>
        <w:rPr>
          <w:rFonts w:cs="Times New Roman"/>
        </w:rPr>
        <w:t>Narveson’s</w:t>
      </w:r>
      <w:proofErr w:type="spellEnd"/>
      <w:r>
        <w:rPr>
          <w:rFonts w:cs="Times New Roman"/>
        </w:rPr>
        <w:t xml:space="preserve"> example is illustrative: suppose that A possesses right X against B. If X is a positive right, then B has a duty to perform actions Y to enable X for A. In our political environment, it means that governments (B) have to perform actions Y so that individuals (A) exercise right X.</w:t>
      </w:r>
    </w:p>
    <w:p w:rsidR="00B1640E" w:rsidRPr="00B347CD" w:rsidRDefault="00B1640E" w:rsidP="00B1640E">
      <w:pPr>
        <w:pStyle w:val="Heading2"/>
        <w:numPr>
          <w:ilvl w:val="1"/>
          <w:numId w:val="1"/>
        </w:numPr>
        <w:rPr>
          <w:rFonts w:cs="Times New Roman"/>
          <w:szCs w:val="24"/>
        </w:rPr>
      </w:pPr>
      <w:bookmarkStart w:id="3" w:name="_Toc321322041"/>
      <w:r>
        <w:rPr>
          <w:rFonts w:cs="Times New Roman"/>
          <w:szCs w:val="24"/>
        </w:rPr>
        <w:t>The right to migrate</w:t>
      </w:r>
      <w:r w:rsidRPr="00B347CD">
        <w:rPr>
          <w:rFonts w:cs="Times New Roman"/>
          <w:szCs w:val="24"/>
        </w:rPr>
        <w:t xml:space="preserve"> and consistency with open-borders theories</w:t>
      </w:r>
      <w:bookmarkEnd w:id="3"/>
    </w:p>
    <w:p w:rsidR="00B1640E" w:rsidRDefault="00B1640E" w:rsidP="00B1640E">
      <w:pPr>
        <w:ind w:left="360" w:firstLine="360"/>
        <w:rPr>
          <w:rFonts w:cs="Times New Roman"/>
        </w:rPr>
      </w:pPr>
      <w:r>
        <w:rPr>
          <w:rFonts w:cs="Times New Roman"/>
        </w:rPr>
        <w:fldChar w:fldCharType="begin"/>
      </w:r>
      <w:r>
        <w:rPr>
          <w:rFonts w:cs="Times New Roman"/>
        </w:rPr>
        <w:instrText xml:space="preserve"> ADDIN EN.CITE &lt;EndNote&gt;&lt;Cite AuthorYear="1"&gt;&lt;Author&gt;Carens&lt;/Author&gt;&lt;Year&gt;1987&lt;/Year&gt;&lt;RecNum&gt;3&lt;/RecNum&gt;&lt;DisplayText&gt;Carens (1987)&lt;/DisplayText&gt;&lt;record&gt;&lt;rec-number&gt;3&lt;/rec-number&gt;&lt;foreign-keys&gt;&lt;key app="EN" db-id="29erx9dfkxa5pie5d2cxfa0nwdr5aa0paxs5" timestamp="1455380960"&gt;3&lt;/key&gt;&lt;/foreign-keys&gt;&lt;ref-type name="Journal Article"&gt;17&lt;/ref-type&gt;&lt;contributors&gt;&lt;authors&gt;&lt;author&gt;Carens, Joseph&lt;/author&gt;&lt;/authors&gt;&lt;/contributors&gt;&lt;titles&gt;&lt;title&gt;Aliens and citizens: the case for open borders&lt;/title&gt;&lt;secondary-title&gt;The Review of Politics&lt;/secondary-title&gt;&lt;/titles&gt;&lt;periodical&gt;&lt;full-title&gt;The review of politics&lt;/full-title&gt;&lt;/periodical&gt;&lt;pages&gt;251-273&lt;/pages&gt;&lt;volume&gt;49&lt;/volume&gt;&lt;number&gt;02&lt;/number&gt;&lt;dates&gt;&lt;year&gt;1987&lt;/year&gt;&lt;/dates&gt;&lt;isbn&gt;1748-6858&lt;/isbn&gt;&lt;urls&gt;&lt;/urls&gt;&lt;/record&gt;&lt;/Cite&gt;&lt;/EndNote&gt;</w:instrText>
      </w:r>
      <w:r>
        <w:rPr>
          <w:rFonts w:cs="Times New Roman"/>
        </w:rPr>
        <w:fldChar w:fldCharType="separate"/>
      </w:r>
      <w:r>
        <w:rPr>
          <w:rFonts w:cs="Times New Roman"/>
          <w:noProof/>
        </w:rPr>
        <w:t>Carens (1987)</w:t>
      </w:r>
      <w:r>
        <w:rPr>
          <w:rFonts w:cs="Times New Roman"/>
        </w:rPr>
        <w:fldChar w:fldCharType="end"/>
      </w:r>
      <w:r>
        <w:rPr>
          <w:rFonts w:cs="Times New Roman"/>
        </w:rPr>
        <w:t xml:space="preserve"> is probably one of the most important papers that posit the existence of a right to immigration. He argues that citizenship in Western societies corresponds to the feudal privileges in the </w:t>
      </w:r>
      <w:proofErr w:type="gramStart"/>
      <w:r>
        <w:rPr>
          <w:rFonts w:cs="Times New Roman"/>
        </w:rPr>
        <w:t>Middle</w:t>
      </w:r>
      <w:proofErr w:type="gramEnd"/>
      <w:r>
        <w:rPr>
          <w:rFonts w:cs="Times New Roman"/>
        </w:rPr>
        <w:t xml:space="preserve"> Ages. Developed societies experience much better social and economic conditions and, by preventing immigration, they preclude people from accessing a better life. This creates an analogous situation to class privileges in feudal societies, when lower classes were denied upward mobility.</w:t>
      </w:r>
    </w:p>
    <w:p w:rsidR="00B1640E" w:rsidRDefault="00B1640E" w:rsidP="00B1640E">
      <w:pPr>
        <w:ind w:left="360" w:firstLine="360"/>
        <w:rPr>
          <w:rFonts w:cs="Times New Roman"/>
        </w:rPr>
      </w:pPr>
      <w:r>
        <w:rPr>
          <w:rFonts w:cs="Times New Roman"/>
        </w:rPr>
        <w:t xml:space="preserve">There are two important arguments in </w:t>
      </w:r>
      <w:r>
        <w:rPr>
          <w:rFonts w:cs="Times New Roman"/>
        </w:rPr>
        <w:fldChar w:fldCharType="begin"/>
      </w:r>
      <w:r>
        <w:rPr>
          <w:rFonts w:cs="Times New Roman"/>
        </w:rPr>
        <w:instrText xml:space="preserve"> ADDIN EN.CITE &lt;EndNote&gt;&lt;Cite AuthorYear="1"&gt;&lt;Author&gt;Carens&lt;/Author&gt;&lt;Year&gt;1987&lt;/Year&gt;&lt;RecNum&gt;3&lt;/RecNum&gt;&lt;DisplayText&gt;Carens (1987)&lt;/DisplayText&gt;&lt;record&gt;&lt;rec-number&gt;3&lt;/rec-number&gt;&lt;foreign-keys&gt;&lt;key app="EN" db-id="29erx9dfkxa5pie5d2cxfa0nwdr5aa0paxs5" timestamp="1455380960"&gt;3&lt;/key&gt;&lt;/foreign-keys&gt;&lt;ref-type name="Journal Article"&gt;17&lt;/ref-type&gt;&lt;contributors&gt;&lt;authors&gt;&lt;author&gt;Carens, Joseph&lt;/author&gt;&lt;/authors&gt;&lt;/contributors&gt;&lt;titles&gt;&lt;title&gt;Aliens and citizens: the case for open borders&lt;/title&gt;&lt;secondary-title&gt;The Review of Politics&lt;/secondary-title&gt;&lt;/titles&gt;&lt;periodical&gt;&lt;full-title&gt;The review of politics&lt;/full-title&gt;&lt;/periodical&gt;&lt;pages&gt;251-273&lt;/pages&gt;&lt;volume&gt;49&lt;/volume&gt;&lt;number&gt;02&lt;/number&gt;&lt;dates&gt;&lt;year&gt;1987&lt;/year&gt;&lt;/dates&gt;&lt;isbn&gt;1748-6858&lt;/isbn&gt;&lt;urls&gt;&lt;/urls&gt;&lt;/record&gt;&lt;/Cite&gt;&lt;/EndNote&gt;</w:instrText>
      </w:r>
      <w:r>
        <w:rPr>
          <w:rFonts w:cs="Times New Roman"/>
        </w:rPr>
        <w:fldChar w:fldCharType="separate"/>
      </w:r>
      <w:r>
        <w:rPr>
          <w:rFonts w:cs="Times New Roman"/>
          <w:noProof/>
        </w:rPr>
        <w:t>Carens (1987)</w:t>
      </w:r>
      <w:r>
        <w:rPr>
          <w:rFonts w:cs="Times New Roman"/>
        </w:rPr>
        <w:fldChar w:fldCharType="end"/>
      </w:r>
      <w:r>
        <w:rPr>
          <w:rFonts w:cs="Times New Roman"/>
        </w:rPr>
        <w:t xml:space="preserve">. First, and in consonance with more libertarian approaches, </w:t>
      </w:r>
      <w:proofErr w:type="spellStart"/>
      <w:r>
        <w:rPr>
          <w:rFonts w:cs="Times New Roman"/>
        </w:rPr>
        <w:t>Carens</w:t>
      </w:r>
      <w:proofErr w:type="spellEnd"/>
      <w:r>
        <w:rPr>
          <w:rFonts w:cs="Times New Roman"/>
        </w:rPr>
        <w:t xml:space="preserve"> claims that the right of migration is not an attribute of citizenship; it is, in fact, an </w:t>
      </w:r>
      <w:r w:rsidRPr="00A1279E">
        <w:rPr>
          <w:rFonts w:cs="Times New Roman"/>
        </w:rPr>
        <w:t xml:space="preserve">intrinsic right of every human being. He strips down governments from the assumed (implicitly) permission to exclude. Citizens do not hold any additional right to exclude and to authorize their State to exclude free movement because they were not entitled to </w:t>
      </w:r>
      <w:r w:rsidRPr="00A1279E">
        <w:rPr>
          <w:rFonts w:cs="Times New Roman"/>
        </w:rPr>
        <w:lastRenderedPageBreak/>
        <w:t>this right in the first place. No one is. Every individual is placed in an equal moral position, whether they are immigrants or not</w:t>
      </w:r>
      <w:r>
        <w:rPr>
          <w:rFonts w:cs="Times New Roman"/>
        </w:rPr>
        <w:t xml:space="preserve">. His second point in support of the right to migrate is based on Rawls’ principles of justice. </w:t>
      </w:r>
      <w:r w:rsidRPr="00C5375D">
        <w:rPr>
          <w:rFonts w:cs="Times New Roman"/>
        </w:rPr>
        <w:t xml:space="preserve">Under Rawls’ original position experiment, individuals would have to agree to principles of justice to guide the social organization they were about to establish. Since no individual knows about their own social position, nor do they know about innate skills and abilities, </w:t>
      </w:r>
      <w:proofErr w:type="spellStart"/>
      <w:r>
        <w:rPr>
          <w:rFonts w:cs="Times New Roman"/>
        </w:rPr>
        <w:t>Carens</w:t>
      </w:r>
      <w:proofErr w:type="spellEnd"/>
      <w:r>
        <w:rPr>
          <w:rFonts w:cs="Times New Roman"/>
        </w:rPr>
        <w:t xml:space="preserve"> claims that </w:t>
      </w:r>
      <w:r w:rsidRPr="00C5375D">
        <w:rPr>
          <w:rFonts w:cs="Times New Roman"/>
        </w:rPr>
        <w:t>it is reasonable to assume that they would all agree to a “freedom of movement” basic liberty.</w:t>
      </w:r>
    </w:p>
    <w:p w:rsidR="00B1640E" w:rsidRDefault="00B1640E" w:rsidP="00B1640E">
      <w:pPr>
        <w:ind w:left="360" w:firstLine="360"/>
        <w:rPr>
          <w:rFonts w:cs="Times New Roman"/>
        </w:rPr>
      </w:pPr>
      <w:r>
        <w:rPr>
          <w:rFonts w:cs="Times New Roman"/>
        </w:rPr>
        <w:t>His arguments provide two avenues to analyze the right to immigration: as a human right and as a result of the social contract of political organizations. I shall focus on the former but concede the existence of the latter.</w:t>
      </w:r>
    </w:p>
    <w:p w:rsidR="00B1640E" w:rsidRDefault="00B1640E" w:rsidP="00B1640E">
      <w:pPr>
        <w:ind w:left="360" w:firstLine="360"/>
        <w:rPr>
          <w:rFonts w:cs="Times New Roman"/>
        </w:rPr>
      </w:pPr>
      <w:r>
        <w:rPr>
          <w:rFonts w:cs="Times New Roman"/>
        </w:rPr>
        <w:fldChar w:fldCharType="begin"/>
      </w:r>
      <w:r>
        <w:rPr>
          <w:rFonts w:cs="Times New Roman"/>
        </w:rPr>
        <w:instrText xml:space="preserve"> ADDIN EN.CITE &lt;EndNote&gt;&lt;Cite AuthorYear="1"&gt;&lt;Author&gt;Huemer&lt;/Author&gt;&lt;Year&gt;2010&lt;/Year&gt;&lt;RecNum&gt;62&lt;/RecNum&gt;&lt;DisplayText&gt;Huemer (2010)&lt;/DisplayText&gt;&lt;record&gt;&lt;rec-number&gt;62&lt;/rec-number&gt;&lt;foreign-keys&gt;&lt;key app="EN" db-id="29erx9dfkxa5pie5d2cxfa0nwdr5aa0paxs5" timestamp="1458767409"&gt;62&lt;/key&gt;&lt;/foreign-keys&gt;&lt;ref-type name="Journal Article"&gt;17&lt;/ref-type&gt;&lt;contributors&gt;&lt;authors&gt;&lt;author&gt;Huemer, Michael&lt;/author&gt;&lt;/authors&gt;&lt;/contributors&gt;&lt;titles&gt;&lt;title&gt;Is there a right to immigrate?&lt;/title&gt;&lt;secondary-title&gt;Social theory and practice&lt;/secondary-title&gt;&lt;/titles&gt;&lt;periodical&gt;&lt;full-title&gt;Social theory and practice&lt;/full-title&gt;&lt;/periodical&gt;&lt;pages&gt;429-461&lt;/pages&gt;&lt;volume&gt;36&lt;/volume&gt;&lt;number&gt;3&lt;/number&gt;&lt;dates&gt;&lt;year&gt;2010&lt;/year&gt;&lt;/dates&gt;&lt;isbn&gt;0037-802X&lt;/isbn&gt;&lt;urls&gt;&lt;/urls&gt;&lt;/record&gt;&lt;/Cite&gt;&lt;/EndNote&gt;</w:instrText>
      </w:r>
      <w:r>
        <w:rPr>
          <w:rFonts w:cs="Times New Roman"/>
        </w:rPr>
        <w:fldChar w:fldCharType="separate"/>
      </w:r>
      <w:r>
        <w:rPr>
          <w:rFonts w:cs="Times New Roman"/>
          <w:noProof/>
        </w:rPr>
        <w:t>Huemer (2010)</w:t>
      </w:r>
      <w:r>
        <w:rPr>
          <w:rFonts w:cs="Times New Roman"/>
        </w:rPr>
        <w:fldChar w:fldCharType="end"/>
      </w:r>
      <w:r>
        <w:rPr>
          <w:rFonts w:cs="Times New Roman"/>
        </w:rPr>
        <w:t xml:space="preserve"> is a good account in support of the right to immigration. In his illustrative case, </w:t>
      </w:r>
      <w:proofErr w:type="spellStart"/>
      <w:r>
        <w:rPr>
          <w:rFonts w:cs="Times New Roman"/>
        </w:rPr>
        <w:t>Huemer</w:t>
      </w:r>
      <w:proofErr w:type="spellEnd"/>
      <w:r>
        <w:rPr>
          <w:rFonts w:cs="Times New Roman"/>
        </w:rPr>
        <w:t xml:space="preserve"> describes a situation where one person (Sam) is directly responsible for someone else’s death (Marvin) by actively preventing the latter from buying bread at a grocery store. Sam’s coercive action imposes harm on Marvin and is a clear violation to Marvin’s right to life</w:t>
      </w:r>
      <w:r>
        <w:rPr>
          <w:rStyle w:val="FootnoteReference"/>
          <w:rFonts w:cs="Times New Roman"/>
        </w:rPr>
        <w:footnoteReference w:id="1"/>
      </w:r>
      <w:r>
        <w:rPr>
          <w:rFonts w:cs="Times New Roman"/>
        </w:rPr>
        <w:t xml:space="preserve">. In a similar fashion, if a State imposes restrictions to entry on people who would have access to life-saving conditions by accessing the State’s territory, this State is actively violating the right to life of its potential immigrants. </w:t>
      </w:r>
    </w:p>
    <w:p w:rsidR="00B1640E" w:rsidRDefault="00B1640E" w:rsidP="00B1640E">
      <w:pPr>
        <w:ind w:left="360" w:firstLine="360"/>
        <w:rPr>
          <w:rFonts w:cs="Times New Roman"/>
        </w:rPr>
      </w:pPr>
      <w:r>
        <w:rPr>
          <w:rFonts w:cs="Times New Roman"/>
        </w:rPr>
        <w:t xml:space="preserve">But we need not to restrict ourselves to the single case where Sam actively harms Marvin. Suppose the same conditions described in </w:t>
      </w:r>
      <w:r>
        <w:rPr>
          <w:rFonts w:cs="Times New Roman"/>
        </w:rPr>
        <w:fldChar w:fldCharType="begin"/>
      </w:r>
      <w:r>
        <w:rPr>
          <w:rFonts w:cs="Times New Roman"/>
        </w:rPr>
        <w:instrText xml:space="preserve"> ADDIN EN.CITE &lt;EndNote&gt;&lt;Cite AuthorYear="1"&gt;&lt;Author&gt;Huemer&lt;/Author&gt;&lt;Year&gt;2010&lt;/Year&gt;&lt;RecNum&gt;62&lt;/RecNum&gt;&lt;DisplayText&gt;Huemer (2010)&lt;/DisplayText&gt;&lt;record&gt;&lt;rec-number&gt;62&lt;/rec-number&gt;&lt;foreign-keys&gt;&lt;key app="EN" db-id="29erx9dfkxa5pie5d2cxfa0nwdr5aa0paxs5" timestamp="1458767409"&gt;62&lt;/key&gt;&lt;/foreign-keys&gt;&lt;ref-type name="Journal Article"&gt;17&lt;/ref-type&gt;&lt;contributors&gt;&lt;authors&gt;&lt;author&gt;Huemer, Michael&lt;/author&gt;&lt;/authors&gt;&lt;/contributors&gt;&lt;titles&gt;&lt;title&gt;Is there a right to immigrate?&lt;/title&gt;&lt;secondary-title&gt;Social theory and practice&lt;/secondary-title&gt;&lt;/titles&gt;&lt;periodical&gt;&lt;full-title&gt;Social theory and practice&lt;/full-title&gt;&lt;/periodical&gt;&lt;pages&gt;429-461&lt;/pages&gt;&lt;volume&gt;36&lt;/volume&gt;&lt;number&gt;3&lt;/number&gt;&lt;dates&gt;&lt;year&gt;2010&lt;/year&gt;&lt;/dates&gt;&lt;isbn&gt;0037-802X&lt;/isbn&gt;&lt;urls&gt;&lt;/urls&gt;&lt;/record&gt;&lt;/Cite&gt;&lt;/EndNote&gt;</w:instrText>
      </w:r>
      <w:r>
        <w:rPr>
          <w:rFonts w:cs="Times New Roman"/>
        </w:rPr>
        <w:fldChar w:fldCharType="separate"/>
      </w:r>
      <w:r>
        <w:rPr>
          <w:rFonts w:cs="Times New Roman"/>
          <w:noProof/>
        </w:rPr>
        <w:t>Huemer (2010)</w:t>
      </w:r>
      <w:r>
        <w:rPr>
          <w:rFonts w:cs="Times New Roman"/>
        </w:rPr>
        <w:fldChar w:fldCharType="end"/>
      </w:r>
      <w:r>
        <w:rPr>
          <w:rFonts w:cs="Times New Roman"/>
        </w:rPr>
        <w:t xml:space="preserve"> hold, i.e., Marvin has a plan to avoid starvation and Sam anticipates what the plan is. Does Sam have the duty to tell Marvin where the marketplace is? If Marvin does not know where the grocery store is, he will not be able to carry out his plan and will starve to death. This is the classic moral controversy of </w:t>
      </w:r>
      <w:r w:rsidRPr="00B666A4">
        <w:rPr>
          <w:rFonts w:cs="Times New Roman"/>
          <w:i/>
        </w:rPr>
        <w:t>doing harm</w:t>
      </w:r>
      <w:r>
        <w:rPr>
          <w:rFonts w:cs="Times New Roman"/>
        </w:rPr>
        <w:t xml:space="preserve"> (effectively preventing Marvin from purchasing food) and </w:t>
      </w:r>
      <w:r w:rsidRPr="00B666A4">
        <w:rPr>
          <w:rFonts w:cs="Times New Roman"/>
          <w:i/>
        </w:rPr>
        <w:t>allowing harm</w:t>
      </w:r>
      <w:r>
        <w:rPr>
          <w:rFonts w:cs="Times New Roman"/>
        </w:rPr>
        <w:t xml:space="preserve"> (not telling Marvin where the marketplace is). If one equates allowing to doing harm, then it is clear that Sam has a duty to help Marvin. In this scenario, migrants hold a claim on States to support immigration so as to guarantee individuals’ human rights. It does not matter if migrants are citizens of another State as the right to migration, recognized as a human right, precedes the existence of Nation-states and is binding to all States against every individual.</w:t>
      </w:r>
    </w:p>
    <w:p w:rsidR="00B1640E" w:rsidRDefault="00B1640E" w:rsidP="00B1640E">
      <w:pPr>
        <w:ind w:left="360" w:firstLine="360"/>
        <w:rPr>
          <w:rFonts w:cs="Times New Roman"/>
        </w:rPr>
      </w:pPr>
      <w:r>
        <w:rPr>
          <w:rFonts w:cs="Times New Roman"/>
        </w:rPr>
        <w:t xml:space="preserve">What if the one believes that </w:t>
      </w:r>
      <w:r w:rsidRPr="000F1910">
        <w:rPr>
          <w:rFonts w:cs="Times New Roman"/>
        </w:rPr>
        <w:t xml:space="preserve">allowing harm </w:t>
      </w:r>
      <w:r>
        <w:rPr>
          <w:rFonts w:cs="Times New Roman"/>
        </w:rPr>
        <w:t xml:space="preserve">is less wrong than doing harm? I grant that it becomes unclear whether Sam has a duty to help Marvin with the information provided by </w:t>
      </w:r>
      <w:proofErr w:type="spellStart"/>
      <w:r>
        <w:rPr>
          <w:rFonts w:cs="Times New Roman"/>
        </w:rPr>
        <w:t>Huemer</w:t>
      </w:r>
      <w:proofErr w:type="spellEnd"/>
      <w:r>
        <w:rPr>
          <w:rFonts w:cs="Times New Roman"/>
        </w:rPr>
        <w:t>. However, in the concrete case of immigration, an overwhelming amount of evidence provides additional information about Sam and the marketplace. We know that the grocery store will benefit from Marvin’s presence. For starters, the additional bread sale increases the shop’s profit. Marvin is likely to motivate other consumers to make better consumption choices; he does not engage in shoplifting any more than current customers. Sam, whose mission is to promote the interests of the shop, thus has to help Marvin because this is an integral part of his mission. If he refuses to tell Marvin where the shop is, he is effectively going against his own duty to help the marketplace succeed. In our State analogy, if it is clear that (1) the right to migration is a human right and (2) governments ought to act in the best interest of their citizens, and (3) immigration promotes (1) and (2), it is straightforward that individuals hold a claim against States to promote immigration.</w:t>
      </w:r>
    </w:p>
    <w:p w:rsidR="00B1640E" w:rsidRDefault="00B1640E" w:rsidP="00B1640E">
      <w:pPr>
        <w:ind w:left="360" w:firstLine="360"/>
        <w:rPr>
          <w:rFonts w:cs="Times New Roman"/>
        </w:rPr>
      </w:pPr>
      <w:r>
        <w:rPr>
          <w:rFonts w:cs="Times New Roman"/>
        </w:rPr>
        <w:t xml:space="preserve">An additional support is provided by </w:t>
      </w:r>
      <w:r>
        <w:rPr>
          <w:rFonts w:cs="Times New Roman"/>
        </w:rPr>
        <w:fldChar w:fldCharType="begin"/>
      </w:r>
      <w:r>
        <w:rPr>
          <w:rFonts w:cs="Times New Roman"/>
        </w:rPr>
        <w:instrText xml:space="preserve"> ADDIN EN.CITE &lt;EndNote&gt;&lt;Cite AuthorYear="1"&gt;&lt;Author&gt;Oberman&lt;/Author&gt;&lt;Year&gt;forthcoming&lt;/Year&gt;&lt;RecNum&gt;61&lt;/RecNum&gt;&lt;DisplayText&gt;Oberman (forthcoming)&lt;/DisplayText&gt;&lt;record&gt;&lt;rec-number&gt;61&lt;/rec-number&gt;&lt;foreign-keys&gt;&lt;key app="EN" db-id="29erx9dfkxa5pie5d2cxfa0nwdr5aa0paxs5" timestamp="1458754156"&gt;61&lt;/key&gt;&lt;/foreign-keys&gt;&lt;ref-type name="Book Section"&gt;5&lt;/ref-type&gt;&lt;contributors&gt;&lt;authors&gt;&lt;author&gt;Oberman, Kieran&lt;/author&gt;&lt;/authors&gt;&lt;secondary-authors&gt;&lt;author&gt;Sarah Fine and Lea Ypi&lt;/author&gt;&lt;/secondary-authors&gt;&lt;/contributors&gt;&lt;titles&gt;&lt;title&gt;Immigration as a Human Right&lt;/title&gt;&lt;secondary-title&gt;Migration in Political Theory: The Ethics of Movement and Membership&lt;/secondary-title&gt;&lt;/titles&gt;&lt;periodical&gt;&lt;full-title&gt;Migration in Political Theory: The Ethics of Movement and Membership&lt;/full-title&gt;&lt;/periodical&gt;&lt;dates&gt;&lt;year&gt;forthcoming&lt;/year&gt;&lt;/dates&gt;&lt;pub-location&gt;Oxford&lt;/pub-location&gt;&lt;publisher&gt;Oxford University Press&lt;/publisher&gt;&lt;urls&gt;&lt;/urls&gt;&lt;/record&gt;&lt;/Cite&gt;&lt;/EndNote&gt;</w:instrText>
      </w:r>
      <w:r>
        <w:rPr>
          <w:rFonts w:cs="Times New Roman"/>
        </w:rPr>
        <w:fldChar w:fldCharType="separate"/>
      </w:r>
      <w:r>
        <w:rPr>
          <w:rFonts w:cs="Times New Roman"/>
          <w:noProof/>
        </w:rPr>
        <w:t>Oberman (</w:t>
      </w:r>
      <w:r w:rsidRPr="0012601F">
        <w:rPr>
          <w:rFonts w:cs="Times New Roman"/>
          <w:i/>
          <w:noProof/>
        </w:rPr>
        <w:t>forthcoming</w:t>
      </w:r>
      <w:r>
        <w:rPr>
          <w:rFonts w:cs="Times New Roman"/>
          <w:noProof/>
        </w:rPr>
        <w:t>)</w:t>
      </w:r>
      <w:r>
        <w:rPr>
          <w:rFonts w:cs="Times New Roman"/>
        </w:rPr>
        <w:fldChar w:fldCharType="end"/>
      </w:r>
      <w:r>
        <w:rPr>
          <w:rFonts w:cs="Times New Roman"/>
        </w:rPr>
        <w:t>. Even though he concedes that human rights are not absolute and restrictions are acceptable under severe social costs that cannot be prevented otherwise, his defense of immigration is based on the fact that it is a basic liberty and as such should receive equal treatment to other liberties (to move, to associate, to speak, etc.).</w:t>
      </w:r>
    </w:p>
    <w:p w:rsidR="00B1640E" w:rsidRPr="0043227E" w:rsidRDefault="00B1640E" w:rsidP="00B1640E">
      <w:pPr>
        <w:pStyle w:val="Heading2"/>
        <w:numPr>
          <w:ilvl w:val="1"/>
          <w:numId w:val="1"/>
        </w:numPr>
        <w:rPr>
          <w:rFonts w:cs="Times New Roman"/>
        </w:rPr>
      </w:pPr>
      <w:bookmarkStart w:id="4" w:name="_Toc321322042"/>
      <w:r w:rsidRPr="0043227E">
        <w:rPr>
          <w:rFonts w:cs="Times New Roman"/>
          <w:szCs w:val="24"/>
        </w:rPr>
        <w:t>Immigration market and open-borders regimes</w:t>
      </w:r>
      <w:bookmarkEnd w:id="4"/>
    </w:p>
    <w:p w:rsidR="00B1640E" w:rsidRPr="00B347CD" w:rsidRDefault="00B1640E" w:rsidP="00B1640E">
      <w:pPr>
        <w:ind w:left="360" w:firstLine="360"/>
        <w:rPr>
          <w:rFonts w:cs="Times New Roman"/>
        </w:rPr>
      </w:pPr>
      <w:r w:rsidRPr="00B347CD">
        <w:rPr>
          <w:rFonts w:cs="Times New Roman"/>
        </w:rPr>
        <w:t xml:space="preserve">The appeal of an immigration right market is extremely high because it is compatible with both closed and open-borders </w:t>
      </w:r>
      <w:commentRangeStart w:id="5"/>
      <w:r w:rsidRPr="00B347CD">
        <w:rPr>
          <w:rFonts w:cs="Times New Roman"/>
        </w:rPr>
        <w:t>regimes</w:t>
      </w:r>
      <w:commentRangeEnd w:id="5"/>
      <w:r>
        <w:rPr>
          <w:rStyle w:val="CommentReference"/>
        </w:rPr>
        <w:commentReference w:id="5"/>
      </w:r>
      <w:r w:rsidRPr="00B347CD">
        <w:rPr>
          <w:rFonts w:cs="Times New Roman"/>
        </w:rPr>
        <w:t xml:space="preserve">. The more a government charges in immigration rights, the more they move to a </w:t>
      </w:r>
      <w:r w:rsidRPr="00B347CD">
        <w:rPr>
          <w:rFonts w:cs="Times New Roman"/>
          <w:i/>
        </w:rPr>
        <w:t>de facto</w:t>
      </w:r>
      <w:r w:rsidRPr="00B347CD">
        <w:rPr>
          <w:rFonts w:cs="Times New Roman"/>
        </w:rPr>
        <w:t xml:space="preserve"> closed-borders regime. If prices vary with age, skills, primary nationality, and so on, States effectively exert their right to exclude by prioritizing whom they want to admit. At extremely high prices, it is reasonable to assume that no one would migrate. On the other hand, if governments decide to price immigration low, then they are imposing little to no restriction on who should be allowed entry.</w:t>
      </w:r>
    </w:p>
    <w:p w:rsidR="00B1640E" w:rsidRDefault="00B1640E"/>
    <w:sectPr w:rsidR="00B1640E" w:rsidSect="000C4DA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ckay, Douglas Paul" w:date="2016-04-03T17:43:00Z" w:initials="MDP">
    <w:p w:rsidR="00B1640E" w:rsidRDefault="00B1640E" w:rsidP="00B1640E">
      <w:pPr>
        <w:pStyle w:val="CommentText"/>
      </w:pPr>
      <w:r>
        <w:rPr>
          <w:rStyle w:val="CommentReference"/>
        </w:rPr>
        <w:annotationRef/>
      </w:r>
      <w:r>
        <w:t>It’s not clear how it’s consistent with open borders. If I have a right to move, why think that governments can impose a cost on my exercise of that right?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40E" w:rsidRDefault="00B1640E" w:rsidP="00B1640E">
      <w:r>
        <w:separator/>
      </w:r>
    </w:p>
  </w:endnote>
  <w:endnote w:type="continuationSeparator" w:id="0">
    <w:p w:rsidR="00B1640E" w:rsidRDefault="00B1640E" w:rsidP="00B1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40E" w:rsidRDefault="00B1640E" w:rsidP="00B1640E">
      <w:r>
        <w:separator/>
      </w:r>
    </w:p>
  </w:footnote>
  <w:footnote w:type="continuationSeparator" w:id="0">
    <w:p w:rsidR="00B1640E" w:rsidRDefault="00B1640E" w:rsidP="00B1640E">
      <w:r>
        <w:continuationSeparator/>
      </w:r>
    </w:p>
  </w:footnote>
  <w:footnote w:id="1">
    <w:p w:rsidR="00B1640E" w:rsidRPr="000B3A61" w:rsidRDefault="00B1640E" w:rsidP="00B1640E">
      <w:pPr>
        <w:pStyle w:val="FootnoteText"/>
        <w:rPr>
          <w:szCs w:val="20"/>
        </w:rPr>
      </w:pPr>
      <w:r w:rsidRPr="000B3A61">
        <w:rPr>
          <w:rStyle w:val="FootnoteReference"/>
          <w:szCs w:val="20"/>
        </w:rPr>
        <w:footnoteRef/>
      </w:r>
      <w:r w:rsidRPr="000B3A61">
        <w:rPr>
          <w:szCs w:val="20"/>
        </w:rPr>
        <w:t xml:space="preserve"> Even if Marvin does not die, </w:t>
      </w:r>
      <w:proofErr w:type="spellStart"/>
      <w:r w:rsidRPr="000B3A61">
        <w:rPr>
          <w:szCs w:val="20"/>
        </w:rPr>
        <w:t>Huemer</w:t>
      </w:r>
      <w:proofErr w:type="spellEnd"/>
      <w:r w:rsidRPr="000B3A61">
        <w:rPr>
          <w:szCs w:val="20"/>
        </w:rPr>
        <w:t xml:space="preserve"> (2010) makes the case that Sam’s action is still a violation of Marvin’s right to life.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E1B39"/>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40E"/>
    <w:rsid w:val="000C4DA9"/>
    <w:rsid w:val="00B1640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96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640E"/>
    <w:pPr>
      <w:keepNext/>
      <w:keepLines/>
      <w:spacing w:before="480"/>
      <w:jc w:val="both"/>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B1640E"/>
    <w:pPr>
      <w:keepNext/>
      <w:keepLines/>
      <w:spacing w:before="200"/>
      <w:jc w:val="both"/>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40E"/>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B1640E"/>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1640E"/>
    <w:pPr>
      <w:jc w:val="both"/>
    </w:pPr>
    <w:rPr>
      <w:rFonts w:ascii="Times New Roman" w:hAnsi="Times New Roman"/>
      <w:sz w:val="20"/>
    </w:rPr>
  </w:style>
  <w:style w:type="character" w:customStyle="1" w:styleId="FootnoteTextChar">
    <w:name w:val="Footnote Text Char"/>
    <w:basedOn w:val="DefaultParagraphFont"/>
    <w:link w:val="FootnoteText"/>
    <w:uiPriority w:val="99"/>
    <w:rsid w:val="00B1640E"/>
    <w:rPr>
      <w:rFonts w:ascii="Times New Roman" w:hAnsi="Times New Roman"/>
      <w:sz w:val="20"/>
      <w:lang w:val="en-US"/>
    </w:rPr>
  </w:style>
  <w:style w:type="character" w:styleId="FootnoteReference">
    <w:name w:val="footnote reference"/>
    <w:basedOn w:val="DefaultParagraphFont"/>
    <w:uiPriority w:val="99"/>
    <w:unhideWhenUsed/>
    <w:rsid w:val="00B1640E"/>
    <w:rPr>
      <w:rFonts w:ascii="Times New Roman" w:hAnsi="Times New Roman"/>
      <w:vertAlign w:val="superscript"/>
    </w:rPr>
  </w:style>
  <w:style w:type="character" w:styleId="CommentReference">
    <w:name w:val="annotation reference"/>
    <w:basedOn w:val="DefaultParagraphFont"/>
    <w:rsid w:val="00B1640E"/>
    <w:rPr>
      <w:sz w:val="16"/>
      <w:szCs w:val="16"/>
    </w:rPr>
  </w:style>
  <w:style w:type="paragraph" w:styleId="CommentText">
    <w:name w:val="annotation text"/>
    <w:basedOn w:val="Normal"/>
    <w:link w:val="CommentTextChar"/>
    <w:uiPriority w:val="99"/>
    <w:semiHidden/>
    <w:unhideWhenUsed/>
    <w:rsid w:val="00B1640E"/>
    <w:pPr>
      <w:jc w:val="both"/>
    </w:pPr>
    <w:rPr>
      <w:rFonts w:ascii="Times New Roman" w:hAnsi="Times New Roman"/>
    </w:rPr>
  </w:style>
  <w:style w:type="character" w:customStyle="1" w:styleId="CommentTextChar">
    <w:name w:val="Comment Text Char"/>
    <w:basedOn w:val="DefaultParagraphFont"/>
    <w:link w:val="CommentText"/>
    <w:uiPriority w:val="99"/>
    <w:semiHidden/>
    <w:rsid w:val="00B1640E"/>
    <w:rPr>
      <w:rFonts w:ascii="Times New Roman" w:hAnsi="Times New Roman"/>
      <w:lang w:val="en-US"/>
    </w:rPr>
  </w:style>
  <w:style w:type="paragraph" w:styleId="BalloonText">
    <w:name w:val="Balloon Text"/>
    <w:basedOn w:val="Normal"/>
    <w:link w:val="BalloonTextChar"/>
    <w:uiPriority w:val="99"/>
    <w:semiHidden/>
    <w:unhideWhenUsed/>
    <w:rsid w:val="00B164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40E"/>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640E"/>
    <w:pPr>
      <w:keepNext/>
      <w:keepLines/>
      <w:spacing w:before="480"/>
      <w:jc w:val="both"/>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B1640E"/>
    <w:pPr>
      <w:keepNext/>
      <w:keepLines/>
      <w:spacing w:before="200"/>
      <w:jc w:val="both"/>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40E"/>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B1640E"/>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1640E"/>
    <w:pPr>
      <w:jc w:val="both"/>
    </w:pPr>
    <w:rPr>
      <w:rFonts w:ascii="Times New Roman" w:hAnsi="Times New Roman"/>
      <w:sz w:val="20"/>
    </w:rPr>
  </w:style>
  <w:style w:type="character" w:customStyle="1" w:styleId="FootnoteTextChar">
    <w:name w:val="Footnote Text Char"/>
    <w:basedOn w:val="DefaultParagraphFont"/>
    <w:link w:val="FootnoteText"/>
    <w:uiPriority w:val="99"/>
    <w:rsid w:val="00B1640E"/>
    <w:rPr>
      <w:rFonts w:ascii="Times New Roman" w:hAnsi="Times New Roman"/>
      <w:sz w:val="20"/>
      <w:lang w:val="en-US"/>
    </w:rPr>
  </w:style>
  <w:style w:type="character" w:styleId="FootnoteReference">
    <w:name w:val="footnote reference"/>
    <w:basedOn w:val="DefaultParagraphFont"/>
    <w:uiPriority w:val="99"/>
    <w:unhideWhenUsed/>
    <w:rsid w:val="00B1640E"/>
    <w:rPr>
      <w:rFonts w:ascii="Times New Roman" w:hAnsi="Times New Roman"/>
      <w:vertAlign w:val="superscript"/>
    </w:rPr>
  </w:style>
  <w:style w:type="character" w:styleId="CommentReference">
    <w:name w:val="annotation reference"/>
    <w:basedOn w:val="DefaultParagraphFont"/>
    <w:rsid w:val="00B1640E"/>
    <w:rPr>
      <w:sz w:val="16"/>
      <w:szCs w:val="16"/>
    </w:rPr>
  </w:style>
  <w:style w:type="paragraph" w:styleId="CommentText">
    <w:name w:val="annotation text"/>
    <w:basedOn w:val="Normal"/>
    <w:link w:val="CommentTextChar"/>
    <w:uiPriority w:val="99"/>
    <w:semiHidden/>
    <w:unhideWhenUsed/>
    <w:rsid w:val="00B1640E"/>
    <w:pPr>
      <w:jc w:val="both"/>
    </w:pPr>
    <w:rPr>
      <w:rFonts w:ascii="Times New Roman" w:hAnsi="Times New Roman"/>
    </w:rPr>
  </w:style>
  <w:style w:type="character" w:customStyle="1" w:styleId="CommentTextChar">
    <w:name w:val="Comment Text Char"/>
    <w:basedOn w:val="DefaultParagraphFont"/>
    <w:link w:val="CommentText"/>
    <w:uiPriority w:val="99"/>
    <w:semiHidden/>
    <w:rsid w:val="00B1640E"/>
    <w:rPr>
      <w:rFonts w:ascii="Times New Roman" w:hAnsi="Times New Roman"/>
      <w:lang w:val="en-US"/>
    </w:rPr>
  </w:style>
  <w:style w:type="paragraph" w:styleId="BalloonText">
    <w:name w:val="Balloon Text"/>
    <w:basedOn w:val="Normal"/>
    <w:link w:val="BalloonTextChar"/>
    <w:uiPriority w:val="99"/>
    <w:semiHidden/>
    <w:unhideWhenUsed/>
    <w:rsid w:val="00B164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40E"/>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2193</Words>
  <Characters>12502</Characters>
  <Application>Microsoft Macintosh Word</Application>
  <DocSecurity>0</DocSecurity>
  <Lines>104</Lines>
  <Paragraphs>29</Paragraphs>
  <ScaleCrop>false</ScaleCrop>
  <Company>Escola</Company>
  <LinksUpToDate>false</LinksUpToDate>
  <CharactersWithSpaces>14666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Assumpção</dc:creator>
  <cp:keywords/>
  <dc:description/>
  <cp:lastModifiedBy>André Assumpção</cp:lastModifiedBy>
  <cp:revision>1</cp:revision>
  <dcterms:created xsi:type="dcterms:W3CDTF">2016-04-03T21:43:00Z</dcterms:created>
  <dcterms:modified xsi:type="dcterms:W3CDTF">2016-04-03T21:44:00Z</dcterms:modified>
</cp:coreProperties>
</file>