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Temporary</w:t>
      </w:r>
      <w:r>
        <w:t xml:space="preserve"> </w:t>
      </w:r>
      <w:r>
        <w:t xml:space="preserve">Citizenship</w:t>
      </w:r>
      <w:r>
        <w:t xml:space="preserve"> </w:t>
      </w:r>
      <w:r>
        <w:t xml:space="preserve">Markets:</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p>
    <w:p>
      <w:pPr>
        <w:pStyle w:val="Author"/>
      </w:pPr>
      <w:r>
        <w:t xml:space="preserve">Andre</w:t>
      </w:r>
      <w:r>
        <w:t xml:space="preserve"> </w:t>
      </w:r>
      <w:r>
        <w:t xml:space="preserve">Assumpcao</w:t>
      </w:r>
    </w:p>
    <w:p>
      <w:pPr>
        <w:pStyle w:val="Date"/>
      </w:pPr>
      <w:r>
        <w:t xml:space="preserve">Dec</w:t>
      </w:r>
      <w:r>
        <w:t xml:space="preserve"> </w:t>
      </w:r>
      <w:r>
        <w:t xml:space="preserve">31,</w:t>
      </w:r>
      <w:r>
        <w:t xml:space="preserve"> </w:t>
      </w:r>
      <w:r>
        <w:t xml:space="preserve">2018</w:t>
      </w:r>
    </w:p>
    <w:p>
      <w:pPr>
        <w:pStyle w:val="Compact"/>
        <w:pStyle w:val="Abstract"/>
      </w:pPr>
      <w:r>
        <w:t xml:space="preserve">TBU.</w:t>
      </w:r>
    </w:p>
    <w:p>
      <w:pPr>
        <w:pStyle w:val="Heading1"/>
      </w:pPr>
      <w:bookmarkStart w:id="20" w:name="introduction"/>
      <w:r>
        <w:t xml:space="preserve">Introduction</w:t>
      </w:r>
      <w:bookmarkEnd w:id="20"/>
    </w:p>
    <w:p>
      <w:pPr>
        <w:pStyle w:val="FirstParagraph"/>
      </w:pPr>
      <w:r>
        <w:t xml:space="preserve">Suppose the NFL Commissioner decides to distribute Super Bowl tickets under a rules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pPr>
        <w:pStyle w:val="BodyText"/>
      </w:pPr>
      <w:r>
        <w:t xml:space="preserve">Alternatively, suppose now the U.S. Citizenship and Immigration Services (USCIS) Director decides to distribute visas under a price system. The USCIS publishes a schedule of visas and their respective prices, applicants review visa conditions, and submit forms and the visa fee to the USCIS. Unless there are red flags with one’s application, the USCIS approves the candidate’s application and they are allowed into the United States. You are also likely to oppose this proposal, fearing that ill-intended individuals will apply and that this policy discriminates against poor people who cannot afford visa prices.</w:t>
      </w:r>
    </w:p>
    <w:sectPr w:rsidR="00136EF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D20C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A232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76BA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6637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D201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E63D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366B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2A9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BE79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E6C5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B1D26"/>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FB1D26"/>
    <w:pPr>
      <w:keepNext/>
      <w:keepLines/>
      <w:spacing w:before="200" w:after="0"/>
      <w:outlineLvl w:val="1"/>
    </w:pPr>
    <w:rPr>
      <w:rFonts w:ascii="Times" w:eastAsiaTheme="majorEastAsia" w:hAnsi="Times" w:cstheme="majorBidi"/>
      <w:b/>
      <w:bCs/>
      <w:sz w:val="32"/>
      <w:szCs w:val="32"/>
    </w:rPr>
  </w:style>
  <w:style w:type="paragraph" w:styleId="Heading3">
    <w:name w:val="heading 3"/>
    <w:basedOn w:val="Normal"/>
    <w:next w:val="BodyText"/>
    <w:uiPriority w:val="9"/>
    <w:unhideWhenUsed/>
    <w:qFormat/>
    <w:rsid w:val="00FB1D26"/>
    <w:pPr>
      <w:keepNext/>
      <w:keepLines/>
      <w:spacing w:before="200" w:after="0"/>
      <w:outlineLvl w:val="2"/>
    </w:pPr>
    <w:rPr>
      <w:rFonts w:ascii="Times" w:eastAsiaTheme="majorEastAsia" w:hAnsi="Times" w:cstheme="majorBidi"/>
      <w:b/>
      <w:bCs/>
      <w:sz w:val="28"/>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Pr>
      <w:rFonts w:ascii="Times" w:hAnsi="Times"/>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semiHidden/>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semiHidden/>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Citizenship Markets: A Radical And Fair Solution to Immigration</dc:title>
  <dc:creator>Andre Assumpcao</dc:creator>
  <cp:keywords/>
  <dcterms:created xsi:type="dcterms:W3CDTF">2018-12-27T17:38:59Z</dcterms:created>
  <dcterms:modified xsi:type="dcterms:W3CDTF">2018-12-27T17:38:59Z</dcterms:modified>
</cp:coreProperties>
</file>