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2"/>
        </w:rPr>
        <w:t>Geldium Delinquency Risk</w:t>
        <w:br/>
        <w:t>Stakeholder Report</w:t>
      </w:r>
    </w:p>
    <w:p>
      <w:pPr>
        <w:jc w:val="center"/>
      </w:pPr>
      <w:r>
        <w:rPr>
          <w:i/>
        </w:rPr>
        <w:t>Predictive insights, SMART intervention recommendation, and responsible AI considerations</w:t>
      </w:r>
    </w:p>
    <w:p>
      <w:pPr>
        <w:pStyle w:val="Heading1"/>
      </w:pPr>
      <w:r>
        <w:t>1. Summary of predictive insights</w:t>
      </w:r>
    </w:p>
    <w:p>
      <w:r>
        <w:t>The EDA identified 500 customer records, with 80 (16.0%) marked as delinquent. The strongest practical risk signals should be treated as a combination of repayment behavior and financial pressure rather than as standalone rules. Because the current analysis is exploratory and the proposed logistic-regression model has not yet been trained and validated, these findings indicate priority risk factors—not proven causal drivers.</w:t>
      </w:r>
    </w:p>
    <w:p>
      <w:pPr>
        <w:pStyle w:val="Heading2"/>
      </w:pPr>
      <w:r>
        <w:t>Top 3 Risk Factors</w:t>
      </w:r>
    </w:p>
    <w:p>
      <w:pPr>
        <w:pStyle w:val="ListBullet"/>
        <w:spacing w:after="30"/>
      </w:pPr>
      <w:r>
        <w:t>Repeated missed payments — `Missed_Payments` and the six monthly payment-status fields provide the clearest behavioral warning signal; customers with repeated missed/late payments should receive earlier review.</w:t>
      </w:r>
    </w:p>
    <w:p>
      <w:pPr>
        <w:pStyle w:val="ListBullet"/>
        <w:spacing w:after="30"/>
      </w:pPr>
      <w:r>
        <w:t>High debt burden — `Debt_to_Income_Ratio` above 40% is a useful stress segment: 74 customers fall above this threshold and their observed delinquency rate is 18.9%, compared with 16.0% overall.</w:t>
      </w:r>
    </w:p>
    <w:p>
      <w:pPr>
        <w:pStyle w:val="ListBullet"/>
        <w:spacing w:after="30"/>
      </w:pPr>
      <w:r>
        <w:t>High credit utilization — `Credit_Utilization` above 80% is a plausible financial-stress indicator; 33 customers fall into this segment. The four observations above 100% should be validated before being used for decisions.</w:t>
      </w:r>
    </w:p>
    <w:p>
      <w:pPr>
        <w:pStyle w:val="Heading2"/>
      </w:pPr>
      <w:r>
        <w:t>Risk segments to prioritize</w:t>
      </w:r>
    </w:p>
    <w:tbl>
      <w:tblPr>
        <w:tblStyle w:val="TableGrid"/>
        <w:tblW w:type="auto" w:w="0"/>
        <w:jc w:val="center"/>
        <w:tblLook w:firstColumn="1" w:firstRow="1" w:lastColumn="0" w:lastRow="0" w:noHBand="0" w:noVBand="1" w:val="04A0"/>
      </w:tblPr>
      <w:tblGrid>
        <w:gridCol w:w="3456"/>
        <w:gridCol w:w="3456"/>
        <w:gridCol w:w="3456"/>
      </w:tblGrid>
      <w:tr>
        <w:tc>
          <w:tcPr>
            <w:tcW w:type="dxa" w:w="3456"/>
            <w:shd w:fill="E8EEF7"/>
          </w:tcPr>
          <w:p>
            <w:r>
              <w:rPr>
                <w:b/>
                <w:sz w:val="16"/>
              </w:rPr>
              <w:t>Segment</w:t>
            </w:r>
          </w:p>
        </w:tc>
        <w:tc>
          <w:tcPr>
            <w:tcW w:type="dxa" w:w="3456"/>
            <w:shd w:fill="E8EEF7"/>
          </w:tcPr>
          <w:p>
            <w:r>
              <w:rPr>
                <w:b/>
                <w:sz w:val="16"/>
              </w:rPr>
              <w:t>Customers</w:t>
            </w:r>
          </w:p>
        </w:tc>
        <w:tc>
          <w:tcPr>
            <w:tcW w:type="dxa" w:w="3456"/>
            <w:shd w:fill="E8EEF7"/>
          </w:tcPr>
          <w:p>
            <w:r>
              <w:rPr>
                <w:b/>
                <w:sz w:val="16"/>
              </w:rPr>
              <w:t>Observed delinquency rate</w:t>
            </w:r>
          </w:p>
        </w:tc>
      </w:tr>
      <w:tr>
        <w:tc>
          <w:tcPr>
            <w:tcW w:type="dxa" w:w="3456"/>
            <w:vAlign w:val="center"/>
          </w:tcPr>
          <w:p>
            <w:r>
              <w:rPr>
                <w:sz w:val="15"/>
              </w:rPr>
              <w:t>DTI &gt; 40%</w:t>
            </w:r>
          </w:p>
        </w:tc>
        <w:tc>
          <w:tcPr>
            <w:tcW w:type="dxa" w:w="3456"/>
            <w:vAlign w:val="center"/>
          </w:tcPr>
          <w:p>
            <w:r>
              <w:rPr>
                <w:sz w:val="15"/>
              </w:rPr>
              <w:t>74</w:t>
            </w:r>
          </w:p>
        </w:tc>
        <w:tc>
          <w:tcPr>
            <w:tcW w:type="dxa" w:w="3456"/>
            <w:vAlign w:val="center"/>
          </w:tcPr>
          <w:p>
            <w:r>
              <w:rPr>
                <w:sz w:val="15"/>
              </w:rPr>
              <w:t>18.9%</w:t>
            </w:r>
          </w:p>
        </w:tc>
      </w:tr>
      <w:tr>
        <w:tc>
          <w:tcPr>
            <w:tcW w:type="dxa" w:w="3456"/>
            <w:vAlign w:val="center"/>
          </w:tcPr>
          <w:p>
            <w:r>
              <w:rPr>
                <w:sz w:val="15"/>
              </w:rPr>
              <w:t>Credit utilization &gt; 80%</w:t>
            </w:r>
          </w:p>
        </w:tc>
        <w:tc>
          <w:tcPr>
            <w:tcW w:type="dxa" w:w="3456"/>
            <w:vAlign w:val="center"/>
          </w:tcPr>
          <w:p>
            <w:r>
              <w:rPr>
                <w:sz w:val="15"/>
              </w:rPr>
              <w:t>33</w:t>
            </w:r>
          </w:p>
        </w:tc>
        <w:tc>
          <w:tcPr>
            <w:tcW w:type="dxa" w:w="3456"/>
            <w:vAlign w:val="center"/>
          </w:tcPr>
          <w:p>
            <w:r>
              <w:rPr>
                <w:sz w:val="15"/>
              </w:rPr>
              <w:t>15.2%</w:t>
            </w:r>
          </w:p>
        </w:tc>
      </w:tr>
      <w:tr>
        <w:tc>
          <w:tcPr>
            <w:tcW w:type="dxa" w:w="3456"/>
            <w:vAlign w:val="center"/>
          </w:tcPr>
          <w:p>
            <w:r>
              <w:rPr>
                <w:sz w:val="15"/>
              </w:rPr>
              <w:t>Missed payments ≥ 5</w:t>
            </w:r>
          </w:p>
        </w:tc>
        <w:tc>
          <w:tcPr>
            <w:tcW w:type="dxa" w:w="3456"/>
            <w:vAlign w:val="center"/>
          </w:tcPr>
          <w:p>
            <w:r>
              <w:rPr>
                <w:sz w:val="15"/>
              </w:rPr>
              <w:t>129</w:t>
            </w:r>
          </w:p>
        </w:tc>
        <w:tc>
          <w:tcPr>
            <w:tcW w:type="dxa" w:w="3456"/>
            <w:vAlign w:val="center"/>
          </w:tcPr>
          <w:p>
            <w:r>
              <w:rPr>
                <w:sz w:val="15"/>
              </w:rPr>
              <w:t>17.1%</w:t>
            </w:r>
          </w:p>
        </w:tc>
      </w:tr>
      <w:tr>
        <w:tc>
          <w:tcPr>
            <w:tcW w:type="dxa" w:w="3456"/>
            <w:vAlign w:val="center"/>
          </w:tcPr>
          <w:p>
            <w:r>
              <w:rPr>
                <w:sz w:val="15"/>
              </w:rPr>
              <w:t>Overall dataset</w:t>
            </w:r>
          </w:p>
        </w:tc>
        <w:tc>
          <w:tcPr>
            <w:tcW w:type="dxa" w:w="3456"/>
            <w:vAlign w:val="center"/>
          </w:tcPr>
          <w:p>
            <w:r>
              <w:rPr>
                <w:sz w:val="15"/>
              </w:rPr>
              <w:t>500</w:t>
            </w:r>
          </w:p>
        </w:tc>
        <w:tc>
          <w:tcPr>
            <w:tcW w:type="dxa" w:w="3456"/>
            <w:vAlign w:val="center"/>
          </w:tcPr>
          <w:p>
            <w:r>
              <w:rPr>
                <w:sz w:val="15"/>
              </w:rPr>
              <w:t>16.0%</w:t>
            </w:r>
          </w:p>
        </w:tc>
      </w:tr>
    </w:tbl>
    <w:p>
      <w:pPr>
        <w:spacing w:after="20"/>
      </w:pPr>
    </w:p>
    <w:p>
      <w:r>
        <w:t>Employment and card-type differences are also worth investigating. After standardizing employment labels, unemployed customers show a 19.4% delinquency rate versus 16.3% for employed customers. Business-card customers show a 21.3% rate versus 11.8% for Platinum in this sample. These are exploratory segment differences and should not be treated as causal or as automatic grounds for intervention.</w:t>
      </w:r>
    </w:p>
    <w:p>
      <w:pPr>
        <w:pStyle w:val="Heading1"/>
      </w:pPr>
      <w:r>
        <w:t>2. SMART business recommendation</w:t>
      </w:r>
    </w:p>
    <w:p>
      <w:r>
        <w:t>SMART GOAL — **Within the next 90 days, pilot a proactive outreach program for customers identified as high risk by the validated delinquency model, with priority given to customers showing repeated payment issues and elevated financial-stress indicators. Measure success by comparing delinquency outcomes, outreach conversion, and false-positive/false-negative rates against a defined baseline or control group, and target a measurable reduction in delinquency among the contacted high-risk population before scaling the program.**</w:t>
      </w:r>
    </w:p>
    <w:p>
      <w:r>
        <w:t>This recommendation is feasible because it uses signals already present in Geldium’s data and turns a risk score into a specific Collections workflow. The pilot should use supportive, proportionate interventions—such as timely reminders or assistance options—rather than assuming every high-risk prediction represents intentional non-payment.</w:t>
      </w:r>
    </w:p>
    <w:p>
      <w:pPr>
        <w:pStyle w:val="Heading1"/>
      </w:pPr>
      <w:r>
        <w:t>3. Ethical and responsible AI considerations</w:t>
      </w:r>
    </w:p>
    <w:tbl>
      <w:tblPr>
        <w:tblStyle w:val="TableGrid"/>
        <w:tblW w:type="auto" w:w="0"/>
        <w:jc w:val="center"/>
        <w:tblLook w:firstColumn="1" w:firstRow="1" w:lastColumn="0" w:lastRow="0" w:noHBand="0" w:noVBand="1" w:val="04A0"/>
      </w:tblPr>
      <w:tblGrid>
        <w:gridCol w:w="5184"/>
        <w:gridCol w:w="5184"/>
      </w:tblGrid>
      <w:tr>
        <w:tc>
          <w:tcPr>
            <w:tcW w:type="dxa" w:w="5184"/>
            <w:shd w:fill="E8EEF7"/>
          </w:tcPr>
          <w:p>
            <w:r>
              <w:rPr>
                <w:b/>
                <w:sz w:val="16"/>
              </w:rPr>
              <w:t>Fairness risk</w:t>
            </w:r>
          </w:p>
        </w:tc>
        <w:tc>
          <w:tcPr>
            <w:tcW w:type="dxa" w:w="5184"/>
            <w:shd w:fill="E8EEF7"/>
          </w:tcPr>
          <w:p>
            <w:r>
              <w:rPr>
                <w:b/>
                <w:sz w:val="16"/>
              </w:rPr>
              <w:t>Mitigation</w:t>
            </w:r>
          </w:p>
        </w:tc>
      </w:tr>
      <w:tr>
        <w:tc>
          <w:tcPr>
            <w:tcW w:type="dxa" w:w="5184"/>
            <w:vAlign w:val="center"/>
          </w:tcPr>
          <w:p>
            <w:r>
              <w:rPr>
                <w:sz w:val="15"/>
              </w:rPr>
              <w:t>Unequal model performance across customer groups</w:t>
            </w:r>
          </w:p>
        </w:tc>
        <w:tc>
          <w:tcPr>
            <w:tcW w:type="dxa" w:w="5184"/>
            <w:vAlign w:val="center"/>
          </w:tcPr>
          <w:p>
            <w:r>
              <w:rPr>
                <w:sz w:val="15"/>
              </w:rPr>
              <w:t>Measure precision, recall, false-positive rate, false-negative rate, and calibration across relevant groups; investigate material disparities before deployment.</w:t>
            </w:r>
          </w:p>
        </w:tc>
      </w:tr>
      <w:tr>
        <w:tc>
          <w:tcPr>
            <w:tcW w:type="dxa" w:w="5184"/>
            <w:vAlign w:val="center"/>
          </w:tcPr>
          <w:p>
            <w:r>
              <w:rPr>
                <w:sz w:val="15"/>
              </w:rPr>
              <w:t>Proxy discrimination or inappropriate use of customer attributes</w:t>
            </w:r>
          </w:p>
        </w:tc>
        <w:tc>
          <w:tcPr>
            <w:tcW w:type="dxa" w:w="5184"/>
            <w:vAlign w:val="center"/>
          </w:tcPr>
          <w:p>
            <w:r>
              <w:rPr>
                <w:sz w:val="15"/>
              </w:rPr>
              <w:t>Review features such as location, employment status, and other potentially sensitive/proxy variables for legitimate business need; remove or restrict features that create unjustified risk.</w:t>
            </w:r>
          </w:p>
        </w:tc>
      </w:tr>
    </w:tbl>
    <w:p>
      <w:pPr>
        <w:spacing w:after="20"/>
      </w:pPr>
    </w:p>
    <w:p>
      <w:pPr>
        <w:pStyle w:val="Heading2"/>
      </w:pPr>
      <w:r>
        <w:t>Explainability for stakeholders</w:t>
      </w:r>
    </w:p>
    <w:p>
      <w:r>
        <w:t>The Collections team should receive a risk score together with a short, model-grounded explanation. For example: “High predicted risk is associated with repeated missed payments, elevated utilization, and high debt-to-income ratio.” The explanation should describe statistical drivers, not claim that any single factor caused delinquency. Customers should not be treated as delinquent solely because an AI model predicts higher risk.</w:t>
      </w:r>
    </w:p>
    <w:p>
      <w:pPr>
        <w:pStyle w:val="Heading1"/>
      </w:pPr>
      <w:r>
        <w:t>4. Responsible implementation and next steps</w:t>
      </w:r>
    </w:p>
    <w:p>
      <w:pPr>
        <w:pStyle w:val="ListBullet"/>
        <w:spacing w:after="30"/>
      </w:pPr>
      <w:r>
        <w:t>Validate the delinquency target and prediction horizon so every model feature is available before the outcome occurs.</w:t>
      </w:r>
    </w:p>
    <w:p>
      <w:pPr>
        <w:pStyle w:val="ListBullet"/>
        <w:spacing w:after="30"/>
      </w:pPr>
      <w:r>
        <w:t>Complete preprocessing identified in the EDA: impute missing Income, Loan_Balance and Credit_Score; standardize Employment_Status; validate utilization values above 100%.</w:t>
      </w:r>
    </w:p>
    <w:p>
      <w:pPr>
        <w:pStyle w:val="ListBullet"/>
        <w:spacing w:after="30"/>
      </w:pPr>
      <w:r>
        <w:t>Train logistic regression as the primary interpretable model and compare it with a constrained decision tree challenger.</w:t>
      </w:r>
    </w:p>
    <w:p>
      <w:pPr>
        <w:pStyle w:val="ListBullet"/>
        <w:spacing w:after="30"/>
      </w:pPr>
      <w:r>
        <w:t>Evaluate precision, recall, F1, ROC-AUC, PR-AUC, calibration, and confusion-matrix outcomes on unseen data—not accuracy alone.</w:t>
      </w:r>
    </w:p>
    <w:p>
      <w:pPr>
        <w:pStyle w:val="ListBullet"/>
        <w:spacing w:after="30"/>
      </w:pPr>
      <w:r>
        <w:t>Set the intervention threshold using the trade-off between missed high-risk customers, unnecessary outreach, and Collections capacity.</w:t>
      </w:r>
    </w:p>
    <w:p>
      <w:pPr>
        <w:pStyle w:val="ListBullet"/>
        <w:spacing w:after="30"/>
      </w:pPr>
      <w:r>
        <w:t>Monitor model drift, delinquency prevalence, calibration, and subgroup performance after deployment.</w:t>
      </w:r>
    </w:p>
    <w:p/>
    <w:p>
      <w:pPr>
        <w:jc w:val="center"/>
      </w:pPr>
      <w:r>
        <w:rPr>
          <w:b/>
        </w:rPr>
        <w:t>Bottom line: Use AI to prioritize attention, not to replace human judgment.</w:t>
      </w:r>
    </w:p>
    <w:sectPr w:rsidR="00FC693F" w:rsidRPr="0006063C" w:rsidSect="00034616">
      <w:headerReference w:type="default" r:id="rId9"/>
      <w:footerReference w:type="default" r:id="rId10"/>
      <w:pgSz w:w="12240" w:h="15840"/>
      <w:pgMar w:top="792"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4"/>
      </w:rPr>
      <w:t>Stakeholder-ready predictive insights • Based on Geldium delinquency dataset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b/>
        <w:sz w:val="15"/>
      </w:rPr>
      <w:t>GELDIUM • HEAD OF COLLECTIONS BRIEF</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b w:val="0"/>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